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59"/>
        <w:spacing w:after="0"/>
        <w:rPr>
          <w:sz w:val="20"/>
          <w:szCs w:val="20"/>
          <w:color w:val="auto"/>
        </w:rPr>
      </w:pPr>
      <w:r>
        <w:rPr>
          <w:rFonts w:ascii="Arial" w:cs="Arial" w:eastAsia="Arial" w:hAnsi="Arial"/>
          <w:sz w:val="22"/>
          <w:szCs w:val="22"/>
          <w:b w:val="1"/>
          <w:bCs w:val="1"/>
          <w:color w:val="auto"/>
        </w:rPr>
        <w:t>(Amendment No. n/a)*</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33" w:lineRule="exact"/>
        <w:rPr>
          <w:sz w:val="24"/>
          <w:szCs w:val="24"/>
          <w:color w:val="auto"/>
        </w:rPr>
      </w:pPr>
    </w:p>
    <w:p>
      <w:pPr>
        <w:ind w:right="40" w:firstLine="8"/>
        <w:spacing w:after="0"/>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6823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823710"/>
                    </a:xfrm>
                    <a:prstGeom prst="rect">
                      <a:avLst/>
                    </a:prstGeom>
                    <a:noFill/>
                  </pic:spPr>
                </pic:pic>
              </a:graphicData>
            </a:graphic>
          </wp:anchor>
        </w:drawing>
      </w: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ind w:left="1440" w:hanging="818"/>
        <w:spacing w:after="0" w:line="181" w:lineRule="auto"/>
        <w:tabs>
          <w:tab w:leader="none" w:pos="1440" w:val="left"/>
        </w:tabs>
        <w:numPr>
          <w:ilvl w:val="0"/>
          <w:numId w:val="4"/>
        </w:numPr>
        <w:rPr>
          <w:rFonts w:ascii="Arial" w:cs="Arial" w:eastAsia="Arial" w:hAnsi="Arial"/>
          <w:sz w:val="59"/>
          <w:szCs w:val="59"/>
          <w:b w:val="1"/>
          <w:bCs w:val="1"/>
          <w:color w:val="auto"/>
          <w:vertAlign w:val="superscript"/>
        </w:rPr>
      </w:pPr>
      <w:r>
        <w:rPr>
          <w:rFonts w:ascii="Arial" w:cs="Arial" w:eastAsia="Arial" w:hAnsi="Arial"/>
          <w:sz w:val="17"/>
          <w:szCs w:val="17"/>
          <w:b w:val="1"/>
          <w:bCs w:val="1"/>
          <w:color w:val="auto"/>
        </w:rPr>
        <w:t>Nikko Asset Management Americas, Inc.</w:t>
      </w:r>
    </w:p>
    <w:p>
      <w:pPr>
        <w:spacing w:after="0" w:line="222" w:lineRule="exact"/>
        <w:rPr>
          <w:sz w:val="20"/>
          <w:szCs w:val="20"/>
          <w:color w:val="auto"/>
        </w:rPr>
      </w:pPr>
    </w:p>
    <w:p>
      <w:pPr>
        <w:jc w:val="right"/>
        <w:ind w:right="364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8"/>
        <w:spacing w:after="0" w:line="322" w:lineRule="exact"/>
        <w:tabs>
          <w:tab w:leader="none" w:pos="142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5"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5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1" w:lineRule="auto"/>
        <w:tabs>
          <w:tab w:leader="none" w:pos="1440" w:val="left"/>
        </w:tabs>
        <w:numPr>
          <w:ilvl w:val="0"/>
          <w:numId w:val="6"/>
        </w:numPr>
        <w:rPr>
          <w:rFonts w:ascii="Arial" w:cs="Arial" w:eastAsia="Arial" w:hAnsi="Arial"/>
          <w:sz w:val="59"/>
          <w:szCs w:val="59"/>
          <w:b w:val="1"/>
          <w:bCs w:val="1"/>
          <w:color w:val="auto"/>
          <w:vertAlign w:val="superscript"/>
        </w:rPr>
      </w:pPr>
      <w:r>
        <w:rPr>
          <w:rFonts w:ascii="Arial" w:cs="Arial" w:eastAsia="Arial" w:hAnsi="Arial"/>
          <w:sz w:val="17"/>
          <w:szCs w:val="17"/>
          <w:b w:val="1"/>
          <w:bCs w:val="1"/>
          <w:color w:val="auto"/>
        </w:rPr>
        <w:t>USA</w:t>
      </w:r>
    </w:p>
    <w:p>
      <w:pPr>
        <w:sectPr>
          <w:pgSz w:w="11900" w:h="16838" w:orient="portrait"/>
          <w:cols w:equalWidth="0" w:num="1">
            <w:col w:w="10360"/>
          </w:cols>
          <w:pgMar w:left="320" w:top="118"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00"/>
        <w:spacing w:after="0" w:line="277" w:lineRule="auto"/>
        <w:rPr>
          <w:sz w:val="20"/>
          <w:szCs w:val="20"/>
          <w:color w:val="auto"/>
        </w:rPr>
      </w:pPr>
      <w:r>
        <w:rPr>
          <w:rFonts w:ascii="Arial" w:cs="Arial" w:eastAsia="Arial" w:hAnsi="Arial"/>
          <w:sz w:val="17"/>
          <w:szCs w:val="17"/>
          <w:b w:val="1"/>
          <w:bCs w:val="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SOLE VOTING POWER</w:t>
      </w:r>
    </w:p>
    <w:p>
      <w:pPr>
        <w:ind w:left="504" w:hanging="504"/>
        <w:spacing w:after="0" w:line="182" w:lineRule="auto"/>
        <w:tabs>
          <w:tab w:leader="none" w:pos="504"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0</w:t>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SHARED VOTING POWER</w:t>
      </w:r>
    </w:p>
    <w:p>
      <w:pPr>
        <w:ind w:left="464" w:hanging="464"/>
        <w:spacing w:after="0" w:line="180" w:lineRule="auto"/>
        <w:tabs>
          <w:tab w:leader="none" w:pos="464" w:val="left"/>
        </w:tabs>
        <w:numPr>
          <w:ilvl w:val="0"/>
          <w:numId w:val="8"/>
        </w:numPr>
        <w:rPr>
          <w:rFonts w:ascii="Arial" w:cs="Arial" w:eastAsia="Arial" w:hAnsi="Arial"/>
          <w:sz w:val="57"/>
          <w:szCs w:val="57"/>
          <w:b w:val="1"/>
          <w:bCs w:val="1"/>
          <w:color w:val="auto"/>
          <w:vertAlign w:val="superscript"/>
        </w:rPr>
      </w:pPr>
      <w:r>
        <w:rPr>
          <w:rFonts w:ascii="Arial" w:cs="Arial" w:eastAsia="Arial" w:hAnsi="Arial"/>
          <w:sz w:val="17"/>
          <w:szCs w:val="17"/>
          <w:b w:val="1"/>
          <w:bCs w:val="1"/>
          <w:color w:val="auto"/>
        </w:rPr>
        <w:t>1,135,004</w:t>
      </w:r>
    </w:p>
    <w:p>
      <w:pPr>
        <w:spacing w:after="0" w:line="22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SOLE DISPOSITIVE POWER</w:t>
      </w:r>
    </w:p>
    <w:p>
      <w:pPr>
        <w:ind w:left="504" w:hanging="504"/>
        <w:spacing w:after="0"/>
        <w:tabs>
          <w:tab w:leader="none" w:pos="504" w:val="left"/>
        </w:tabs>
        <w:numPr>
          <w:ilvl w:val="0"/>
          <w:numId w:val="9"/>
        </w:numPr>
        <w:rPr>
          <w:rFonts w:ascii="Arial" w:cs="Arial" w:eastAsia="Arial" w:hAnsi="Arial"/>
          <w:sz w:val="32"/>
          <w:szCs w:val="32"/>
          <w:b w:val="1"/>
          <w:bCs w:val="1"/>
          <w:color w:val="auto"/>
        </w:rPr>
      </w:pPr>
      <w:r>
        <w:rPr>
          <w:rFonts w:ascii="Arial" w:cs="Arial" w:eastAsia="Arial" w:hAnsi="Arial"/>
          <w:sz w:val="36"/>
          <w:szCs w:val="36"/>
          <w:color w:val="auto"/>
          <w:vertAlign w:val="subscript"/>
        </w:rPr>
        <w:t>0</w:t>
      </w:r>
    </w:p>
    <w:p>
      <w:pPr>
        <w:spacing w:after="0" w:line="207" w:lineRule="exact"/>
        <w:rPr>
          <w:sz w:val="20"/>
          <w:szCs w:val="20"/>
          <w:color w:val="auto"/>
        </w:rPr>
      </w:pPr>
    </w:p>
    <w:p>
      <w:pPr>
        <w:jc w:val="right"/>
        <w:ind w:right="4960"/>
        <w:spacing w:after="0"/>
        <w:rPr>
          <w:sz w:val="20"/>
          <w:szCs w:val="20"/>
          <w:color w:val="auto"/>
        </w:rPr>
      </w:pPr>
      <w:r>
        <w:rPr>
          <w:rFonts w:ascii="Arial" w:cs="Arial" w:eastAsia="Arial" w:hAnsi="Arial"/>
          <w:sz w:val="18"/>
          <w:szCs w:val="18"/>
          <w:b w:val="1"/>
          <w:bCs w:val="1"/>
          <w:color w:val="auto"/>
        </w:rPr>
        <w:t>SHARED DISPOSITIVE POWER</w:t>
      </w:r>
    </w:p>
    <w:p>
      <w:pPr>
        <w:ind w:left="464" w:hanging="464"/>
        <w:spacing w:after="0" w:line="181" w:lineRule="auto"/>
        <w:tabs>
          <w:tab w:leader="none" w:pos="464" w:val="left"/>
        </w:tabs>
        <w:numPr>
          <w:ilvl w:val="0"/>
          <w:numId w:val="10"/>
        </w:numPr>
        <w:rPr>
          <w:rFonts w:ascii="Arial" w:cs="Arial" w:eastAsia="Arial" w:hAnsi="Arial"/>
          <w:sz w:val="59"/>
          <w:szCs w:val="59"/>
          <w:b w:val="1"/>
          <w:bCs w:val="1"/>
          <w:color w:val="auto"/>
          <w:vertAlign w:val="superscript"/>
        </w:rPr>
      </w:pPr>
      <w:r>
        <w:rPr>
          <w:rFonts w:ascii="Arial" w:cs="Arial" w:eastAsia="Arial" w:hAnsi="Arial"/>
          <w:sz w:val="17"/>
          <w:szCs w:val="17"/>
          <w:b w:val="1"/>
          <w:bCs w:val="1"/>
          <w:color w:val="auto"/>
        </w:rPr>
        <w:t>1,357,472</w:t>
      </w:r>
    </w:p>
    <w:p>
      <w:pPr>
        <w:spacing w:after="0" w:line="200" w:lineRule="exact"/>
        <w:rPr>
          <w:sz w:val="20"/>
          <w:szCs w:val="20"/>
          <w:color w:val="auto"/>
        </w:rPr>
      </w:pPr>
    </w:p>
    <w:p>
      <w:pPr>
        <w:sectPr>
          <w:pgSz w:w="11900" w:h="16838" w:orient="portrait"/>
          <w:cols w:equalWidth="0" w:num="2">
            <w:col w:w="1960" w:space="316"/>
            <w:col w:w="8084"/>
          </w:cols>
          <w:pgMar w:left="320" w:top="118" w:right="1219" w:bottom="1440" w:gutter="0" w:footer="0" w:header="0"/>
          <w:type w:val="continuous"/>
        </w:sectPr>
      </w:pP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8"/>
        <w:spacing w:after="0" w:line="180" w:lineRule="auto"/>
        <w:tabs>
          <w:tab w:leader="none" w:pos="1440" w:val="left"/>
        </w:tabs>
        <w:numPr>
          <w:ilvl w:val="0"/>
          <w:numId w:val="11"/>
        </w:numPr>
        <w:rPr>
          <w:rFonts w:ascii="Arial" w:cs="Arial" w:eastAsia="Arial" w:hAnsi="Arial"/>
          <w:sz w:val="57"/>
          <w:szCs w:val="57"/>
          <w:b w:val="1"/>
          <w:bCs w:val="1"/>
          <w:color w:val="auto"/>
          <w:vertAlign w:val="superscript"/>
        </w:rPr>
      </w:pPr>
      <w:r>
        <w:rPr>
          <w:rFonts w:ascii="Arial" w:cs="Arial" w:eastAsia="Arial" w:hAnsi="Arial"/>
          <w:sz w:val="17"/>
          <w:szCs w:val="17"/>
          <w:b w:val="1"/>
          <w:bCs w:val="1"/>
          <w:color w:val="auto"/>
        </w:rPr>
        <w:t>1,357,472</w:t>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ectPr>
          <w:pgSz w:w="11900" w:h="16838" w:orient="portrait"/>
          <w:cols w:equalWidth="0" w:num="1">
            <w:col w:w="10360"/>
          </w:cols>
          <w:pgMar w:left="320" w:top="118" w:right="121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left="56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PERCENT OF CLASS REPRESENTED BY AMOUNT IN ROW (9)</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REPORTING PERSON (SEE INSTRUCTIONS)</w:t>
      </w:r>
    </w:p>
    <w:p>
      <w:pPr>
        <w:spacing w:after="0" w:line="27" w:lineRule="exact"/>
        <w:rPr>
          <w:sz w:val="20"/>
          <w:szCs w:val="20"/>
          <w:color w:val="auto"/>
        </w:rPr>
      </w:pPr>
    </w:p>
    <w:p>
      <w:pPr>
        <w:sectPr>
          <w:pgSz w:w="11900" w:h="16838" w:orient="portrait"/>
          <w:cols w:equalWidth="0" w:num="2">
            <w:col w:w="860" w:space="560"/>
            <w:col w:w="8940"/>
          </w:cols>
          <w:pgMar w:left="320" w:top="118" w:right="1219" w:bottom="1440" w:gutter="0" w:footer="0" w:header="0"/>
          <w:type w:val="continuous"/>
        </w:sectPr>
      </w:pPr>
    </w:p>
    <w:p>
      <w:pPr>
        <w:ind w:left="540"/>
        <w:spacing w:after="0"/>
        <w:tabs>
          <w:tab w:leader="none" w:pos="1420" w:val="left"/>
        </w:tabs>
        <w:rPr>
          <w:sz w:val="20"/>
          <w:szCs w:val="20"/>
          <w:color w:val="auto"/>
        </w:rPr>
      </w:pPr>
      <w:r>
        <w:rPr>
          <w:rFonts w:ascii="Arial" w:cs="Arial" w:eastAsia="Arial" w:hAnsi="Arial"/>
          <w:sz w:val="27"/>
          <w:szCs w:val="27"/>
          <w:b w:val="1"/>
          <w:bCs w:val="1"/>
          <w:color w:val="auto"/>
        </w:rPr>
        <w:t>12</w:t>
      </w:r>
      <w:r>
        <w:rPr>
          <w:sz w:val="20"/>
          <w:szCs w:val="20"/>
          <w:color w:val="auto"/>
        </w:rPr>
        <w:tab/>
      </w:r>
      <w:r>
        <w:rPr>
          <w:rFonts w:ascii="Arial" w:cs="Arial" w:eastAsia="Arial" w:hAnsi="Arial"/>
          <w:sz w:val="30"/>
          <w:szCs w:val="30"/>
          <w:b w:val="1"/>
          <w:bCs w:val="1"/>
          <w:color w:val="auto"/>
          <w:vertAlign w:val="subscript"/>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18" w:right="12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7" w:lineRule="exact"/>
        <w:rPr>
          <w:sz w:val="20"/>
          <w:szCs w:val="20"/>
          <w:color w:val="auto"/>
        </w:rPr>
      </w:pPr>
    </w:p>
    <w:p>
      <w:pPr>
        <w:ind w:left="920" w:hanging="34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Arcturus Therapeutics Holdings Inc.</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1" w:lineRule="exact"/>
        <w:rPr>
          <w:rFonts w:ascii="Arial" w:cs="Arial" w:eastAsia="Arial" w:hAnsi="Arial"/>
          <w:sz w:val="18"/>
          <w:szCs w:val="18"/>
          <w:color w:val="auto"/>
        </w:rPr>
      </w:pPr>
    </w:p>
    <w:p>
      <w:pPr>
        <w:ind w:left="920" w:right="74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10628 Science Center Drive, Suite 250 San Diego, CA 92121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6" w:lineRule="exact"/>
        <w:rPr>
          <w:sz w:val="20"/>
          <w:szCs w:val="20"/>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Nikko Asset Management Americas, Inc.</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605 Third Avenue, 38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NY 10158</w:t>
      </w:r>
    </w:p>
    <w:p>
      <w:pPr>
        <w:spacing w:after="0" w:line="112"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Common Stock, par value $0.001 per share</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03969T109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3" w:lineRule="exact"/>
        <w:rPr>
          <w:sz w:val="20"/>
          <w:szCs w:val="20"/>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260" w:right="240" w:hanging="685"/>
        <w:spacing w:after="0" w:line="239" w:lineRule="exact"/>
        <w:tabs>
          <w:tab w:leader="none" w:pos="922"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260" w:hanging="685"/>
        <w:spacing w:after="0" w:line="239" w:lineRule="exact"/>
        <w:tabs>
          <w:tab w:leader="none" w:pos="922"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group, in accordance with § 240.13d-1(b)(1)(ii)(K).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9" w:lineRule="exact"/>
        <w:rPr>
          <w:sz w:val="20"/>
          <w:szCs w:val="20"/>
          <w:color w:val="auto"/>
        </w:rPr>
      </w:pPr>
    </w:p>
    <w:p>
      <w:pPr>
        <w:ind w:firstLine="81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920" w:hanging="345"/>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1,357,472</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5.15%</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260" w:hanging="348"/>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9" w:lineRule="exact"/>
        <w:rPr>
          <w:rFonts w:ascii="Arial" w:cs="Arial" w:eastAsia="Arial" w:hAnsi="Arial"/>
          <w:sz w:val="18"/>
          <w:szCs w:val="18"/>
          <w:color w:val="auto"/>
        </w:rPr>
      </w:pPr>
    </w:p>
    <w:p>
      <w:pPr>
        <w:ind w:left="1260" w:hanging="348"/>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1,135,004</w:t>
      </w:r>
    </w:p>
    <w:p>
      <w:pPr>
        <w:spacing w:after="0" w:line="229" w:lineRule="exact"/>
        <w:rPr>
          <w:rFonts w:ascii="Arial" w:cs="Arial" w:eastAsia="Arial" w:hAnsi="Arial"/>
          <w:sz w:val="18"/>
          <w:szCs w:val="18"/>
          <w:color w:val="auto"/>
        </w:rPr>
      </w:pPr>
    </w:p>
    <w:p>
      <w:pPr>
        <w:ind w:left="1260" w:hanging="348"/>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9" w:lineRule="exact"/>
        <w:rPr>
          <w:rFonts w:ascii="Arial" w:cs="Arial" w:eastAsia="Arial" w:hAnsi="Arial"/>
          <w:sz w:val="18"/>
          <w:szCs w:val="18"/>
          <w:color w:val="auto"/>
        </w:rPr>
      </w:pPr>
    </w:p>
    <w:p>
      <w:pPr>
        <w:ind w:left="1260" w:hanging="348"/>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1,357,472</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80" w:right="560" w:firstLine="648"/>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19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See Exhibit A.</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See Exhibit A.</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3" w:lineRule="exact"/>
        <w:rPr>
          <w:sz w:val="20"/>
          <w:szCs w:val="20"/>
          <w:color w:val="auto"/>
        </w:rPr>
      </w:pPr>
    </w:p>
    <w:p>
      <w:pPr>
        <w:jc w:val="center"/>
        <w:ind w:right="8120"/>
        <w:spacing w:after="0"/>
        <w:rPr>
          <w:sz w:val="20"/>
          <w:szCs w:val="20"/>
          <w:color w:val="auto"/>
        </w:rPr>
      </w:pPr>
      <w:r>
        <w:rPr>
          <w:rFonts w:ascii="Arial" w:cs="Arial" w:eastAsia="Arial" w:hAnsi="Arial"/>
          <w:sz w:val="22"/>
          <w:szCs w:val="22"/>
          <w:b w:val="1"/>
          <w:bCs w:val="1"/>
          <w:color w:val="auto"/>
        </w:rPr>
        <w:t>Not Applicable.</w:t>
      </w:r>
    </w:p>
    <w:p>
      <w:pPr>
        <w:spacing w:after="0" w:line="242" w:lineRule="exact"/>
        <w:rPr>
          <w:sz w:val="20"/>
          <w:szCs w:val="20"/>
          <w:color w:val="auto"/>
        </w:rPr>
      </w:pPr>
    </w:p>
    <w:p>
      <w:pPr>
        <w:jc w:val="center"/>
        <w:ind w:right="8020"/>
        <w:spacing w:after="0"/>
        <w:tabs>
          <w:tab w:leader="none" w:pos="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Date: February 11, 2022</w:t>
            </w:r>
          </w:p>
        </w:tc>
        <w:tc>
          <w:tcPr>
            <w:tcW w:w="7340" w:type="dxa"/>
            <w:vAlign w:val="bottom"/>
          </w:tcPr>
          <w:p>
            <w:pPr>
              <w:ind w:left="2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Gary L. Beckham</w:t>
            </w:r>
          </w:p>
        </w:tc>
      </w:tr>
      <w:tr>
        <w:trPr>
          <w:trHeight w:val="216"/>
        </w:trPr>
        <w:tc>
          <w:tcPr>
            <w:tcW w:w="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340" w:type="dxa"/>
            <w:vAlign w:val="bottom"/>
          </w:tcPr>
          <w:p>
            <w:pPr>
              <w:ind w:left="2480"/>
              <w:spacing w:after="0"/>
              <w:rPr>
                <w:sz w:val="20"/>
                <w:szCs w:val="20"/>
                <w:color w:val="auto"/>
              </w:rPr>
            </w:pPr>
            <w:r>
              <w:rPr>
                <w:rFonts w:ascii="Arial" w:cs="Arial" w:eastAsia="Arial" w:hAnsi="Arial"/>
                <w:sz w:val="18"/>
                <w:szCs w:val="18"/>
                <w:color w:val="auto"/>
              </w:rPr>
              <w:t>Name: Gary L. Beckham</w:t>
            </w:r>
          </w:p>
        </w:tc>
      </w:tr>
      <w:tr>
        <w:trPr>
          <w:trHeight w:val="230"/>
        </w:trPr>
        <w:tc>
          <w:tcPr>
            <w:tcW w:w="9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340" w:type="dxa"/>
            <w:vAlign w:val="bottom"/>
          </w:tcPr>
          <w:p>
            <w:pPr>
              <w:ind w:left="2480"/>
              <w:spacing w:after="0"/>
              <w:rPr>
                <w:sz w:val="20"/>
                <w:szCs w:val="20"/>
                <w:color w:val="auto"/>
              </w:rPr>
            </w:pPr>
            <w:r>
              <w:rPr>
                <w:rFonts w:ascii="Arial" w:cs="Arial" w:eastAsia="Arial" w:hAnsi="Arial"/>
                <w:sz w:val="18"/>
                <w:szCs w:val="18"/>
                <w:color w:val="auto"/>
              </w:rPr>
              <w:t>Title: Chief Compliance Officer</w:t>
            </w:r>
          </w:p>
        </w:tc>
      </w:tr>
      <w:tr>
        <w:trPr>
          <w:trHeight w:val="459"/>
        </w:trPr>
        <w:tc>
          <w:tcPr>
            <w:tcW w:w="96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102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tc>
      </w:tr>
      <w:tr>
        <w:trPr>
          <w:trHeight w:val="439"/>
        </w:trPr>
        <w:tc>
          <w:tcPr>
            <w:tcW w:w="9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40"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Pursuant to the instructions in Items 6 and 7 of Schedule 13G, the security being reported on by Nikko Asset Management Americas, Inc., as subsidiary to the parent holding companies listed below, are owned, or may be deemed to be beneficially owned, by its parent holding companies.</w:t>
      </w:r>
    </w:p>
    <w:p>
      <w:pPr>
        <w:spacing w:after="0" w:line="22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Sumitomo Mitsui Trust Holdings Inc.</w:t>
      </w:r>
    </w:p>
    <w:p>
      <w:pPr>
        <w:spacing w:after="0" w:line="23" w:lineRule="exact"/>
        <w:rPr>
          <w:sz w:val="20"/>
          <w:szCs w:val="20"/>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Nikko Asset Management Co., Ltd.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investment adviser in accordance with §240.13d-1(b)(1)(ii)(E);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7"/>
      <w:numFmt w:val="bullet"/>
      <w:start w:val="1"/>
    </w:lvl>
  </w:abstractNum>
  <w:abstractNum w:abstractNumId="9">
    <w:nsid w:val="3352255A"/>
    <w:multiLevelType w:val="hybridMultilevel"/>
    <w:lvl w:ilvl="0">
      <w:lvlJc w:val="left"/>
      <w:lvlText w:val="8"/>
      <w:numFmt w:val="bullet"/>
      <w:start w:val="1"/>
    </w:lvl>
  </w:abstractNum>
  <w:abstractNum w:abstractNumId="10">
    <w:nsid w:val="109CF92E"/>
    <w:multiLevelType w:val="hybridMultilevel"/>
    <w:lvl w:ilvl="0">
      <w:lvlJc w:val="left"/>
      <w:lvlText w:val="9"/>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2022-02-14T05:42:19Z</dcterms:created>
  <dcterms:modified xsi:type="dcterms:W3CDTF">2022-02-14T05:42:19Z</dcterms:modified>
</cp:coreProperties>
</file>