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03969T109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03969T109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Amova Asset Management Americas,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1,721,107.00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1,947,835.00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1,947,835.00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10628 Science Center Drive, Suite 250, San Diego, California, 92121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Amova Asset Management Americas,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605 Third Avenue, 38th Floor, New York, NY 10158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03969T109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820" w:type="dxa"/>
            <w:vAlign w:val="bottom"/>
          </w:tcPr>
          <w:p>
            <w:pPr>
              <w:spacing w:after="0"/>
              <w:rPr>
                <w:sz w:val="23"/>
                <w:szCs w:val="23"/>
                <w:color w:val="auto"/>
              </w:rPr>
            </w:pPr>
          </w:p>
        </w:tc>
        <w:tc>
          <w:tcPr>
            <w:tcW w:w="10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please specify the type of institution:</w:t>
            </w:r>
          </w:p>
        </w:tc>
        <w:tc>
          <w:tcPr>
            <w:tcW w:w="0" w:type="dxa"/>
            <w:vAlign w:val="bottom"/>
          </w:tcPr>
          <w:p>
            <w:pPr>
              <w:spacing w:after="0"/>
              <w:rPr>
                <w:sz w:val="1"/>
                <w:szCs w:val="1"/>
                <w:color w:val="auto"/>
              </w:rPr>
            </w:pPr>
          </w:p>
        </w:tc>
      </w:tr>
      <w:tr>
        <w:trPr>
          <w:trHeight w:val="296"/>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(k)</w:t>
            </w:r>
          </w:p>
        </w:tc>
        <w:tc>
          <w:tcPr>
            <w:tcW w:w="10320" w:type="dxa"/>
            <w:vAlign w:val="bottom"/>
          </w:tcPr>
          <w:p>
            <w:pPr>
              <w:ind w:left="480"/>
              <w:spacing w:after="0"/>
              <w:rPr>
                <w:sz w:val="20"/>
                <w:szCs w:val="20"/>
                <w:color w:val="auto"/>
              </w:rPr>
            </w:pPr>
            <w:r>
              <w:rPr>
                <w:rFonts w:ascii="Times New Roman" w:cs="Times New Roman" w:eastAsia="Times New Roman" w:hAnsi="Times New Roman"/>
                <w:sz w:val="22"/>
                <w:szCs w:val="22"/>
                <w:color w:val="auto"/>
              </w:rPr>
              <w:t>Group, in accordance with Rule 240.13d-1(b)(1)(ii)(K).</w:t>
            </w:r>
          </w:p>
        </w:tc>
        <w:tc>
          <w:tcPr>
            <w:tcW w:w="0" w:type="dxa"/>
            <w:vAlign w:val="bottom"/>
          </w:tcPr>
          <w:p>
            <w:pPr>
              <w:spacing w:after="0"/>
              <w:rPr>
                <w:sz w:val="1"/>
                <w:szCs w:val="1"/>
                <w:color w:val="auto"/>
              </w:rPr>
            </w:pPr>
          </w:p>
        </w:tc>
      </w:tr>
      <w:tr>
        <w:trPr>
          <w:trHeight w:val="594"/>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4.</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w:t>
            </w:r>
          </w:p>
        </w:tc>
        <w:tc>
          <w:tcPr>
            <w:tcW w:w="0" w:type="dxa"/>
            <w:vAlign w:val="bottom"/>
          </w:tcPr>
          <w:p>
            <w:pPr>
              <w:spacing w:after="0"/>
              <w:rPr>
                <w:sz w:val="1"/>
                <w:szCs w:val="1"/>
                <w:color w:val="auto"/>
              </w:rPr>
            </w:pPr>
          </w:p>
        </w:tc>
      </w:tr>
      <w:tr>
        <w:trPr>
          <w:trHeight w:val="29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(a)</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Amount beneficially owned:</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1,947,835</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w:t>
            </w:r>
          </w:p>
        </w:tc>
        <w:tc>
          <w:tcPr>
            <w:tcW w:w="0" w:type="dxa"/>
            <w:vAlign w:val="bottom"/>
          </w:tcPr>
          <w:p>
            <w:pPr>
              <w:spacing w:after="0"/>
              <w:rPr>
                <w:sz w:val="1"/>
                <w:szCs w:val="1"/>
                <w:color w:val="auto"/>
              </w:rPr>
            </w:pPr>
          </w:p>
        </w:tc>
      </w:tr>
      <w:tr>
        <w:trPr>
          <w:trHeight w:val="243"/>
        </w:trPr>
        <w:tc>
          <w:tcPr>
            <w:tcW w:w="820" w:type="dxa"/>
            <w:vAlign w:val="bottom"/>
            <w:vMerge w:val="continue"/>
          </w:tcPr>
          <w:p>
            <w:pPr>
              <w:spacing w:after="0"/>
              <w:rPr>
                <w:sz w:val="21"/>
                <w:szCs w:val="21"/>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7.2% %</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(c)</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Number of shares as to which the person has:</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 Sole power to vote or to direct the vote:</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1,721,107</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tc>
        <w:tc>
          <w:tcPr>
            <w:tcW w:w="0" w:type="dxa"/>
            <w:vAlign w:val="bottom"/>
          </w:tcPr>
          <w:p>
            <w:pPr>
              <w:spacing w:after="0"/>
              <w:rPr>
                <w:sz w:val="1"/>
                <w:szCs w:val="1"/>
                <w:color w:val="auto"/>
              </w:rPr>
            </w:pPr>
          </w:p>
        </w:tc>
      </w:tr>
      <w:tr>
        <w:trPr>
          <w:trHeight w:val="486"/>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1,947,835</w:t>
            </w:r>
          </w:p>
        </w:tc>
        <w:tc>
          <w:tcPr>
            <w:tcW w:w="0" w:type="dxa"/>
            <w:vAlign w:val="bottom"/>
          </w:tcPr>
          <w:p>
            <w:pPr>
              <w:spacing w:after="0"/>
              <w:rPr>
                <w:sz w:val="1"/>
                <w:szCs w:val="1"/>
                <w:color w:val="auto"/>
              </w:rPr>
            </w:pPr>
          </w:p>
        </w:tc>
      </w:tr>
      <w:tr>
        <w:trPr>
          <w:trHeight w:val="540"/>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6.</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Exhibit A.</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Exhibit A.</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-9170670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3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5"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Amova Asset Management Americas, Inc.</w:t>
      </w:r>
    </w:p>
    <w:p>
      <w:pPr>
        <w:spacing w:after="0" w:line="152"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Gary L. Beckham</w:t>
      </w:r>
    </w:p>
    <w:p>
      <w:pPr>
        <w:spacing w:after="0" w:line="4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Name/Title: Gary L. Beckham Chief Compliance Officer</w:t>
      </w:r>
    </w:p>
    <w:p>
      <w:pPr>
        <w:spacing w:after="0" w:line="44" w:lineRule="exact"/>
        <w:rPr>
          <w:sz w:val="20"/>
          <w:szCs w:val="20"/>
          <w:color w:val="auto"/>
        </w:rPr>
      </w:pPr>
    </w:p>
    <w:p>
      <w:pPr>
        <w:ind w:left="4900"/>
        <w:spacing w:after="0"/>
        <w:tabs>
          <w:tab w:leader="none" w:pos="5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11/11/2025</w:t>
      </w:r>
    </w:p>
    <w:p>
      <w:pPr>
        <w:sectPr>
          <w:pgSz w:w="11900" w:h="16838" w:orient="portrait"/>
          <w:cols w:equalWidth="0" w:num="1">
            <w:col w:w="10920"/>
          </w:cols>
          <w:pgMar w:left="580" w:top="112" w:right="39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A</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instructions in Items 6 and 7 of Schedule 13G, the security being reported on by Amova Asset Management Americas, Inc. (formerly known as Nikko Asset Management Americas, Inc.), as subsidiary to the parent holding companies listed below, are owned, or may be deemed to be beneficially owned, by its parent holding companies.</w:t>
      </w:r>
    </w:p>
    <w:p>
      <w:pPr>
        <w:spacing w:after="0" w:line="176"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Sumitomo Mitsui Trust Group, Inc.</w:t>
      </w:r>
    </w:p>
    <w:p>
      <w:pPr>
        <w:spacing w:after="0" w:line="27" w:lineRule="exact"/>
        <w:rPr>
          <w:sz w:val="20"/>
          <w:szCs w:val="20"/>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holding company or control person in accordance with §240.13d-1(b)(1)(ii)(G);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0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Amova Asset Management Co., Ltd. (formerly known as Nikko Asset Management Co., Ltd.)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adviser in accordance with §240.13d-1(b)(1)(ii)(E);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institution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26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8"/>
    </w:lvl>
  </w:abstractNum>
  <w:abstractNum w:abstractNumId="4">
    <w:nsid w:val="46E87CCD"/>
    <w:multiLevelType w:val="hybridMultilevel"/>
    <w:lvl w:ilvl="0">
      <w:lvlJc w:val="left"/>
      <w:lvlText w:val="%1)"/>
      <w:numFmt w:val="decimal"/>
      <w:start w:val="1"/>
    </w:lvl>
    <w:lvl w:ilvl="1">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2025-11-13T08:29:37Z</dcterms:created>
  <dcterms:modified xsi:type="dcterms:W3CDTF">2025-11-13T08:29:37Z</dcterms:modified>
</cp:coreProperties>
</file>