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6,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001-38942</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32-0595345</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60" w:space="720"/>
            <w:col w:w="2660"/>
          </w:cols>
          <w:pgMar w:left="320" w:top="468" w:right="339" w:bottom="1440" w:gutter="0" w:footer="0" w:header="0"/>
          <w:type w:val="continuous"/>
        </w:sectPr>
      </w:pPr>
    </w:p>
    <w:p>
      <w:pPr>
        <w:spacing w:after="0" w:line="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468"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900-2660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0"/>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6, 2025, Arcturus Therapeutics Holdings Inc. (the “Company” or “Arcturus”) issued a press release, a copy of which is furnished herewith as Exhibit 99.1, announcing the Company’s financial results for the quarter and year ended December 31, 2024 and providing a corporate update (the “Press Release”).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likelihood of success of the Company’s pipeline (including ARCT-032 and ARCT-810) and partnered programs (including the COVID-19 and flu programs partnered with CSL Seqirus), the anticipated timing for providing interim data from the ARCT-032 Phase 2 CF study and the ARCT-810 Phase 2 OTC deficiency study, the completion of and timing for KOSTAIVE regulatory filings for the United States and United Kingdom, the expected treatment protocol for the ARCT-032 Phase 2 CF study, the expected infusions and timing therefor for the ARCT-810 Phase 2 OTC deficiency study, the potential supply of mRNA vaccines by Meiji Seika Pharma and ARCALIS, the likelihood that CSL Seqirus will recoup the development costs of the COVID-19 program and that Arcturus will receive net profit payments from CSL Seqirus for sales of KOSTAIVE, the likelihood that preclinical or clinical data will be predictive of future clinical results, the likelihood or timing of collection of accounts receivables including expected payments from CSL Seqirus,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520" w:type="dxa"/>
            <w:vAlign w:val="bottom"/>
          </w:tcPr>
          <w:p>
            <w:pPr>
              <w:spacing w:after="0"/>
              <w:rPr>
                <w:sz w:val="20"/>
                <w:szCs w:val="20"/>
                <w:color w:val="auto"/>
              </w:rPr>
            </w:pPr>
          </w:p>
        </w:tc>
        <w:tc>
          <w:tcPr>
            <w:tcW w:w="738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March 6, 2025</w:t>
            </w:r>
          </w:p>
        </w:tc>
      </w:tr>
      <w:tr>
        <w:trPr>
          <w:trHeight w:val="20"/>
        </w:trPr>
        <w:tc>
          <w:tcPr>
            <w:tcW w:w="13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1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2025</w:t>
            </w:r>
          </w:p>
        </w:tc>
        <w:tc>
          <w:tcPr>
            <w:tcW w:w="716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tc>
      </w:tr>
      <w:tr>
        <w:trPr>
          <w:trHeight w:val="432"/>
        </w:trPr>
        <w:tc>
          <w:tcPr>
            <w:tcW w:w="4080" w:type="dxa"/>
            <w:vAlign w:val="bottom"/>
          </w:tcPr>
          <w:p>
            <w:pPr>
              <w:spacing w:after="0"/>
              <w:rPr>
                <w:sz w:val="24"/>
                <w:szCs w:val="24"/>
                <w:color w:val="auto"/>
              </w:rPr>
            </w:pPr>
          </w:p>
        </w:tc>
        <w:tc>
          <w:tcPr>
            <w:tcW w:w="32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4080" w:type="dxa"/>
            <w:vAlign w:val="bottom"/>
          </w:tcPr>
          <w:p>
            <w:pPr>
              <w:spacing w:after="0"/>
              <w:rPr>
                <w:sz w:val="16"/>
                <w:szCs w:val="16"/>
                <w:color w:val="auto"/>
              </w:rPr>
            </w:pPr>
          </w:p>
        </w:tc>
        <w:tc>
          <w:tcPr>
            <w:tcW w:w="3240" w:type="dxa"/>
            <w:vAlign w:val="bottom"/>
          </w:tcPr>
          <w:p>
            <w:pPr>
              <w:ind w:left="25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4080" w:type="dxa"/>
            <w:vAlign w:val="bottom"/>
          </w:tcPr>
          <w:p>
            <w:pPr>
              <w:spacing w:after="0"/>
              <w:rPr>
                <w:sz w:val="20"/>
                <w:szCs w:val="20"/>
                <w:color w:val="auto"/>
              </w:rPr>
            </w:pPr>
          </w:p>
        </w:tc>
        <w:tc>
          <w:tcPr>
            <w:tcW w:w="32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Announces Fourth Quarter and Fiscal Year 2024 Financial Update and Pipeline Progress</w:t>
      </w:r>
    </w:p>
    <w:p>
      <w:pPr>
        <w:spacing w:after="0" w:line="22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i w:val="1"/>
          <w:iCs w:val="1"/>
          <w:color w:val="auto"/>
        </w:rPr>
        <w:t>Phase 2 interim data for ARCT-032 (CF) &amp; ARCT-810 (OTCD) on track for Q2 2025 Meiji Seika Pharma and ARCALIS received MHLW approval for commercial manufacturing of KOSTAIVE® Meiji Seika Pharma Submitted Application for Two-Dose Vial of KOSTAIVE® KOSTAIVE® U.S. BLA filing anticipated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ET today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WIRE)--March 6, 2025-- Arcturus Therapeutics Holdings Inc. (the “Company”, “Arcturus”, Nasdaq: ARCT), a commercial messenger RNA medicines company focused on the development of infectious disease vaccines and opportunities within liver and respiratory rare diseases, today announced its financial results for the fourth quarter ended December 31, 2024, and provided corporate updates.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progress our flagship rare disease programs and look forward to sharing meaningful Phase 2 interim data from our cystic fibrosis (CF) and ornithine transcarbamylase (OTC) deficiency programs in Q2 2025,” said Joseph Payne, President &amp; CEO of Arcturus Therapeutics. “Arcturus continues to make excellent progress with our STARR® sa-mRNA vaccines pipeline and platform. We are very pleased to have recently received European Commission approval for KOSTAIVE® and MHLW approval for Meiji Seika Pharma and ARCALIS to add commercial manufacturing sites in Japan. Our team continues to work diligently with CSL Seqirus to prepare KOSTAIVE regulatory filings for the United States and the United Kingdom.”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Recent Corporate Highlights</w:t>
      </w:r>
    </w:p>
    <w:p>
      <w:pPr>
        <w:spacing w:after="0" w:line="31" w:lineRule="exact"/>
        <w:rPr>
          <w:sz w:val="20"/>
          <w:szCs w:val="20"/>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has advanced the development of ARCT-032, an mRNA therapeutic candidate for cystic fibrosis. In December 2024, the Company initiated dosing of the first CF participant in an open label Phase 2 multiple ascending dose study.</w:t>
      </w:r>
    </w:p>
    <w:p>
      <w:pPr>
        <w:ind w:left="1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Each adult participant in the Phase 2 CF study (NCT06747858) is expected to receive daily inhaled treatments of ARCT-032 over a period of 28 days. The trial involves a relatively low number of study visits and 12 weeks of follow up.</w:t>
      </w:r>
    </w:p>
    <w:p>
      <w:pPr>
        <w:ind w:left="1300" w:right="1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Company expects to provide interim data from participants who completed dosing in the ARCT-032 Phase 2 study by the end of Q2 2025.</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has advanced the development of ARCT-810, an mRNA therapeutic candidate for ornithine transcarbamylase (OTC) deficiency. In December 2024, the Company initiated dosing of the first OTC deficient participant who received 0.5 mg/kg in the Phase 2 multiple ascending dose study.</w:t>
      </w:r>
    </w:p>
    <w:p>
      <w:pPr>
        <w:spacing w:after="0" w:line="1" w:lineRule="exact"/>
        <w:rPr>
          <w:rFonts w:ascii="Times New Roman" w:cs="Times New Roman" w:eastAsia="Times New Roman" w:hAnsi="Times New Roman"/>
          <w:sz w:val="18"/>
          <w:szCs w:val="18"/>
          <w:color w:val="auto"/>
        </w:rPr>
      </w:pPr>
    </w:p>
    <w:p>
      <w:pPr>
        <w:ind w:left="1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Each adult and adolescent participant in the open label Phase 2 OTC deficiency study (NCT06488313) is expected to receive five intravenous infusions of ARCT-810 over a period of two months. The Company previously announced the completion of the dosing phase (N = 8; 0.3 mg/kg) in a placebo-controlled European study enrolling OTC deficient individuals.</w:t>
      </w:r>
    </w:p>
    <w:p>
      <w:pPr>
        <w:spacing w:after="0" w:line="1" w:lineRule="exact"/>
        <w:rPr>
          <w:rFonts w:ascii="Times New Roman" w:cs="Times New Roman" w:eastAsia="Times New Roman" w:hAnsi="Times New Roman"/>
          <w:sz w:val="18"/>
          <w:szCs w:val="18"/>
          <w:color w:val="auto"/>
        </w:rPr>
      </w:pPr>
    </w:p>
    <w:p>
      <w:pPr>
        <w:ind w:left="1300" w:right="10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Company expects to provide interim data from participants who completed dosing in the ARCT-810 Phase 2 study by the end of Q2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328" w:hanging="328"/>
        <w:spacing w:after="0" w:line="261"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received approval from the European Commission (EC) in February for KOSTAIVE, the world’s first approved sa-mRNA COVID-19 vaccine.</w:t>
      </w: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centralized marketing authorization of KOSTAIVE provided by the EC is valid in all 27 European Union (EU) member states and 3 additional European Economic Area (EEA) countries.</w:t>
      </w: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approval is based on positive clinical data from several studies, including an integrated phase 1/2/3 study demonstrating KOSTAIVE’s efficacy and tolerability against COVID-19, and a Phase 3 COVID-19 booster trial, which achieved higher immunogenicity results compared to a conventional mRNA COVID-19 vaccine comparator. A follow-up analysis evaluating a booster dose of KOSTAIVE also showed that the vaccine elicited superior immunogenicity and antibody persistence for up to 12 months post vaccination against multiple SARS-CoV-2 strains in both younger and older adult age groups versus the mRNA comparator.</w:t>
      </w:r>
    </w:p>
    <w:p>
      <w:pPr>
        <w:spacing w:after="0" w:line="1" w:lineRule="exact"/>
        <w:rPr>
          <w:rFonts w:ascii="Times New Roman" w:cs="Times New Roman" w:eastAsia="Times New Roman" w:hAnsi="Times New Roman"/>
          <w:sz w:val="18"/>
          <w:szCs w:val="18"/>
          <w:color w:val="auto"/>
        </w:rPr>
      </w:pP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approval follows a positive opinion adopted by the Committee for Medicinal Products for Human Use (CHMP) of the European Medicines Agency (EMA) on December 12, 2024.</w:t>
      </w:r>
    </w:p>
    <w:p>
      <w:pPr>
        <w:ind w:left="328"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Meiji Seika Pharma, along with Arcturus’ manufacturing joint venture ARCALIS, received Ministry of Health, Labour and Welfare (MHLW) approval for adding commercial manufacturing sites in Japan for KOSTAIVE.</w:t>
      </w: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Domestically produced products with active pharmaceutical ingredients manufactured at ARCALIS’s Minami-soma facilities, and formulated at Meiji Seika Pharmatech, are now able to be shipped for commercial use in Japan.</w:t>
      </w:r>
    </w:p>
    <w:p>
      <w:pPr>
        <w:ind w:left="968" w:right="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Meiji Seika Pharma announced an investment in ARCALIS, Inc. in November 2024. The combination of ARCALIS' advanced technology and operations in mRNA pharmaceuticals and vaccines with Meiji Seika Pharma's expertise in manufacturing, post-marketing safety management and stable product supply is expected to significantly improve the supply of mRNA vaccines in Japan.</w:t>
      </w:r>
    </w:p>
    <w:p>
      <w:pPr>
        <w:spacing w:after="0" w:line="1" w:lineRule="exact"/>
        <w:rPr>
          <w:rFonts w:ascii="Times New Roman" w:cs="Times New Roman" w:eastAsia="Times New Roman" w:hAnsi="Times New Roman"/>
          <w:sz w:val="18"/>
          <w:szCs w:val="18"/>
          <w:color w:val="auto"/>
        </w:rPr>
      </w:pPr>
    </w:p>
    <w:p>
      <w:pPr>
        <w:ind w:left="328" w:right="100"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Meiji Seika Pharma submitted a manufacturing and marketing application for Two-Dose Vial of KOSTAIVE, to the Pharmaceuticals and Medical Devices Agency (PMDA) in Japan.</w:t>
      </w:r>
    </w:p>
    <w:p>
      <w:pPr>
        <w:jc w:val="both"/>
        <w:ind w:left="328"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 xml:space="preserve">The </w:t>
      </w:r>
      <w:r>
        <w:rPr>
          <w:rFonts w:ascii="Times New Roman" w:cs="Times New Roman" w:eastAsia="Times New Roman" w:hAnsi="Times New Roman"/>
          <w:sz w:val="18"/>
          <w:szCs w:val="18"/>
          <w:color w:val="000000"/>
        </w:rPr>
        <w:t>Company initiated the Phase 1 study of ARCT-2304, a self-amplifying mRNA (sa-mRNA) vaccine candidate, also known as LUNAR-H5N1,</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for active immunization to prevent pandemic influenza disease caused by H5N1 virus. LUNAR-H5N1 is the third STARR® mRNA vaccine candidate to enter the clinic.</w:t>
      </w:r>
    </w:p>
    <w:p>
      <w:pPr>
        <w:spacing w:after="0" w:line="1" w:lineRule="exact"/>
        <w:rPr>
          <w:rFonts w:ascii="Times New Roman" w:cs="Times New Roman" w:eastAsia="Times New Roman" w:hAnsi="Times New Roman"/>
          <w:sz w:val="18"/>
          <w:szCs w:val="18"/>
          <w:color w:val="auto"/>
        </w:rPr>
      </w:pP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Arcturus received clearance from the FDA to begin an H5N1 pandemic flu vaccine clinical trial in November 2024. The clinical study is funded by Biomedical Advanced Research and Development Authority (BARDA) and designed to enroll approximately 200 healthy adults in the United States.</w:t>
      </w:r>
    </w:p>
    <w:p>
      <w:pPr>
        <w:spacing w:after="0" w:line="1" w:lineRule="exact"/>
        <w:rPr>
          <w:rFonts w:ascii="Times New Roman" w:cs="Times New Roman" w:eastAsia="Times New Roman" w:hAnsi="Times New Roman"/>
          <w:sz w:val="18"/>
          <w:szCs w:val="18"/>
          <w:color w:val="auto"/>
        </w:rPr>
      </w:pP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First Phase 1 participant was dosed December 2024, and the Company expects interim Phase 1 data in H2 2025.</w:t>
      </w:r>
    </w:p>
    <w:p>
      <w:pPr>
        <w:spacing w:after="0" w:line="9" w:lineRule="exact"/>
        <w:rPr>
          <w:rFonts w:ascii="Times New Roman" w:cs="Times New Roman" w:eastAsia="Times New Roman" w:hAnsi="Times New Roman"/>
          <w:sz w:val="18"/>
          <w:szCs w:val="18"/>
          <w:color w:val="auto"/>
        </w:rPr>
      </w:pPr>
    </w:p>
    <w:p>
      <w:pPr>
        <w:ind w:left="968"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primary objective of this initial clinical trial is to evaluate safety and immune responses of three different dose levels and two different vaccination schedules of ARCT-2304 vaccine. Immune responses are measured by hemagglutination inhibition (HAI), virus microneutralization (MN) and neuraminidase enzyme-linked lectin assays (ELLA).</w:t>
      </w:r>
    </w:p>
    <w:p>
      <w:pPr>
        <w:spacing w:after="0" w:line="1" w:lineRule="exact"/>
        <w:rPr>
          <w:rFonts w:ascii="Times New Roman" w:cs="Times New Roman" w:eastAsia="Times New Roman" w:hAnsi="Times New Roman"/>
          <w:sz w:val="18"/>
          <w:szCs w:val="18"/>
          <w:color w:val="auto"/>
        </w:rPr>
      </w:pPr>
    </w:p>
    <w:p>
      <w:pPr>
        <w:ind w:left="328" w:right="20" w:hanging="328"/>
        <w:spacing w:after="0" w:line="26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the Company announced the appointment of Moncef Slaoui, Ph.D., as Chair Designate. Dr. Slaoui is currently on the Company’s Board of Directors, a position he has held since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-3850005</wp:posOffset>
            </wp:positionV>
            <wp:extent cx="713232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-2889885</wp:posOffset>
            </wp:positionV>
            <wp:extent cx="7132320" cy="96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96012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349885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8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 months ended December 31, 2024, and the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in conjunction with strategic alliances and collaborations: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Arcturus’ primary revenue streams include license fees, consulting and related technology transfer fees, reservation fees and collaborative payments received from research and development arrangements with pharmaceutical and biotechnology partners. For the three months ended December 31, 2024, we reported revenue of $22.8 million, a decrease of $8.1 million from the $30.9 million reported in the same period in 2023. The decline was attributable to lower milestone achievements from the CSL agreement during the fourth quarter of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reported revenue of $152.3 million, a decrease of $14.5 million from the $166.8 million reported for the year ended 2023. The decrease was due to lower milestone achievements from the CSL agreement, offset by increased BARDA revenue due to progress of the pandemic flu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operating expenses for the three months ended December 31, 2024, were $56.2 million compared with $49.1 million for the three months ended December 31, 2023. Total operating expenses for the year ended December 31, 2024, were $248.0 million compared with $245.0 million for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manufacturing costs, in vivo research studies and clinical trials performed by contract research organizations, clinical and regulatory consultants, personnel-related expenses, facility-related expenses and laboratory supplies related to conducting research and development activities. Research and development expenses were $43.8 million for the three months ended December 31, 2024, compared with $36.6 million for the three months ended December 31, 2023. Additionally, research and development expenses were $195.2 million for the year ended December 31, 2024, compared with $192.1 million for the year ended December 31, 2023. The increase in research and development expenses for both the quarter and the full year was primarily driven by higher clinical trial costs associated with our OTC and CF programs, as well as the COVID-19 and LUNAR-FLU programs in collaboration with CSL. However, the increase was partially offset by a reduction in manufacturing expenses related to clinical trials and drug supply agreements as part of the COVID-19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related benefits for executive, administrative, legal and accounting functions and professional service fees for legal and accounting services as well as other general and administrative expenses. General and administrative expenses were $12.4 million for the three months ended December 31, 2024, compared with $12.5 million for the three months ended December 31, 2023. Additionally, General and administrative expenses were $52.8 million for the year ended December 31, 2024, compared with $52.9 million for the year ended December 31, 2023. These expenses remained relatively consistent between the two periods. We expect general and administrative expenses to decrease slightly during the next twelve months driven by lower share-based compensation costs and a reduction in general and administrative expenses related to the commercial transition of the COVID program to CSL.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December 31, 2024, Arcturus reported a net loss of approximately $30.0 million, or ($1.11) per diluted share, compared with a net loss of $11.7 million, or ($0.44) per diluted share for the three months ended December 31, 2023. Additionally, for the year ended December 31, 2024, Arcturus reported a net loss of approximately $80.9 million, or ($3.00) per diluted share, compared with a net loss of $29.7 million, or ($1.12) per diluted share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Position and Balance Sheet: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cash equivalents and restricted cash were $293.9 million as of December 31, 2024, and $348.9 million on December 31, 2023. Arcturus achieved a total of approximately $473.1 million in upfront payments and milestones from CSL as of December 31, 2024, and expects to continue to receive future milestone payments from CSL supporting the ongoing development of the COVID program. During the quarter ended December 31, 2024, CSL reported to Arcturus that Arcturus’ share of gross profit from sales of KOSTAIVE was approximately $28.0 million. This amount will be credited against Arcturus’ share of the COVID-19 program costs paid by CSL. When CSL has recouped Arcturus’ share of such costs, Arcturus will begin to receive shared net profit payments from CSL for sales of KOSTAIVE, consistent with Arcturus’ eligibility to receive a 40% share of net profits from COVID-19 vaccine sales. Based on the current pipeline and programs, the cash runway is expected to extend until the end of Q1 2027.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Arcturus Therapeutics Fourth Quarter and Full Year 2024 Earnings Conference Call</w:t>
      </w:r>
    </w:p>
    <w:p>
      <w:pPr>
        <w:spacing w:after="0" w:line="3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Thursday, March 6, 2025 @4:30 p.m. 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1-800-267-6316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1-203-518-9783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ARCTURUS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Link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Arcturus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Founded in 2013 and based in San Diego, California, Arcturus Therapeutics Holdings Inc. (Nasdaq: ARCT) is a commercial mRNA medicines and vaccines company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ornithine transcarbamylase (OTC) deficiency and cystic fibrosis (CF),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500 patents and patent applications in the U.S., Europe, Japan, China, and other countries). For more information, visit www.ArcturusRx.com. In addition, please connect with us on Twitter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w:t>
      </w:r>
    </w:p>
    <w:p>
      <w:pPr>
        <w:spacing w:after="0" w:line="1" w:lineRule="exact"/>
        <w:rPr>
          <w:sz w:val="20"/>
          <w:szCs w:val="20"/>
          <w:color w:val="auto"/>
        </w:rPr>
      </w:pPr>
    </w:p>
    <w:p>
      <w:pPr>
        <w:jc w:val="both"/>
        <w:ind w:firstLine="8"/>
        <w:spacing w:after="0" w:line="251" w:lineRule="auto"/>
        <w:tabs>
          <w:tab w:leader="none" w:pos="3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partnered programs (including the COVID-19 and flu programs partnered with CSL Seqirus), the anticipated timing for providing interim data from the ARCT-032 Phase 2 CF study and the ARCT-810 Phase 2 OTC deficiency study, the completion of and timing for KOSTAIVE regulatory filings for the United States and United Kingdom, the expected treatment protocol for the ARCT-032 Phase 2 CF study, the expected infusions and timing therefor for the ARCT-810 Phase 2 OTC deficiency study, the potential supply of mRNA vaccines by Meiji Seika Pharma and ARCALIS, the likelihood that CSL Seqirus will recoup the development costs of the COVID-19 program and that Arcturus will receive net profit payments from CSL Seqirus for sales of KOSTAIVE, the likelihood that preclinical or clinical data will be predictive of future clinical results, the likelihood or timing of collection of accounts receivables including expected payments from CSL Seqirus,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Arcturus Therapeutics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237,028</w:t>
            </w:r>
          </w:p>
        </w:tc>
        <w:tc>
          <w:tcPr>
            <w:tcW w:w="5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292,005</w:t>
            </w: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32,064</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9,977</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7,521</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305,979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386,590</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12,427</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26,674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28,500</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1,885</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344,069</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429,402</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7,194</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38,781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19,514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44,829</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65,489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81,989</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42,496</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24,998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25,907</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103,091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150,889</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 outstanding shares were 27,000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December 31, 2024 and 26,828 at December 31, 2023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689,758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646,352</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(448,807)</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(367,866)</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240,978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278,513</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344,069</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429,402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138,389</w:t>
            </w:r>
          </w:p>
        </w:tc>
        <w:tc>
          <w:tcPr>
            <w:tcW w:w="6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157,748</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205,755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9,051</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152,310</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166,799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205,999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192,133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147,751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52,871</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46,071</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247,979</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245,004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193,822</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foreign currency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(expense),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33,953</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1,835</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(80,941)</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calculation of (loss) earnings per share: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26,445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26,628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27,093</w:t>
            </w:r>
          </w:p>
        </w:tc>
        <w:tc>
          <w:tcPr>
            <w:tcW w:w="0" w:type="dxa"/>
            <w:vAlign w:val="bottom"/>
          </w:tcPr>
          <w:p>
            <w:pPr>
              <w:spacing w:after="0"/>
              <w:rPr>
                <w:sz w:val="1"/>
                <w:szCs w:val="1"/>
                <w:color w:val="auto"/>
              </w:rPr>
            </w:pPr>
          </w:p>
        </w:tc>
      </w:tr>
      <w:tr>
        <w:trPr>
          <w:trHeight w:val="567"/>
        </w:trPr>
        <w:tc>
          <w:tcPr>
            <w:tcW w:w="6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7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20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21,000</w:t>
            </w:r>
          </w:p>
        </w:tc>
        <w:tc>
          <w:tcPr>
            <w:tcW w:w="7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25,078</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17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1,766</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5,777</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22,766</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30,855</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43,780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36,620</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12,380</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12,507</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56,160</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49,127</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Gain (loss) gain from foreign currency</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17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3,214</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2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0" w:type="dxa"/>
            <w:vAlign w:val="bottom"/>
          </w:tcPr>
          <w:p>
            <w:pPr>
              <w:spacing w:after="0"/>
              <w:rPr>
                <w:sz w:val="1"/>
                <w:szCs w:val="1"/>
                <w:color w:val="auto"/>
              </w:rPr>
            </w:pPr>
          </w:p>
        </w:tc>
      </w:tr>
      <w:tr>
        <w:trPr>
          <w:trHeight w:val="197"/>
        </w:trPr>
        <w:tc>
          <w:tcPr>
            <w:tcW w:w="61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Comprehensive loss</w:t>
            </w:r>
          </w:p>
        </w:tc>
        <w:tc>
          <w:tcPr>
            <w:tcW w:w="17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(30,005)</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(11,707)</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calculation of loss per share:</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27,000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26,628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810"/>
    </w:lvl>
  </w:abstractNum>
  <w:abstractNum w:abstractNumId="5">
    <w:nsid w:val="507ED7AB"/>
    <w:multiLevelType w:val="hybridMultilevel"/>
    <w:lvl w:ilvl="0">
      <w:lvlJc w:val="left"/>
      <w:lvlText w:val="(%1)"/>
      <w:numFmt w:val="decimal"/>
      <w:start w:val="85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2025-03-06T15:13:53Z</dcterms:created>
  <dcterms:modified xsi:type="dcterms:W3CDTF">2025-03-06T15:13:53Z</dcterms:modified>
</cp:coreProperties>
</file>