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333-209960</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1, 2016)</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$30,000,000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135890</wp:posOffset>
            </wp:positionV>
            <wp:extent cx="2564130" cy="857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413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Leerink Partners LLC, or Leerink, dated October 15, 2018, relating to our ordinary shares, par value NIS 0.07 per share, offered by this prospectus supplement and the accompanying prospectus. In accordance with the terms of the Sales Agreement, we may offer and sell our ordinary shares having an aggregate offering price of up to $30,000,000 from time to time through Leerink, acting as our agent.</w:t>
      </w:r>
    </w:p>
    <w:p>
      <w:pPr>
        <w:spacing w:after="0" w:line="180" w:lineRule="exact"/>
        <w:rPr>
          <w:sz w:val="24"/>
          <w:szCs w:val="24"/>
          <w:color w:val="auto"/>
        </w:rPr>
      </w:pPr>
    </w:p>
    <w:p>
      <w:pPr>
        <w:ind w:right="640" w:firstLine="441"/>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“ARCT.” On October 12, 2018, the last reported sale price of our ordinary shares on the Nasdaq Global Market was $7.00 per share.</w:t>
      </w:r>
    </w:p>
    <w:p>
      <w:pPr>
        <w:spacing w:after="0" w:line="162" w:lineRule="exact"/>
        <w:rPr>
          <w:sz w:val="24"/>
          <w:szCs w:val="24"/>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Sales of our ordinary shares, if any, under this prospectus supplement and the accompanying prospectus may be made in sales deemed to be an “at the market offering” as defined in Rule 415(a)(4) promulgated under the Securities Act of 1933, as amended, or the Securities Act. Leerink is not required to sell any specific number or dollar amount of our ordinary shares but will act as our sales agent on a best efforts basis and use commercially reasonable efforts to sell on our behalf all of the ordinary shares requested to be sold by us consistent with its normal trading and sales practices, on mutually agreed terms between Leerink and us. There is no arrangement for funds to be received in any escrow, trust or similar arrangement.</w:t>
      </w:r>
    </w:p>
    <w:p>
      <w:pPr>
        <w:spacing w:after="0" w:line="184" w:lineRule="exact"/>
        <w:rPr>
          <w:sz w:val="24"/>
          <w:szCs w:val="24"/>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compensation payable to Leerink for sales of ordinary shares sold pursuant to the Sales Agreement will be an amount equal to 3.0% of the gross proceeds of any ordinary shares sold under the Sales Agreement. See “Plan of Distribution” beginning on page S-10 for additional information regarding the compensation to be paid to Leerink. In connection with the sale of the ordinary shares on our behalf, Leerink will be deemed to be an “underwriter” within the meaning of the Securities Act, and the compensation paid to Leerink will be deemed to be underwriting commissions or discounts. We have also agreed in the Sales Agreement to provide indemnification and contribution to Leerink with respect to certain liabilities, including liabilities under the Securities Act or the Securities Exchange Act of 1934, as amended, or the Exchange Act.</w:t>
      </w:r>
    </w:p>
    <w:p>
      <w:pPr>
        <w:spacing w:after="0" w:line="184" w:lineRule="exact"/>
        <w:rPr>
          <w:sz w:val="24"/>
          <w:szCs w:val="24"/>
          <w:color w:val="auto"/>
        </w:rPr>
      </w:pPr>
    </w:p>
    <w:p>
      <w:pPr>
        <w:ind w:right="2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See “Risk Factors” beginning on page S-4 of this prospectus supplement and the risk factors in the documents incorporated by reference in this prospectus supplement and the accompanying prospectus.</w:t>
      </w:r>
    </w:p>
    <w:p>
      <w:pPr>
        <w:spacing w:after="0" w:line="155" w:lineRule="exact"/>
        <w:rPr>
          <w:sz w:val="24"/>
          <w:szCs w:val="24"/>
          <w:color w:val="auto"/>
        </w:rPr>
      </w:pPr>
    </w:p>
    <w:p>
      <w:pPr>
        <w:ind w:right="5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112395</wp:posOffset>
            </wp:positionV>
            <wp:extent cx="2435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Leerink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60" w:type="dxa"/>
            <w:vAlign w:val="bottom"/>
          </w:tcPr>
          <w:p>
            <w:pPr>
              <w:spacing w:after="0"/>
              <w:rPr>
                <w:sz w:val="20"/>
                <w:szCs w:val="20"/>
                <w:color w:val="auto"/>
              </w:rPr>
            </w:pPr>
          </w:p>
        </w:tc>
      </w:tr>
      <w:tr>
        <w:trPr>
          <w:trHeight w:val="459"/>
        </w:trPr>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960" w:type="dxa"/>
            <w:vAlign w:val="bottom"/>
          </w:tcPr>
          <w:p>
            <w:pPr>
              <w:spacing w:after="0"/>
              <w:rPr>
                <w:sz w:val="24"/>
                <w:szCs w:val="24"/>
                <w:color w:val="auto"/>
              </w:rPr>
            </w:pPr>
          </w:p>
        </w:tc>
      </w:tr>
      <w:tr>
        <w:trPr>
          <w:trHeight w:val="432"/>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ABOUT THIS PROSPECTUS SUPPLEMENT</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318"/>
        </w:trPr>
        <w:tc>
          <w:tcPr>
            <w:tcW w:w="33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PROSPECTUS SUPPLEMENT SUMMARY</w:t>
              </w:r>
            </w:hyperlink>
          </w:p>
        </w:tc>
        <w:tc>
          <w:tcPr>
            <w:tcW w:w="140" w:type="dxa"/>
            <w:vAlign w:val="bottom"/>
            <w:tcBorders>
              <w:top w:val="single" w:sz="8" w:color="0000EE"/>
            </w:tcBorders>
            <w:gridSpan w:val="2"/>
          </w:tcPr>
          <w:p>
            <w:pPr>
              <w:spacing w:after="0"/>
              <w:rPr>
                <w:sz w:val="24"/>
                <w:szCs w:val="24"/>
                <w:color w:val="auto"/>
              </w:rPr>
            </w:pPr>
          </w:p>
        </w:tc>
        <w:tc>
          <w:tcPr>
            <w:tcW w:w="6040" w:type="dxa"/>
            <w:vAlign w:val="bottom"/>
            <w:gridSpan w:val="8"/>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THE OFFERING</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w:t>
            </w:r>
          </w:p>
        </w:tc>
      </w:tr>
      <w:tr>
        <w:trPr>
          <w:trHeight w:val="318"/>
        </w:trPr>
        <w:tc>
          <w:tcPr>
            <w:tcW w:w="12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20" w:type="dxa"/>
            <w:vAlign w:val="bottom"/>
            <w:tcBorders>
              <w:top w:val="single" w:sz="8" w:color="0000EE"/>
            </w:tcBorders>
          </w:tcPr>
          <w:p>
            <w:pPr>
              <w:spacing w:after="0"/>
              <w:rPr>
                <w:sz w:val="24"/>
                <w:szCs w:val="24"/>
                <w:color w:val="auto"/>
              </w:rPr>
            </w:pPr>
          </w:p>
        </w:tc>
        <w:tc>
          <w:tcPr>
            <w:tcW w:w="8200" w:type="dxa"/>
            <w:vAlign w:val="bottom"/>
            <w:gridSpan w:val="18"/>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w:t>
            </w:r>
          </w:p>
        </w:tc>
      </w:tr>
      <w:tr>
        <w:trPr>
          <w:trHeight w:val="318"/>
        </w:trPr>
        <w:tc>
          <w:tcPr>
            <w:tcW w:w="5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CAUTIONARY NOTE REGARDING FORWARD-LOOKING STATEMENTS</w:t>
              </w:r>
            </w:hyperlink>
          </w:p>
        </w:tc>
        <w:tc>
          <w:tcPr>
            <w:tcW w:w="36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S-7</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USE OF PROCEEDS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8"/>
        </w:trPr>
        <w:tc>
          <w:tcPr>
            <w:tcW w:w="31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PRICE RANGE OF ORDINARY SHARES</w:t>
              </w:r>
            </w:hyperlink>
          </w:p>
        </w:tc>
        <w:tc>
          <w:tcPr>
            <w:tcW w:w="6300" w:type="dxa"/>
            <w:vAlign w:val="bottom"/>
            <w:gridSpan w:val="1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DILUTION</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8"/>
        </w:trPr>
        <w:tc>
          <w:tcPr>
            <w:tcW w:w="2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PLAN OF DISTRIBUTION</w:t>
              </w:r>
            </w:hyperlink>
          </w:p>
        </w:tc>
        <w:tc>
          <w:tcPr>
            <w:tcW w:w="7420" w:type="dxa"/>
            <w:vAlign w:val="bottom"/>
            <w:gridSpan w:val="14"/>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LEGAL MATTERS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318"/>
        </w:trPr>
        <w:tc>
          <w:tcPr>
            <w:tcW w:w="7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5"/>
          </w:tcPr>
          <w:p>
            <w:pPr>
              <w:spacing w:after="0"/>
              <w:rPr>
                <w:sz w:val="24"/>
                <w:szCs w:val="24"/>
                <w:color w:val="auto"/>
              </w:rPr>
            </w:pPr>
          </w:p>
        </w:tc>
        <w:tc>
          <w:tcPr>
            <w:tcW w:w="8020" w:type="dxa"/>
            <w:vAlign w:val="bottom"/>
            <w:gridSpan w:val="1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WHERE YOU CAN FIND MORE INFORMATION</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8"/>
        </w:trPr>
        <w:tc>
          <w:tcPr>
            <w:tcW w:w="40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INFORMATION INCORPORATED BY REFERENCE</w:t>
              </w:r>
            </w:hyperlink>
          </w:p>
        </w:tc>
        <w:tc>
          <w:tcPr>
            <w:tcW w:w="544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480"/>
        </w:trPr>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960" w:type="dxa"/>
            <w:vAlign w:val="bottom"/>
          </w:tcPr>
          <w:p>
            <w:pPr>
              <w:spacing w:after="0"/>
              <w:rPr>
                <w:sz w:val="24"/>
                <w:szCs w:val="24"/>
                <w:color w:val="auto"/>
              </w:rPr>
            </w:pPr>
          </w:p>
        </w:tc>
      </w:tr>
      <w:tr>
        <w:trPr>
          <w:trHeight w:val="432"/>
        </w:trPr>
        <w:tc>
          <w:tcPr>
            <w:tcW w:w="2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ABOUT THIS PROSPECTUS</w:t>
              </w:r>
            </w:hyperlink>
          </w:p>
        </w:tc>
        <w:tc>
          <w:tcPr>
            <w:tcW w:w="7240" w:type="dxa"/>
            <w:vAlign w:val="bottom"/>
            <w:gridSpan w:val="13"/>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1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ABOUT ALCOBRA LTD.</w:t>
              </w:r>
            </w:hyperlink>
          </w:p>
        </w:tc>
        <w:tc>
          <w:tcPr>
            <w:tcW w:w="7520" w:type="dxa"/>
            <w:vAlign w:val="bottom"/>
            <w:gridSpan w:val="15"/>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RISK FACTORS</w:t>
              </w:r>
            </w:hyperlink>
          </w:p>
        </w:tc>
        <w:tc>
          <w:tcPr>
            <w:tcW w:w="8220" w:type="dxa"/>
            <w:vAlign w:val="bottom"/>
            <w:gridSpan w:val="1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4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WARNING REGARDING FORWARD-LOOKING STATEMENTS</w:t>
              </w:r>
            </w:hyperlink>
          </w:p>
        </w:tc>
        <w:tc>
          <w:tcPr>
            <w:tcW w:w="454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CAPITALIZATION AND INDEBTEDNESS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380" w:type="dxa"/>
            <w:vAlign w:val="bottom"/>
            <w:gridSpan w:val="9"/>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REASONS FOR THE OFFER AND USE OF PROCEEDS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362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PRICE RANGE OF OUR ORDINARY SHARES</w:t>
              </w:r>
            </w:hyperlink>
          </w:p>
        </w:tc>
        <w:tc>
          <w:tcPr>
            <w:tcW w:w="660" w:type="dxa"/>
            <w:vAlign w:val="bottom"/>
            <w:tcBorders>
              <w:top w:val="single" w:sz="8" w:color="0000EE"/>
            </w:tcBorders>
            <w:gridSpan w:val="3"/>
          </w:tcPr>
          <w:p>
            <w:pPr>
              <w:spacing w:after="0"/>
              <w:rPr>
                <w:sz w:val="24"/>
                <w:szCs w:val="24"/>
                <w:color w:val="auto"/>
              </w:rPr>
            </w:pPr>
          </w:p>
        </w:tc>
        <w:tc>
          <w:tcPr>
            <w:tcW w:w="52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36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DESCRIPTION OF OUR ORDINARY SHARES</w:t>
              </w:r>
            </w:hyperlink>
          </w:p>
        </w:tc>
        <w:tc>
          <w:tcPr>
            <w:tcW w:w="588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2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PLAN OF DISTRIBUTION</w:t>
              </w:r>
            </w:hyperlink>
          </w:p>
        </w:tc>
        <w:tc>
          <w:tcPr>
            <w:tcW w:w="7420" w:type="dxa"/>
            <w:vAlign w:val="bottom"/>
            <w:gridSpan w:val="14"/>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8"/>
        </w:trPr>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EXPENSES</w:t>
              </w:r>
            </w:hyperlink>
          </w:p>
        </w:tc>
        <w:tc>
          <w:tcPr>
            <w:tcW w:w="8580" w:type="dxa"/>
            <w:vAlign w:val="bottom"/>
            <w:gridSpan w:val="2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MATTERS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7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5"/>
          </w:tcPr>
          <w:p>
            <w:pPr>
              <w:spacing w:after="0"/>
              <w:rPr>
                <w:sz w:val="24"/>
                <w:szCs w:val="24"/>
                <w:color w:val="auto"/>
              </w:rPr>
            </w:pPr>
          </w:p>
        </w:tc>
        <w:tc>
          <w:tcPr>
            <w:tcW w:w="8020" w:type="dxa"/>
            <w:vAlign w:val="bottom"/>
            <w:gridSpan w:val="1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94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WHERE YOU CAN FIND MORE INFORMATION AND INCORPORATION OF CERTAIN INFORMATION BY REFERENCE</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9480" w:type="dxa"/>
            <w:vAlign w:val="bottom"/>
            <w:gridSpan w:val="2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ENFORCEABILITY OF CIVIL LIABILITIES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91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2"/>
          </w:tcPr>
          <w:p>
            <w:pPr>
              <w:jc w:val="center"/>
              <w:ind w:right="3000"/>
              <w:spacing w:after="0"/>
              <w:rPr>
                <w:sz w:val="20"/>
                <w:szCs w:val="20"/>
                <w:color w:val="auto"/>
              </w:rPr>
            </w:pPr>
            <w:r>
              <w:rPr>
                <w:rFonts w:ascii="Times New Roman" w:cs="Times New Roman" w:eastAsia="Times New Roman" w:hAnsi="Times New Roman"/>
                <w:sz w:val="18"/>
                <w:szCs w:val="18"/>
                <w:color w:val="auto"/>
              </w:rPr>
              <w:t>S-1</w:t>
            </w:r>
          </w:p>
        </w:tc>
        <w:tc>
          <w:tcPr>
            <w:tcW w:w="1960" w:type="dxa"/>
            <w:vAlign w:val="bottom"/>
          </w:tcPr>
          <w:p>
            <w:pPr>
              <w:spacing w:after="0"/>
              <w:rPr>
                <w:sz w:val="24"/>
                <w:szCs w:val="24"/>
                <w:color w:val="auto"/>
              </w:rPr>
            </w:pPr>
          </w:p>
        </w:tc>
      </w:tr>
      <w:tr>
        <w:trPr>
          <w:trHeight w:val="169"/>
        </w:trPr>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prospectus supplement contains two parts. The first part consists of this prospectus supplement, which describes the terms of this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that any statement we make in this prospectus supplement is inconsistent with statements made in the accompanying prospectus or any documents incorporated by reference herein or therein filed prior to the date of this prospectus supplement, the statements made in this prospectus supplement will be deemed to modify or supersede those made in the accompanying prospectus and such documents incorporated by reference herein and therein; provided that if any statement in one of these documents is inconsistent with a statement in another document having a later date—for example, a document incorporated by reference into the accompanying prospectus—the statement in the document having the later date modifies or supersedes the earlier statement.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have authorized for use in connection with this offering. Neither we nor Leerink Partners LLC, or Leerink,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do not constitute an offer to sell, or the solicitation of an offer to buy, the securities offered by this prospectus supplement and the accompanying prospectus in any jurisdiction to or from any person to whom or from whom it is unlawful to make such offer or solicitation of an offer in such jurisdiction. You should assume that the information contained in this prospectus supplement, the accompanying prospectus, and the documents incorporated by reference herein and in any free writing prospectus that we have authorized for use in connection with this offering is accurate only as of the date of those respective documents, even though this prospectus supplement, the accompanying prospectus or any related free writing prospectus may be delivered, or securities sold, on a later date. Our business, financial condition, results of operations and prospects may have changed materially since those dates.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and the accompanying prospectus, including the information incorporated by reference herein and therein, and any related free writing prospectus that we have authorized for use in connection with this offering. You should also read and consider the information in the documents we have referred you to in the sections of this prospectus supplement and the accompanying prospectus entitled “Where You Can Find More Information” and “Information Incorporated by Reference.” 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Leerink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Neither we nor Leerink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Leerink take no responsibility for, and can provide no assurance as to the reliability of, any other information that others may give you. Persons into whose possession this prospectus comes are advised to inform themselves about and to observe any restrictions relating to the offering and the distribution of this prospectus. Unless the context indicates otherwise, references in this prospectus to “NIS” are to the legal currency of Israel, and “U.S. dollars,” “$” or “dollars” are to United States dollars.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our ordinary shares,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supplement and in our other reports filed from time to time with the SEC, which are incorporated by reference into this prospectus supplement and the accompanying prospectus, before deciding to buy our ordinary shares. Unless the context requires otherwise, references in this prospectus supplement to “Arcturus,” “we,” “us” and “our” refer to Arcturus Therapeutics Ltd. and our subsidiaries.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preclinical nucleic acid medicines company focused on developing therapeutics for rare, infectious, fibrotic, and respiratory diseases with significant unmet medical needs. We have two proprietary technologies with the potential to address the major hurdles in nucleic acid medicine development, namely the effective and safe delivery of nucleic acids to disease-relevant target tissues. We believe the versatility of our platform to target multiple tissues, its compatibility with various nucleic acid therapeutic modalities, and our expertise developing scalable manufacturing processes puts us in a good position to deliver on the next generation of nucleic medicines.</w:t>
      </w:r>
    </w:p>
    <w:p>
      <w:pPr>
        <w:spacing w:after="0" w:line="170" w:lineRule="exact"/>
        <w:rPr>
          <w:sz w:val="20"/>
          <w:szCs w:val="20"/>
          <w:color w:val="auto"/>
        </w:rPr>
      </w:pPr>
    </w:p>
    <w:p>
      <w:pPr>
        <w:ind w:left="680" w:right="100" w:hanging="402"/>
        <w:spacing w:after="0" w:line="229"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novel lipid-mediated delivery system called Lipid-enabled and Unlocked Nucleomonomer Agent modified RNA, or LUNAR. Drawing from a library of over 150 proprietary lipids, LUNAR may be flexibly designed to deliver nucleic acids to many clinically important cells and tissues, including liver hepatocytes, liver stellate cells, myocytes and lung cells, resulting in knockdown or upregulation of target proteins. Our lipids are pH-sensitive and designed to be biodegradable, minimizing lipid accumulation in cells after multiple dosing and potentially improving chronic safety.</w:t>
      </w:r>
    </w:p>
    <w:p>
      <w:pPr>
        <w:spacing w:after="0" w:line="173" w:lineRule="exact"/>
        <w:rPr>
          <w:rFonts w:ascii="Times New Roman" w:cs="Times New Roman" w:eastAsia="Times New Roman" w:hAnsi="Times New Roman"/>
          <w:sz w:val="18"/>
          <w:szCs w:val="18"/>
          <w:color w:val="auto"/>
        </w:rPr>
      </w:pPr>
    </w:p>
    <w:p>
      <w:pPr>
        <w:ind w:left="680" w:right="80" w:hanging="402"/>
        <w:spacing w:after="0" w:line="251"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Unlocked Nucleomonomer Agent, or UNA, oligomer chemistry technology may be incorporated into multiple types of nucleic acid medicines. UNA has the potential to improve the efficacy and/or safety profile of nucleic acid medicines.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LUNAR and UNA technologies are wholly-owned by us and covered by our patent portfolio of 140 patents and patent applications, issued in the United States, China, Europe, Japan and other countries. We believe that we can use our technologies to develop medicines in multiple nucleic acid-based therapeutic modalities: (1) mRNA, DNA, and replicon – up-regulation of proteins for therapeutics or vaccines; (2) siRNA, microRNA, and antisense oligonucleotides – knockdown of genes overexpressed in disease; and (3) CRISPR, TALEN, zinc finger proteins, and meganucleases – gene editing of errant genes. We are using our proprietary technology to develop nucleic acid medicines to treat diseases with clear unmet medical needs, accelerated clinical paths and commercial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15, 2017, Alcobra Ltd. (“Alcobra”), now named Arcturus Therapeutics Ltd. (“Arcturus” or the “Company”), completed its business combination (the “merger”) with Arcturus Therapeutics, Inc. (“Private Arcturus”), in accordance with the terms of the Agreement and Plan of Merger and Reorganization, dated as of September 27, 2017, among Alcobra, Aleph MergerSub, Inc. and Private Arcturus (as amended, the “merger agreement”). In connection with the merger, Alcobra agreed to acquire all of the outstanding common stock of Private Arcturus in exchange for issuing to the Private Arcturus stockholders an aggregate 6,631,712 of Alcobra’s ordinary shares, par value 0.07 NIS per share, after giving effect to a 1-for-7 reverse split effected immediately prior to the merger. As a result of the merger, Private Arcturus became a wholly-owned subsidiary of Alcobra. While Alcobra was the legal acquirer in the transaction, Private Arcturus was deemed the accounting acquirer. Immediately after giving effect to the merger, on November 15, 2017, Alcobra changed its name to Arcturus Therapeutics Ltd. Our current trading symbol is “ARCT.” For more information with respect to the Merger and the reverse share split, refer to our Annual Report on Form 20-F for the fiscal year ended December 31, 2017 filed with the Securities Exchange Commission on May 14, 2018, as amended on July 10, 2018.</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Alcobra Ltd. was incorporated in Israel in 2008 and changed its name to Arcturus Therapeutics Ltd in connection with the merger on November 15, 2017. As part of the merger, the ordinary shares of the Company were listed on Nasdaq under the trading symbol “ARCT,” in place of the previous listing of the ordinary shares of Alcobra, which had traded under the symbol “ADHD.” The business plan of the post-merger company is that of Arcturus Therapeutics, Inc. As an Israeli company, we are subject to the Israeli Companies Law, 5759-1999, or the Israeli Companies Law.</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principal place of business is 10628 Science Center Drive, Suite 250, San Diego, California, and our telephone number is (858) 900-2660. Our agent in the United States is Arcturus Therapeutics, Inc., whose address is that of our San Diego, California headquarters. Our website is www.arcturusrx.com. The information contained on that website is not a part of this prospectus supplement.</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Information concerning our business and our prospects is included in the documents that we file with the SEC as a reporting company under the Exchange Act, which are accessible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and on our website. The public can also obtain copies of these filings by visiting the SEC’s Public Reference Room at 100 F Street NE, Washington D.C. 20549, or by calling the SEC at 1-800-SEC-0330.</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irrevocably appointed our subsidiary, Arcturus Therapeutics, Inc. as our agent to receive service of process in any action against us in the state and federal courts sitting in the City of New York, Borough of Manhattan arising out of any offering under the registration statement of which this prospectus forms a part, or any purchase or sale of securities in connection therewith. We have not given consent for this agent to accept service of process in connection with any other claim.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We will remain an emerging growth company until December 31, 2018.</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considered a “foreign private issuer.”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ordinary shares. Moreover, we are not required to file periodic reports and financial statements with the SEC as frequently or as promptly as domestic issuers whose securities are registered under the Exchange Act, although we reported and intend to continue to report our results of operations voluntarily on a quarterly basis. In addition, we are not required to comply with Regulation FD, which restricts the selective disclosure of material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foreign private issuer.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380"/>
          </w:cols>
          <w:pgMar w:left="240" w:top="509" w:right="27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ordinary shares having an aggregate offering price of up to $30,000,000.</w:t>
      </w:r>
    </w:p>
    <w:p>
      <w:pPr>
        <w:spacing w:after="0" w:line="142" w:lineRule="exact"/>
        <w:rPr>
          <w:sz w:val="20"/>
          <w:szCs w:val="20"/>
          <w:color w:val="auto"/>
        </w:rPr>
      </w:pPr>
    </w:p>
    <w:p>
      <w:pPr>
        <w:sectPr>
          <w:pgSz w:w="11900" w:h="16838" w:orient="portrait"/>
          <w:cols w:equalWidth="0" w:num="2">
            <w:col w:w="3220" w:space="720"/>
            <w:col w:w="7440"/>
          </w:cols>
          <w:pgMar w:left="240" w:top="50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Ordinary shares to be outstanding after this offering</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Up to 4,285,714 shares, assuming a sales price of $7.00 per share, which was the last reported sale price of our ordinary shares on the Nasdaq Global Market on October 12, 2018. The actual number of shares issued will vary depending on the sales price under this offering.</w:t>
      </w:r>
    </w:p>
    <w:p>
      <w:pPr>
        <w:spacing w:after="0" w:line="82" w:lineRule="exact"/>
        <w:rPr>
          <w:sz w:val="20"/>
          <w:szCs w:val="20"/>
          <w:color w:val="auto"/>
        </w:rPr>
      </w:pPr>
    </w:p>
    <w:p>
      <w:pPr>
        <w:sectPr>
          <w:pgSz w:w="11900" w:h="16838" w:orient="portrait"/>
          <w:cols w:equalWidth="0" w:num="2">
            <w:col w:w="3740" w:space="200"/>
            <w:col w:w="7440"/>
          </w:cols>
          <w:pgMar w:left="240" w:top="50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Times New Roman" w:cs="Times New Roman" w:eastAsia="Times New Roman" w:hAnsi="Times New Roman"/>
          <w:sz w:val="17"/>
          <w:szCs w:val="17"/>
          <w:color w:val="auto"/>
        </w:rPr>
        <w:t>Sales of our ordinary shares under this prospectus may be made by any method deemed to be an “at the market offering” as defined in Rule 415(a)(4) under the Securities Act of 1933, as amended. Subject to the terms of the sales agreement, Leerink Partners LLC will make all sales using commercially reasonable efforts consistent with its normal trading and sales practices and applicable state and federal laws, rules and regulations and the rules of The NASDAQ Global Market, on mutually agreeable terms between Leerink Partners LLC and us. See “Plan of Distribution” on page S-10.</w:t>
      </w:r>
    </w:p>
    <w:p>
      <w:pPr>
        <w:spacing w:after="0" w:line="79" w:lineRule="exact"/>
        <w:rPr>
          <w:sz w:val="20"/>
          <w:szCs w:val="20"/>
          <w:color w:val="auto"/>
        </w:rPr>
      </w:pPr>
    </w:p>
    <w:p>
      <w:pPr>
        <w:sectPr>
          <w:pgSz w:w="11900" w:h="16838" w:orient="portrait"/>
          <w:cols w:equalWidth="0" w:num="2">
            <w:col w:w="3220" w:space="720"/>
            <w:col w:w="7440"/>
          </w:cols>
          <w:pgMar w:left="240" w:top="50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if any, for working capital and general corporate purposes, including development expenses and general and administrative expenses. See “Use of Proceeds.”</w:t>
      </w:r>
    </w:p>
    <w:p>
      <w:pPr>
        <w:spacing w:after="0" w:line="82" w:lineRule="exact"/>
        <w:rPr>
          <w:sz w:val="20"/>
          <w:szCs w:val="20"/>
          <w:color w:val="auto"/>
        </w:rPr>
      </w:pPr>
    </w:p>
    <w:p>
      <w:pPr>
        <w:sectPr>
          <w:pgSz w:w="11900" w:h="16838" w:orient="portrait"/>
          <w:cols w:equalWidth="0" w:num="2">
            <w:col w:w="3220" w:space="720"/>
            <w:col w:w="7440"/>
          </w:cols>
          <w:pgMar w:left="240" w:top="50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ind w:right="340"/>
        <w:spacing w:after="0" w:line="261"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You should read the “Risk Factors” section of this prospectus supplement beginning on page S-4 as well as those risk factors that are incorporated by reference in this prospectus supplement and the accompanying prospectus for a discussion of factors to consider carefully before deciding to invest in our ordinary shares.</w:t>
      </w:r>
    </w:p>
    <w:p>
      <w:pPr>
        <w:spacing w:after="0" w:line="86" w:lineRule="exact"/>
        <w:rPr>
          <w:sz w:val="20"/>
          <w:szCs w:val="20"/>
          <w:color w:val="auto"/>
        </w:rPr>
      </w:pPr>
    </w:p>
    <w:p>
      <w:pPr>
        <w:sectPr>
          <w:pgSz w:w="11900" w:h="16838" w:orient="portrait"/>
          <w:cols w:equalWidth="0" w:num="2">
            <w:col w:w="3220" w:space="720"/>
            <w:col w:w="7440"/>
          </w:cols>
          <w:pgMar w:left="240" w:top="50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“ARCT”</w:t>
      </w:r>
    </w:p>
    <w:p>
      <w:pPr>
        <w:spacing w:after="0" w:line="200" w:lineRule="exact"/>
        <w:rPr>
          <w:sz w:val="20"/>
          <w:szCs w:val="20"/>
          <w:color w:val="auto"/>
        </w:rPr>
      </w:pPr>
    </w:p>
    <w:p>
      <w:pPr>
        <w:sectPr>
          <w:pgSz w:w="11900" w:h="16838" w:orient="portrait"/>
          <w:cols w:equalWidth="0" w:num="2">
            <w:col w:w="3220" w:space="720"/>
            <w:col w:w="7440"/>
          </w:cols>
          <w:pgMar w:left="240" w:top="509" w:right="279" w:bottom="1440" w:gutter="0" w:footer="0" w:header="0"/>
          <w:type w:val="continuous"/>
        </w:sectPr>
      </w:pPr>
    </w:p>
    <w:p>
      <w:pPr>
        <w:spacing w:after="0" w:line="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is based on 10,704,988 of our ordinary shares outstanding as of June 30, 2018. The number of our ordinary shares to be outstanding as used throughout this prospectus supplement, unless otherwise indicated, excludes:</w:t>
      </w:r>
    </w:p>
    <w:p>
      <w:pPr>
        <w:spacing w:after="0" w:line="148" w:lineRule="exact"/>
        <w:rPr>
          <w:sz w:val="20"/>
          <w:szCs w:val="20"/>
          <w:color w:val="auto"/>
        </w:rPr>
      </w:pPr>
    </w:p>
    <w:p>
      <w:pPr>
        <w:ind w:left="680" w:right="20" w:hanging="402"/>
        <w:spacing w:after="0" w:line="251"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209,545 ordinary shares issuable upon exercise of options outstanding as of June 30, 2018 under the 2010 Incentive Option Plan, (our “2010 Plan”), at a weighted-average exercise price of $4.38 per share;</w:t>
      </w:r>
    </w:p>
    <w:p>
      <w:pPr>
        <w:spacing w:after="0" w:line="161"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472,502 additional ordinary shares reserved as of June 30, 2018 for issuance under our 2010 Plan; and</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1,100,000 additional ordinary shares reserved for issuance under our 2018 Plan (adopted on July 5, 2018).</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type w:val="continuous"/>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ordinary shares involves a high degree of risk. Before deciding whether to invest in our ordinary shares, you should carefully consider the risks described below and those discussed under the caption entitled “Risk Factors” in our Annual Report on Form 20-F for the year ended December 31, 2017 and any subsequent reports on Form 6-K, which are incorporated by reference in this prospectus supplement and the accompanying prospectus,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ordinary shares to decline, resulting in a loss of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improve our results of operations or enhance the value of our ordinary shares. The failure by our management to apply these funds effectively could result in financial losses, and these financial losses could have a material adverse effect on our business, cause the price of our ordinary shares to decline and delay the development of our product candidates. Pending their use, we may invest the net proceeds from this offering in a manner that does not produce income or that loses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aggregate proceeds resulting from sales made under the Sales Agreement.</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or the Sales Agreement, with Leerink, dated October 15, 2018, and compliance with applicable law, we have the discretion to deliver a placement notice to Leerink at any time throughout the term of the Sales Agreement. The number of shares that are sold through Leerink after delivering a placement notice will fluctuate based on a number of factors, including the market price of our ordinary shares during the sales period, any limits we may set with Leerink in any applicable placement notice and the demand for our ordinary shares. Because the price per share of each share sold pursuant to the Sales Agreement will fluctuate over time, it is not currently possible to predict the aggregate proceeds to be raised in connection with sales under the sales agreement.</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ordinary shares offered hereby may be sold in “at the market offerings,” and investors who buy shares at different times will likely pay different prices.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ordinary shares in this offering, you may incur immediate and substantial dilution in the book value of your shares.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offering price per share of ordinary shares in this offering may exceed the net tangible book value per share of our ordinary shares outstanding prior to this offering. Therefore, if you purchase ordinary shares in this offering, you may pay a price per share that exceeds our as adjusted net tangible book value per share of our ordinary shares. Assuming that an aggregate of 4,285,714 of our ordinary shares are sold at an assumed offering price of $7.00 per share, the last reported sale price of our ordinary shares on the Nasdaq Global Market on October 12, 2018, for aggregate gross proceeds of $30,000,000, and after deducting commissions and estimated offering expenses payable by us, you would experience immediate dilution of $3.90 per share, representing the difference between our as adjusted net tangible book value per share as of June 30, 2018, immediately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ordinary shares in this offering, you may also experience future dilution as a result of future equity offerings.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our ordinary shares or other securities convertible into or exchangeable for our ordinary shares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shareholders. The price per share at which we sell additional our ordinary shares, or securities convertible or exchangeable into ordinary shares, in future transactions may be higher or lower than the price per share paid by any investors in this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so any returns will be limited to the value of our shares.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Moreover, the Israeli Companies Law imposes certain restrictions on our ability to declare and pay dividends. Any return to shareholders will therefore be limited to the appreciation of their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Section 27A of the Securities Act, Section 21E of the Exchange Act, and the Private Securities Litigation Reform Act of 1995.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174" w:lineRule="exact"/>
        <w:rPr>
          <w:sz w:val="20"/>
          <w:szCs w:val="20"/>
          <w:color w:val="auto"/>
        </w:rPr>
      </w:pPr>
    </w:p>
    <w:p>
      <w:pPr>
        <w:ind w:left="680" w:right="120" w:hanging="402"/>
        <w:spacing w:after="0" w:line="25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61" w:lineRule="exact"/>
        <w:rPr>
          <w:rFonts w:ascii="Times New Roman" w:cs="Times New Roman" w:eastAsia="Times New Roman" w:hAnsi="Times New Roman"/>
          <w:sz w:val="18"/>
          <w:szCs w:val="18"/>
          <w:color w:val="auto"/>
        </w:rPr>
      </w:pPr>
    </w:p>
    <w:p>
      <w:pPr>
        <w:ind w:left="680" w:hanging="402"/>
        <w:spacing w:after="0" w:line="25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161"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98" w:lineRule="exact"/>
        <w:rPr>
          <w:rFonts w:ascii="Times New Roman" w:cs="Times New Roman" w:eastAsia="Times New Roman" w:hAnsi="Times New Roman"/>
          <w:sz w:val="18"/>
          <w:szCs w:val="18"/>
          <w:color w:val="auto"/>
        </w:rPr>
      </w:pPr>
    </w:p>
    <w:p>
      <w:pPr>
        <w:ind w:left="680" w:right="140" w:hanging="402"/>
        <w:spacing w:after="0" w:line="25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61"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98" w:lineRule="exact"/>
        <w:rPr>
          <w:rFonts w:ascii="Times New Roman" w:cs="Times New Roman" w:eastAsia="Times New Roman" w:hAnsi="Times New Roman"/>
          <w:sz w:val="18"/>
          <w:szCs w:val="18"/>
          <w:color w:val="auto"/>
        </w:rPr>
      </w:pPr>
    </w:p>
    <w:p>
      <w:pPr>
        <w:ind w:left="680" w:right="240" w:hanging="402"/>
        <w:spacing w:after="0" w:line="25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161"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ind w:left="680" w:hanging="40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 foreign private issuer; and</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w:t>
      </w:r>
    </w:p>
    <w:p>
      <w:pPr>
        <w:spacing w:after="0" w:line="2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these forward-looking statements are reasonable; however,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our Annual Report on Form 20-F for the year ended December 31, 2017 filed with the SEC on May 14, 2018, as amended on July 10, 2018, in greater detail under the heading “Risk Factors” and elsewhere in this prospectus supplement. Given these uncertainties, you should not rely upon forward-looking statements as predictions of future events.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speak only as of the date hereof and are expressly qualified in their entirety by the cautionary statements included in this report. We undertake no obligations to update or revise forward-looking statements to reflect events or circumstances that arise after the date made or to reflect the occurrence of unanticipated events. In evaluating forward-looking statements, you should consider these risks and uncertainties.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71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may issue and sell our ordinary shares having an aggregate offering price of up to $30,000,000 from time to time. Because there is no minimum offering amount required as a condition to close this offering, the actual total public offering amount, commissions to Leerink and proceeds to us, if any, are not determinable at this time. There can be no assurance that we will sell any shares under the Sales Agreement as a source of financing.</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in any free writing prospectus that we may authorize to be provided to you, we currently intend to use the net proceeds from this offering, if any, for working capital and general corporate purposes, including development expenses and general and administrative expenses.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amounts and timing of our use of the net proceeds from the sale of securities in this offering will depend on a number of factors, such as the timing and progress of our and our strategic partners’ clinical trials of our product candidates and our development efforts, the timing and progress of any partnering efforts, technological advances and the competitive environment for our product candidates.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ORDINARY SHARES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ordinary shares were listed on the Nasdaq Global Select Market under the symbol “ADHD” until November 15, 2017. Effective as of November 15, 2017, our ordinary shares have been listed on the Nasdaq Global Market under the symbol “ARCT”. The following table sets forth the high and low sales prices per share of our ordinary shares as reported on the Nasdaq Global Select Market and the Nasdaq Global Market, as applicable,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23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45.4991</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40.2492</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37.5192</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20.2996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9.3098</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15.1897</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 2018</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9.5600</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 (through October 12, 2018)</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9.2520</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October 12, 2018, the last sale price of our ordinary shares, as reported on the Nasdaq Global Market, was $7.00 per share. As of June 30, 2018, we had approximately 60 holders of record of our ordinary shares. Our actual number of shareholders is greater than this number of record holders and includes shareholders who are beneficial owners but whose shares are held in street name by brokers and other nominees.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you invest in our ordinary shares in this offering, your ownership interest will be diluted immediately to the extent of the difference between the public offering price per share of our ordinary shares and the as adjusted net tangible book value per share of our ordinary shares immediately after giving effect to this offering.</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calculate net tangible book value per share of our ordinary shares by dividing the net tangible book value, which is tangible assets less total liabilities, by the number of our outstanding ordinary shares. Dilution represents the difference between the amount per share paid by purchasers of our ordinary shares in this offering and the as adjusted net tangible book value per share of our ordinary shares immediately after giving effect to this offering. Our historical net tangible book value as of June 30, 2018 was approximately $17.8 million, or $1.66 per ordinary share.</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Immediately after giving effect to the assumed sale by us of our ordinary shares pursuant to this prospectus supplement and accompanying prospectus in the aggregate amount of $30,000,000 at an assumed public offering price of $7.00 per share, which was the last reported sale price of our ordinary shares on the Nasdaq Global Market on October 12, 2018, and after deducting commissions and estimated aggregate offering expenses payable by us, our as adjusted net tangible book value as of June 30, 2018 would have been $46.5 million, or $3.10 per share of our ordinary shares. This represents an immediate increase in the as adjusted net tangible book value of $1.44 per share to our existing shareholders and an immediate dilution in as adjusted net tangible book value of $3.90 per share to new investors participating in this offering. Dilution per share to new investors is determined by subtracting as adjusted net tangible book value per share after this offering from the public offering price per share paid by new investors. The following table illustrates this dilution on a per-share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12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2018</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1.66</w:t>
            </w:r>
          </w:p>
        </w:tc>
        <w:tc>
          <w:tcPr>
            <w:tcW w:w="10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per share attributable to new investors</w:t>
            </w:r>
          </w:p>
        </w:tc>
        <w:tc>
          <w:tcPr>
            <w:tcW w:w="21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1.44</w:t>
            </w:r>
          </w:p>
        </w:tc>
        <w:tc>
          <w:tcPr>
            <w:tcW w:w="10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120" w:type="dxa"/>
            <w:vAlign w:val="bottom"/>
          </w:tcPr>
          <w:p>
            <w:pPr>
              <w:spacing w:after="0"/>
              <w:rPr>
                <w:sz w:val="19"/>
                <w:szCs w:val="19"/>
                <w:color w:val="auto"/>
              </w:rPr>
            </w:pPr>
          </w:p>
        </w:tc>
        <w:tc>
          <w:tcPr>
            <w:tcW w:w="18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212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r>
    </w:tbl>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4,285,714 of our ordinary shares are sold pursuant to this prospectus supplement and the accompanying prospectus at a public offering price of $7.00 per share, which was the last reported sale price of our ordinary shares on the Nasdaq Global Market on October 12, 2018, for aggregate gross proceeds of $30,000,000. Our ordinary shares sold in this offering, if any, will be sold from time to time at various prices. The as adjusted information is illustrative only and will adjust based on the actual price to the public, the actual number of shares sold and other terms of the offering determined at the time our ordinary shares are sold pursuant to this prospectus supplement.</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increase of $1.00 per share in the price at which the shares are sold from the assumed public offering price of $7.00 per share shown in the table above, assuming all of our ordinary shares in the aggregate amount of $30,000,000 is sold at that price, would result in an as adjusted net tangible book value per share after the offering of $3.22 per share and would increase the dilution in net tangible book value per share to new investors in this offering to $4.78 per share, after deducting commissions and estimated aggregate offering expenses payable by us. A decrease of $1.00 per share in the price at which the shares are sold from the assumed public offering price of $7.00 per share shown in the table above, assuming all of our ordinary shares in the aggregate amount of $30,000,000 is sold at that price, would result in an as adjusted net tangible book value per share after the offering of $2.96 per share and would decrease the dilution in net tangible book value per share to new investors in this offering to $3.04 per share, after deducting commissions and estimated aggregate offering expenses payable by us.</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is based on 10,704,988 of our ordinary shares outstanding as of June 30, 2018. The number of our ordinary shares to be outstanding as used throughout this prospectus supplement, unless otherwise indicated, excludes:</w:t>
      </w:r>
    </w:p>
    <w:p>
      <w:pPr>
        <w:spacing w:after="0" w:line="148" w:lineRule="exact"/>
        <w:rPr>
          <w:sz w:val="20"/>
          <w:szCs w:val="20"/>
          <w:color w:val="auto"/>
        </w:rPr>
      </w:pPr>
    </w:p>
    <w:p>
      <w:pPr>
        <w:ind w:left="680" w:right="40" w:hanging="402"/>
        <w:spacing w:after="0" w:line="25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209,545 ordinary shares issuable upon exercise of options outstanding as of June 30, 2018 under the 2010 Plan, at a weighted-average exercise price of $4.38 per share; and</w:t>
      </w:r>
    </w:p>
    <w:p>
      <w:pPr>
        <w:spacing w:after="0" w:line="161"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472,502 additional ordinary shares reserved as of June 30, 2018 for issuance under our 2010 Plan; and</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1,100,000 additional ordinary shares reserved for issuance under our 2018 Plan (adopted on July 5, 2018).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entered into a Sales Agreement, dated as of October 15, 2018, with Leerink under which we may issue and sell up to $30,000,000 of our ordinary shares from time to time through Leerink acting as our sales agent. Sales of our ordinary shares, if any, will be made by any method that is deemed to be an “at the market offering” as defined in Rule 415(a)(4) under the Securities Act of 1933, as amended, or the Securities Act, including sales made directly on or through the Nasdaq Global Market or on or through any other existing trading market for the ordinary shares. The Sales Agreement is incorporated by reference in this prospectus supplement. The following summary of the material provisions of the Sales Agreement, as amended, does not purport to be a complete statement of its terms and conditions. See “Where You Can Find More Information” and “Information Incorporated by Reference” below.</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delivery of a placement notice, Leerink will offer our ordinary shares subject to the terms and conditions of the Sales Agreement on a daily basis or as otherwise agreed upon by us and Leerink. We will designate the maximum number or amount of ordinary shares to be sold through Leerink on a daily basis or otherwise determine such maximum number or amount together with Leerink. Subject to the terms and conditions of the Sales Agreement, Leerink will use commercially reasonable efforts consistent with its normal trading and sales practices to sell on our behalf all of the ordinary shares requested to be sold by us. We may instruct Leerink not to sell ordinary shares if the sales cannot be effected at or above a minimum price designated by us in any such instruction. Leerink or we may suspend the offering of our ordinary shares being made through Leerink under the Sales Agreement upon proper notice to the other party. Leerink and we each have the right, by giving written notice as specified in the Sales Agreement, to terminate the Sales Agreement in each party’s sole discretion at any time. The offering of our ordinary shares pursuant to the Sales Agreement will otherwise terminate upon the termination of the Sales Agreement as provided therein.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compensation payable to Leerink as sales agent will be an amount equal to 3.0% of the gross proceeds of any ordinary shares sold through it pursuant to the Sales Agreement. Because there is no minimum offering amount required as a condition to close this offering, the actual total public offering amount, commissions and proceeds to us, if any, are not determinable at this time. We have also agreed to reimburse Leerink, under certain circumstances, for actual outside legal expenses incurred by Leerink in connection with this offering in an amount up to $50,000. In accordance with FINRA Rule 5110, these reimbursed fees and expenses are deemed sales compensation to Leerink in connection with this offering. We estimate that the total expenses of the offering payable by us, excluding commissions payable to Leerink under the Sales Agreement, will be approximately $200,000.</w:t>
      </w:r>
    </w:p>
    <w:p>
      <w:pPr>
        <w:spacing w:after="0" w:line="18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of our ordinary shares, will equal our net proceeds for the sale of such ordinary shares.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Leerink will provide written confirmation to us no later than the next succeeding trading day on the Nasdaq Global Market after each day on which ordinary shares are sold through it as sales agent under the Sales Agreement. Each confirmation will include the number or amount of shares sold through it as sales agent on that day, the compensation payable by us to Leerink with respect to such sales, and the net proceeds to us from such sales. We will report at least quarterly the number of ordinary shares sold through Leerink under the Sales Agreement, the net proceeds to us and the compensation paid by us to Leerink in connection with the sales of ordinary shares during the relevant period.</w:t>
      </w:r>
    </w:p>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Settlement for sales of ordinary shares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ordinary shares on our behalf pursuant to the Sales Agreement, Leerink will be deemed to be an “underwriter” within the meaning of the Securities Act and the compensation paid to Leerink will be deemed to be underwriting commissions or discounts. We have agreed in the Sales Agreement to provide indemnification and contribution to Leerink with respect to certain liabilities, including liabilities under the Securities Act or the Exchange Act. As sales agent, Leerink will not engage in any transactions that stabilize our ordinary shares.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and trades under the symbol “ARCT”. The transfer agent of our ordinary shares is Continental Stock Transfer &amp; Trust Company.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Leerink and/or its affiliates may in the future provide various investment banking and other financial services for us for which services they may in the future receive customary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for Leerink is 1301 Avenue of the Americas, 12th Floor, New York, New York 10019.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Certain legal matters of U.S. securities law relating to this offering will be passed upon for us by Dentons US LLP, New York, New York. The validity of the ordinary shares and certain other legal matters as to Israeli law will be passed upon for us by Barnea Jaffa Lande &amp; Co., Tel Aviv, Israel. Leerink Partners LLC is being represented in connection with this offering by Goodwin Procter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Ltd. appearing in the Annual Report (Form 20-F) for the year ended December 31, 2017, have been audited by Kost, Forer, Gabbay and Kasierer, a member of Ernst &amp; Young Global, independent registered public accounting firm, and at December 31, 2016 and for each of the two years in the period ended December 31, 2016, by Ernst &amp; Young LLP, independent registered public accounting firm, as set forth in their respective reports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F-3 filed with the SEC. This prospectus supplement and the accompanying prospectus omit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and in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applicable to foreign private issuers. We, as a “foreign private issuer,” are exempt from the rules under the Exchange Act prescribing certain disclosure and procedural requirements for proxy solicitations, and our officers, directors and principal shareholders are exempt from the reporting and “short-swing” profit recovery provisions contained in Section 16 of the Exchange Act, with respect to their purchases and sales of ordinary shares. In addition, we are not required to file annual, quarterly and current reports and financial statements with the SEC as frequently or as promptly as U.S. companies whose securities are registered under the Exchange Act.</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SEC filings are available to the public over the Internet at the SEC’s website at http://www.sec.gov. Copies of certain information filed by us with the SEC are also available on our website at http://www.arcturusrx.com. Our website is not a part of this prospectus supplement and the accompanying prospectus and is not incorporated by reference in this prospectus supplement. You may also read and copy any document we file at the SEC’s Public Reference Room, 100 F Street, N.E., Washington, D.C. 20549. Please call the SEC at 1-800-SEC-0330 for further information on the operation of the Public Reference Room.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Statements in this prospectus regarding the provisions of certain documents filed with, or incorporated by reference in, the registration statement are not necessarily complete and each statement is qualified in all respects by that reference.</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Copies of all or any part of the registration statement, including the documents incorporated by reference or the exhibits, may be obtained upon payment of the prescribed rates at the offices of the SEC listed above in “Where to Find More Information.” The documents we are incorporating by reference as of their respective dates of filing are:</w:t>
      </w:r>
    </w:p>
    <w:p>
      <w:pPr>
        <w:spacing w:after="0" w:line="173" w:lineRule="exact"/>
        <w:rPr>
          <w:sz w:val="20"/>
          <w:szCs w:val="20"/>
          <w:color w:val="auto"/>
        </w:rPr>
      </w:pPr>
    </w:p>
    <w:p>
      <w:pPr>
        <w:ind w:left="680" w:right="520" w:hanging="402"/>
        <w:spacing w:after="0" w:line="25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20-F for the year ended December 31, 2017, filed on May 14, 2018 and amended on July 10, 2018 (File No. 001-35932);</w:t>
      </w:r>
    </w:p>
    <w:p>
      <w:pPr>
        <w:spacing w:after="0" w:line="161" w:lineRule="exact"/>
        <w:rPr>
          <w:rFonts w:ascii="Times New Roman" w:cs="Times New Roman" w:eastAsia="Times New Roman" w:hAnsi="Times New Roman"/>
          <w:sz w:val="18"/>
          <w:szCs w:val="18"/>
          <w:color w:val="auto"/>
        </w:rPr>
      </w:pPr>
    </w:p>
    <w:p>
      <w:pPr>
        <w:jc w:val="both"/>
        <w:ind w:left="680" w:right="180" w:hanging="402"/>
        <w:spacing w:after="0" w:line="23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on Form 6-K filed on January 24, 2018, January 31, 2018, February 2, 2018, February 5, 2018, February 13, 2018, February 28, 2018, March 13, 2018, March 29, 2018, April 2, 2018, April 9, 2018, May 14, 2018, May 21, 2018, May 24, 2018, May 29, 2018, June 1, 2018, June 15, 2018, July 10, 2018, July 20, 2018, July 27, 2018, August 29, 2018, September 28, 2018 and October 1, 2018; and</w:t>
      </w:r>
    </w:p>
    <w:p>
      <w:pPr>
        <w:spacing w:after="0" w:line="172" w:lineRule="exact"/>
        <w:rPr>
          <w:rFonts w:ascii="Times New Roman" w:cs="Times New Roman" w:eastAsia="Times New Roman" w:hAnsi="Times New Roman"/>
          <w:sz w:val="18"/>
          <w:szCs w:val="18"/>
          <w:color w:val="auto"/>
        </w:rPr>
      </w:pPr>
    </w:p>
    <w:p>
      <w:pPr>
        <w:ind w:left="680" w:right="300" w:hanging="402"/>
        <w:spacing w:after="0" w:line="25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ordinary shares contained in our registration statement on Form 8-A filed on May 17, 2013, including any amendments or reports filed for the purpose of updating such description.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subsequent Annual Reports on Form 20-F and all subsequent reports on Form 6-K filed by us, that are identified by us as being incorporated by reference, shall be deemed to be incorporated by reference into this prospectus supplement and deemed to be a part hereof after the date of this prospectus supplement but before the termination of the offering under this prospectus supplement. Unless expressly incorporated by reference, nothing in this prospectus supplement and the accompanying prospectus shall be deemed to incorporate by reference information furnished to, but not filed with, the SEC.</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all purposes to the extent that a statement contained in this prospectus supplement,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supplement.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Arcturus Therapeutics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color w:val="auto"/>
        </w:rPr>
        <w:t>Prospectus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154940</wp:posOffset>
            </wp:positionV>
            <wp:extent cx="1749425"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94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a total amount of $100,000,000 of our ordinary shares. Each time we sell ordinary shares pursuant to this prospectus, we will provide in a supplement to this prospectus the price and any other material terms of any such offering. We may also authorize one or more free writing prospectuses to be provided to you in connection with each offering. Any prospectus supplement and related free writing prospectuses may also add, update or change information contained in the prospectus. You should read this prospectus, any applicable prospectus supplement and related free writing prospectuses, as well as the documents incorporated by reference or deemed incorporated by reference into this prospectus, carefully before you invest in our ordinary shares.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ordinary shares are traded on the NASDAQ Global Market under the symbol “ADHD”.</w:t>
      </w:r>
    </w:p>
    <w:p>
      <w:pPr>
        <w:spacing w:after="0" w:line="221"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Risks associated with an investment in our ordinary shares will be described in any applicable prospectus supplement and are and will be described in certain of our filings with the Securities and Exchange Commission, as described in “Risk Factors” on page 4.</w:t>
      </w:r>
    </w:p>
    <w:p>
      <w:pPr>
        <w:spacing w:after="0" w:line="175"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The ordinary shares may be sold directly by us to investors, through agents designated from time to time or to or through underwriters or dealers, or through a combination of such methods, on a continuous or delayed basis. For additional information on the methods of sale, you should refer to the section entitled “Plan of Distribution” in this prospectus. If any agents or underwriters are involved in the sale of our ordinary shares with respect to which this prospectus is being delivered, the names of such agents or underwriters and any applicable fees, commissions, discounts and over-allotment options will be set forth in a prospectus supplement. The price to the public of our ordinary shares and the net proceeds that we expect to receive from such sale will also be set forth in a prospectus supplement.</w:t>
      </w:r>
    </w:p>
    <w:p>
      <w:pPr>
        <w:spacing w:after="0" w:line="184" w:lineRule="exact"/>
        <w:rPr>
          <w:sz w:val="20"/>
          <w:szCs w:val="20"/>
          <w:color w:val="auto"/>
        </w:rPr>
      </w:pPr>
    </w:p>
    <w:p>
      <w:pPr>
        <w:ind w:right="5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on completeness or the adequacy or accuracy of this prospectus. Any representation to the contrary is a criminal offense.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date of this prospectus is March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296545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r>
      <w:tr>
        <w:trPr>
          <w:trHeight w:val="419"/>
        </w:trPr>
        <w:tc>
          <w:tcPr>
            <w:tcW w:w="9080" w:type="dxa"/>
            <w:vAlign w:val="bottom"/>
            <w:gridSpan w:val="14"/>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About This Prospectus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1"/>
        </w:trPr>
        <w:tc>
          <w:tcPr>
            <w:tcW w:w="16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About Alcobra Ltd.</w:t>
              </w:r>
            </w:hyperlink>
          </w:p>
        </w:tc>
        <w:tc>
          <w:tcPr>
            <w:tcW w:w="744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Risk Factors</w:t>
              </w:r>
            </w:hyperlink>
          </w:p>
        </w:tc>
        <w:tc>
          <w:tcPr>
            <w:tcW w:w="500" w:type="dxa"/>
            <w:vAlign w:val="bottom"/>
            <w:tcBorders>
              <w:top w:val="single" w:sz="8" w:color="0000EE"/>
            </w:tcBorders>
            <w:gridSpan w:val="2"/>
          </w:tcPr>
          <w:p>
            <w:pPr>
              <w:spacing w:after="0"/>
              <w:rPr>
                <w:sz w:val="24"/>
                <w:szCs w:val="24"/>
                <w:color w:val="auto"/>
              </w:rPr>
            </w:pPr>
          </w:p>
        </w:tc>
        <w:tc>
          <w:tcPr>
            <w:tcW w:w="7660" w:type="dxa"/>
            <w:vAlign w:val="bottom"/>
            <w:gridSpan w:val="9"/>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35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Warning Regarding Forward-Looking Statements</w:t>
              </w:r>
            </w:hyperlink>
          </w:p>
        </w:tc>
        <w:tc>
          <w:tcPr>
            <w:tcW w:w="550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9080" w:type="dxa"/>
            <w:vAlign w:val="bottom"/>
            <w:gridSpan w:val="1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Capitalization and Indebtedness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18"/>
        </w:trPr>
        <w:tc>
          <w:tcPr>
            <w:tcW w:w="30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Reasons for the Offer and Use of Proceeds</w:t>
              </w:r>
            </w:hyperlink>
          </w:p>
        </w:tc>
        <w:tc>
          <w:tcPr>
            <w:tcW w:w="60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58"/>
        </w:trPr>
        <w:tc>
          <w:tcPr>
            <w:tcW w:w="9080" w:type="dxa"/>
            <w:vAlign w:val="bottom"/>
            <w:gridSpan w:val="14"/>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Price Range of our Ordinary Shares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18"/>
        </w:trPr>
        <w:tc>
          <w:tcPr>
            <w:tcW w:w="9080" w:type="dxa"/>
            <w:vAlign w:val="bottom"/>
            <w:gridSpan w:val="1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Description of Our Ordinary Shares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14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Plan of Distribution</w:t>
              </w:r>
            </w:hyperlink>
          </w:p>
        </w:tc>
        <w:tc>
          <w:tcPr>
            <w:tcW w:w="1140" w:type="dxa"/>
            <w:vAlign w:val="bottom"/>
            <w:tcBorders>
              <w:top w:val="single" w:sz="8" w:color="0000EE"/>
            </w:tcBorders>
            <w:gridSpan w:val="4"/>
          </w:tcPr>
          <w:p>
            <w:pPr>
              <w:spacing w:after="0"/>
              <w:rPr>
                <w:sz w:val="24"/>
                <w:szCs w:val="24"/>
                <w:color w:val="auto"/>
              </w:rPr>
            </w:pPr>
          </w:p>
        </w:tc>
        <w:tc>
          <w:tcPr>
            <w:tcW w:w="65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8"/>
        </w:trPr>
        <w:tc>
          <w:tcPr>
            <w:tcW w:w="9080" w:type="dxa"/>
            <w:vAlign w:val="bottom"/>
            <w:gridSpan w:val="1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Expenses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18"/>
        </w:trPr>
        <w:tc>
          <w:tcPr>
            <w:tcW w:w="10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Legal Matters</w:t>
              </w:r>
            </w:hyperlink>
          </w:p>
        </w:tc>
        <w:tc>
          <w:tcPr>
            <w:tcW w:w="8060" w:type="dxa"/>
            <w:vAlign w:val="bottom"/>
            <w:gridSpan w:val="10"/>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Experts</w:t>
              </w:r>
            </w:hyperlink>
          </w:p>
        </w:tc>
        <w:tc>
          <w:tcPr>
            <w:tcW w:w="8520" w:type="dxa"/>
            <w:vAlign w:val="bottom"/>
            <w:gridSpan w:val="1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9080" w:type="dxa"/>
            <w:vAlign w:val="bottom"/>
            <w:gridSpan w:val="1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Where You Can Find More Information and Incorporation of Certain Information By Reference</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24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Enforceability of Civil Liabilities</w:t>
              </w:r>
            </w:hyperlink>
          </w:p>
        </w:tc>
        <w:tc>
          <w:tcPr>
            <w:tcW w:w="4480" w:type="dxa"/>
            <w:vAlign w:val="bottom"/>
            <w:tcBorders>
              <w:top w:val="single" w:sz="8" w:color="0000EE"/>
            </w:tcBorders>
            <w:gridSpan w:val="4"/>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696"/>
        </w:trPr>
        <w:tc>
          <w:tcPr>
            <w:tcW w:w="6900" w:type="dxa"/>
            <w:vAlign w:val="bottom"/>
            <w:gridSpan w:val="13"/>
          </w:tcPr>
          <w:p>
            <w:pPr>
              <w:ind w:left="566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9"/>
        </w:trPr>
        <w:tc>
          <w:tcPr>
            <w:tcW w:w="5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3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right="40" w:firstLine="272"/>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Securities and Exchange Commission, or the SEC, utilizing a “shelf” registration process. Under this shelf registration process, we may offer from time to time up to an aggregate of $100,000,000 of our ordinary shares in one or more offerings. We sometimes refer to our ordinary shares as the “securities” throughout this prospectus.</w:t>
      </w:r>
    </w:p>
    <w:p>
      <w:pPr>
        <w:spacing w:after="0" w:line="176" w:lineRule="exact"/>
        <w:rPr>
          <w:sz w:val="20"/>
          <w:szCs w:val="20"/>
          <w:color w:val="auto"/>
        </w:rPr>
      </w:pPr>
    </w:p>
    <w:p>
      <w:pPr>
        <w:ind w:firstLine="272"/>
        <w:spacing w:after="0" w:line="258" w:lineRule="auto"/>
        <w:rPr>
          <w:sz w:val="20"/>
          <w:szCs w:val="20"/>
          <w:color w:val="auto"/>
        </w:rPr>
      </w:pPr>
      <w:r>
        <w:rPr>
          <w:rFonts w:ascii="Times New Roman" w:cs="Times New Roman" w:eastAsia="Times New Roman" w:hAnsi="Times New Roman"/>
          <w:sz w:val="18"/>
          <w:szCs w:val="18"/>
          <w:color w:val="auto"/>
        </w:rPr>
        <w:t>Each time we sell ordinary shares, we will provide you with a prospectus supplement that will describe the specific amounts, prices and terms of such offering. We may also authorize one or more free writing prospectuses to be provided to you in connection with such offering. The prospectus supplement and any related free writing prospectuses may also add, update or change information contained in this prospectus. You should read carefully both this prospectus, the applicable prospectus supplement and any related free writing prospectus together with additional information described below under “Where You Can Find More Information and Incorporation by Reference” before buying the ordinary shares being offered.</w:t>
      </w:r>
    </w:p>
    <w:p>
      <w:pPr>
        <w:spacing w:after="0" w:line="184" w:lineRule="exact"/>
        <w:rPr>
          <w:sz w:val="20"/>
          <w:szCs w:val="20"/>
          <w:color w:val="auto"/>
        </w:rPr>
      </w:pPr>
    </w:p>
    <w:p>
      <w:pPr>
        <w:ind w:right="100" w:firstLine="272"/>
        <w:spacing w:after="0" w:line="266" w:lineRule="auto"/>
        <w:rPr>
          <w:sz w:val="20"/>
          <w:szCs w:val="20"/>
          <w:color w:val="auto"/>
        </w:rPr>
      </w:pPr>
      <w:r>
        <w:rPr>
          <w:rFonts w:ascii="Times New Roman" w:cs="Times New Roman" w:eastAsia="Times New Roman" w:hAnsi="Times New Roman"/>
          <w:sz w:val="18"/>
          <w:szCs w:val="18"/>
          <w:color w:val="auto"/>
        </w:rPr>
        <w:t>This prospectus does not contain all of the information provided in the registration statement that we filed with the SEC. For further information about us or our ordinary shares, you should refer to that registration statement, which you can obtain from the SEC as described below under “Where You Can Find More Information and Incorporation by Reference.”</w:t>
      </w:r>
    </w:p>
    <w:p>
      <w:pPr>
        <w:spacing w:after="0" w:line="176" w:lineRule="exact"/>
        <w:rPr>
          <w:sz w:val="20"/>
          <w:szCs w:val="20"/>
          <w:color w:val="auto"/>
        </w:rPr>
      </w:pPr>
    </w:p>
    <w:p>
      <w:pPr>
        <w:ind w:right="300" w:firstLine="272"/>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 prospectus supplement and related free writing prospectuses.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 You should not assume that the information contained in this prospectus and the accompanying prospectus supplement or related free writing prospectuses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189" w:lineRule="exact"/>
        <w:rPr>
          <w:sz w:val="20"/>
          <w:szCs w:val="20"/>
          <w:color w:val="auto"/>
        </w:rPr>
      </w:pPr>
    </w:p>
    <w:p>
      <w:pPr>
        <w:ind w:right="300" w:firstLine="272"/>
        <w:spacing w:after="0" w:line="282" w:lineRule="auto"/>
        <w:rPr>
          <w:sz w:val="20"/>
          <w:szCs w:val="20"/>
          <w:color w:val="auto"/>
        </w:rPr>
      </w:pPr>
      <w:r>
        <w:rPr>
          <w:rFonts w:ascii="Times New Roman" w:cs="Times New Roman" w:eastAsia="Times New Roman" w:hAnsi="Times New Roman"/>
          <w:sz w:val="18"/>
          <w:szCs w:val="18"/>
          <w:color w:val="auto"/>
        </w:rPr>
        <w:t>In this prospectus, references to the terms “Alcobra,” “the Company,” “we,” “us,” “our” and similar terms, refer to Alcobra Ltd., unless we state or the context implies otherwise. References to our “ordinary shares” mean our ordinary shares, par value New Israeli Shekels, or NIS, 0.01 per share.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ALCOBRA LTD.</w:t>
      </w:r>
    </w:p>
    <w:p>
      <w:pPr>
        <w:spacing w:after="0" w:line="227" w:lineRule="exact"/>
        <w:rPr>
          <w:sz w:val="20"/>
          <w:szCs w:val="20"/>
          <w:color w:val="auto"/>
        </w:rPr>
      </w:pPr>
    </w:p>
    <w:p>
      <w:pPr>
        <w:ind w:right="300" w:firstLine="272"/>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the documents incorporated herein by reference. Before making an investment decision, you should read the entire prospectus, and our other filings with the SEC, including those filings incorporated herein by reference, carefully, including the sections entitled “Risk Factors” and “Warning Regarding Forward-Looking Statements.”</w:t>
      </w:r>
    </w:p>
    <w:p>
      <w:pPr>
        <w:spacing w:after="0" w:line="176" w:lineRule="exact"/>
        <w:rPr>
          <w:sz w:val="20"/>
          <w:szCs w:val="20"/>
          <w:color w:val="auto"/>
        </w:rPr>
      </w:pPr>
    </w:p>
    <w:p>
      <w:pPr>
        <w:ind w:right="80" w:firstLine="272"/>
        <w:spacing w:after="0" w:line="255" w:lineRule="auto"/>
        <w:rPr>
          <w:sz w:val="20"/>
          <w:szCs w:val="20"/>
          <w:color w:val="auto"/>
        </w:rPr>
      </w:pPr>
      <w:r>
        <w:rPr>
          <w:rFonts w:ascii="Times New Roman" w:cs="Times New Roman" w:eastAsia="Times New Roman" w:hAnsi="Times New Roman"/>
          <w:sz w:val="18"/>
          <w:szCs w:val="18"/>
          <w:color w:val="auto"/>
        </w:rPr>
        <w:t>We are an emerging biopharmaceutical company primarily focused on the development and commercialization of our proprietary oral drug candidate, MDX, to treat Attention Deficit and Hyperactivity Disorder, or ADHD, and other cognitive dysfunctions including Fragile X Syndrome, or Fragile X.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is designed to be a monoamine-independent modulator of gamma-aminobutyric acid transmission. Metadoxine has been available since the 1980s only in immediate release forms for the acute treatment of alcohol intoxication and the chronic treatment of alcoholic liver disease in Italy, Portugal, Hungary, Russia, India, China, Mexico and Thailand.</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MDX for the Treatment of ADHD</w:t>
      </w:r>
    </w:p>
    <w:p>
      <w:pPr>
        <w:spacing w:after="0" w:line="227" w:lineRule="exact"/>
        <w:rPr>
          <w:sz w:val="20"/>
          <w:szCs w:val="20"/>
          <w:color w:val="auto"/>
        </w:rPr>
      </w:pPr>
    </w:p>
    <w:p>
      <w:pPr>
        <w:ind w:right="80" w:firstLine="272"/>
        <w:spacing w:after="0" w:line="261" w:lineRule="auto"/>
        <w:rPr>
          <w:sz w:val="20"/>
          <w:szCs w:val="20"/>
          <w:color w:val="auto"/>
        </w:rPr>
      </w:pPr>
      <w:r>
        <w:rPr>
          <w:rFonts w:ascii="Times New Roman" w:cs="Times New Roman" w:eastAsia="Times New Roman" w:hAnsi="Times New Roman"/>
          <w:sz w:val="18"/>
          <w:szCs w:val="18"/>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children with ADHD continuing to have symptoms of the disorder as adults. Over 90% of adults with ADHD experience impaired attention and executive function symptoms, of which approximately 35% also experience hyperactivity-impulsivity symptoms.</w:t>
      </w:r>
    </w:p>
    <w:p>
      <w:pPr>
        <w:spacing w:after="0" w:line="180" w:lineRule="exact"/>
        <w:rPr>
          <w:sz w:val="20"/>
          <w:szCs w:val="20"/>
          <w:color w:val="auto"/>
        </w:rPr>
      </w:pPr>
    </w:p>
    <w:p>
      <w:pPr>
        <w:ind w:firstLine="272"/>
        <w:spacing w:after="0" w:line="253" w:lineRule="auto"/>
        <w:rPr>
          <w:sz w:val="20"/>
          <w:szCs w:val="20"/>
          <w:color w:val="auto"/>
        </w:rPr>
      </w:pPr>
      <w:r>
        <w:rPr>
          <w:rFonts w:ascii="Times New Roman" w:cs="Times New Roman" w:eastAsia="Times New Roman" w:hAnsi="Times New Roman"/>
          <w:sz w:val="18"/>
          <w:szCs w:val="18"/>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as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and heart rate. There are limited effective treatments for these side effects for patients taking the drugs. The prevalence of such side effects has also led to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potential side effects, such as fatigue, gastrointestinal upset, sexual problems, palpitations, increased heart rate and high blood pressure and also has regulatory warning labels relating to suicidal thoughts and liver damage. Moreover, Strattera may take six to eight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189" w:lineRule="exact"/>
        <w:rPr>
          <w:sz w:val="20"/>
          <w:szCs w:val="20"/>
          <w:color w:val="auto"/>
        </w:rPr>
      </w:pPr>
    </w:p>
    <w:p>
      <w:pPr>
        <w:ind w:right="80" w:firstLine="272"/>
        <w:spacing w:after="0" w:line="261" w:lineRule="auto"/>
        <w:rPr>
          <w:sz w:val="20"/>
          <w:szCs w:val="20"/>
          <w:color w:val="auto"/>
        </w:rPr>
      </w:pPr>
      <w:r>
        <w:rPr>
          <w:rFonts w:ascii="Times New Roman" w:cs="Times New Roman" w:eastAsia="Times New Roman" w:hAnsi="Times New Roman"/>
          <w:sz w:val="18"/>
          <w:szCs w:val="18"/>
          <w:color w:val="auto"/>
        </w:rPr>
        <w:t>In contrast to the most common available treatments, which involve the use of stimulants, MDX is not a stimulant and employs a different mechanism of action that is neither dopaminergic (related to dopamine) nor noradrenergic (related to norepinephrine). Our clinical trials to date have suggested a pro-cognitive effect and favorable tolerability and safety. We therefore believe MDX potentially represents an effective treatment and a safer alternative to currently marketed treatments.</w:t>
      </w:r>
    </w:p>
    <w:p>
      <w:pPr>
        <w:spacing w:after="0" w:line="180" w:lineRule="exact"/>
        <w:rPr>
          <w:sz w:val="20"/>
          <w:szCs w:val="20"/>
          <w:color w:val="auto"/>
        </w:rPr>
      </w:pPr>
    </w:p>
    <w:p>
      <w:pPr>
        <w:ind w:right="180" w:firstLine="272"/>
        <w:spacing w:after="0" w:line="261" w:lineRule="auto"/>
        <w:rPr>
          <w:sz w:val="20"/>
          <w:szCs w:val="20"/>
          <w:color w:val="auto"/>
        </w:rPr>
      </w:pPr>
      <w:r>
        <w:rPr>
          <w:rFonts w:ascii="Times New Roman" w:cs="Times New Roman" w:eastAsia="Times New Roman" w:hAnsi="Times New Roman"/>
          <w:sz w:val="18"/>
          <w:szCs w:val="18"/>
          <w:color w:val="auto"/>
        </w:rPr>
        <w:t>In September 2011, we completed a 120 subject double-blind placebo-controlled Phase 2 study in adult ADHD subjects in two academic sites in Israel. The study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0" w:lineRule="exact"/>
        <w:rPr>
          <w:sz w:val="20"/>
          <w:szCs w:val="20"/>
          <w:color w:val="auto"/>
        </w:rPr>
      </w:pPr>
    </w:p>
    <w:p>
      <w:pPr>
        <w:ind w:firstLine="272"/>
        <w:spacing w:after="0" w:line="266" w:lineRule="auto"/>
        <w:rPr>
          <w:sz w:val="20"/>
          <w:szCs w:val="20"/>
          <w:color w:val="auto"/>
        </w:rPr>
      </w:pPr>
      <w:r>
        <w:rPr>
          <w:rFonts w:ascii="Times New Roman" w:cs="Times New Roman" w:eastAsia="Times New Roman" w:hAnsi="Times New Roman"/>
          <w:sz w:val="18"/>
          <w:szCs w:val="18"/>
          <w:color w:val="auto"/>
        </w:rPr>
        <w:t>In December 2013, we completed an additional 36 subject double-blind placebo-controlled Phase 2 study in adult ADHD subjects, which confirmed our previous findings, highlighted the rapid onset of MDX, and demonstrated efficacy over placebo from the first day of dosing, using a computerized assessment tool.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18" w:name="page19"/>
    <w:bookmarkEnd w:id="18"/>
    <w:p>
      <w:pPr>
        <w:jc w:val="both"/>
        <w:ind w:right="180" w:firstLine="272"/>
        <w:spacing w:after="0" w:line="261" w:lineRule="auto"/>
        <w:rPr>
          <w:sz w:val="20"/>
          <w:szCs w:val="20"/>
          <w:color w:val="auto"/>
        </w:rPr>
      </w:pPr>
      <w:r>
        <w:rPr>
          <w:rFonts w:ascii="Times New Roman" w:cs="Times New Roman" w:eastAsia="Times New Roman" w:hAnsi="Times New Roman"/>
          <w:sz w:val="18"/>
          <w:szCs w:val="18"/>
          <w:color w:val="auto"/>
        </w:rPr>
        <w:t>In October 2014, we announced the results of a 300 subject double-blind placebo-controlled Phase 3 study in adult ADHD in 20 sites (18 in the United States and two in Israel). The study’s primary efficacy endpoint did not reach statistical significance. A non-significant favorable trend was observed on the primary endpoint. Other secondary measures showed strong or statistically significant trends. Similar to previous studies, MDX showed a favorable safety profile.</w:t>
      </w:r>
    </w:p>
    <w:p>
      <w:pPr>
        <w:spacing w:after="0" w:line="180" w:lineRule="exact"/>
        <w:rPr>
          <w:sz w:val="20"/>
          <w:szCs w:val="20"/>
          <w:color w:val="auto"/>
        </w:rPr>
      </w:pPr>
    </w:p>
    <w:p>
      <w:pPr>
        <w:ind w:right="100" w:firstLine="272"/>
        <w:spacing w:after="0" w:line="282" w:lineRule="auto"/>
        <w:rPr>
          <w:sz w:val="20"/>
          <w:szCs w:val="20"/>
          <w:color w:val="auto"/>
        </w:rPr>
      </w:pPr>
      <w:r>
        <w:rPr>
          <w:rFonts w:ascii="Times New Roman" w:cs="Times New Roman" w:eastAsia="Times New Roman" w:hAnsi="Times New Roman"/>
          <w:sz w:val="18"/>
          <w:szCs w:val="18"/>
          <w:color w:val="auto"/>
        </w:rPr>
        <w:t>In March 2015, we reported that our Phase 2 safety and tolerability study of a single administration of MDX in adolescent patients with ADHD achieved its primary endpoint. In the study, MDX showed good tolerability and no safety concerns were identified.</w:t>
      </w:r>
    </w:p>
    <w:p>
      <w:pPr>
        <w:spacing w:after="0" w:line="162" w:lineRule="exact"/>
        <w:rPr>
          <w:sz w:val="20"/>
          <w:szCs w:val="20"/>
          <w:color w:val="auto"/>
        </w:rPr>
      </w:pPr>
    </w:p>
    <w:p>
      <w:pPr>
        <w:ind w:right="20" w:firstLine="272"/>
        <w:spacing w:after="0" w:line="255" w:lineRule="auto"/>
        <w:rPr>
          <w:sz w:val="20"/>
          <w:szCs w:val="20"/>
          <w:color w:val="auto"/>
        </w:rPr>
      </w:pPr>
      <w:r>
        <w:rPr>
          <w:rFonts w:ascii="Times New Roman" w:cs="Times New Roman" w:eastAsia="Times New Roman" w:hAnsi="Times New Roman"/>
          <w:sz w:val="18"/>
          <w:szCs w:val="18"/>
          <w:color w:val="auto"/>
        </w:rPr>
        <w:t>In the first quarter of 2015, we met with the U.S. Food and Drug Administration, or the FDA, to discuss the results of our first Phase 3 study in adults with ADHD, the proposed protocol for our second Phase 3 study in adults, the requirements for clinical development of MDX for pediatric ADHD, as well as the requirements for a New Drug Application, or an NDA, submission. The FDA confirmed that a single additional study showing efficacy in adult ADHD may provide a sufficient basis of efficacy for approval of MDX in this sub-population. The FDA also confirmed that a single Phase 2 study, followed by a single Phase 3 study, in a pediatric ADHD population can provide a sufficient basis of efficacy for approval of MDX in this population. We currently plan to file a joint NDA for the adult and pediatric sub-populations. We expect to launch the first of two adequate, well-controlled, short-term efficacy studies in children with ADHD in 2016. The study will be a multi-center, placebo-controlled, short-term efficacy study.</w:t>
      </w:r>
    </w:p>
    <w:p>
      <w:pPr>
        <w:spacing w:after="0" w:line="189" w:lineRule="exact"/>
        <w:rPr>
          <w:sz w:val="20"/>
          <w:szCs w:val="20"/>
          <w:color w:val="auto"/>
        </w:rPr>
      </w:pPr>
    </w:p>
    <w:p>
      <w:pPr>
        <w:ind w:firstLine="272"/>
        <w:spacing w:after="0" w:line="266" w:lineRule="auto"/>
        <w:rPr>
          <w:sz w:val="20"/>
          <w:szCs w:val="20"/>
          <w:color w:val="auto"/>
        </w:rPr>
      </w:pPr>
      <w:r>
        <w:rPr>
          <w:rFonts w:ascii="Times New Roman" w:cs="Times New Roman" w:eastAsia="Times New Roman" w:hAnsi="Times New Roman"/>
          <w:sz w:val="18"/>
          <w:szCs w:val="18"/>
          <w:color w:val="auto"/>
        </w:rPr>
        <w:t>In the second quarter of 2015, we launched the MEASURE study (MDX Evaluation in Adults — StUdy of Response and Efficacy). The MEASURE study is our second Phase 3 study of MDX in adults with ADHD. The study includes design and operational elements to potentially mitigate placebo response and reduce treatment response variability, and we expect to report data by year end 2016.</w:t>
      </w:r>
    </w:p>
    <w:p>
      <w:pPr>
        <w:spacing w:after="0" w:line="176" w:lineRule="exact"/>
        <w:rPr>
          <w:sz w:val="20"/>
          <w:szCs w:val="20"/>
          <w:color w:val="auto"/>
        </w:rPr>
      </w:pPr>
    </w:p>
    <w:p>
      <w:pPr>
        <w:ind w:right="120" w:firstLine="272"/>
        <w:spacing w:after="0" w:line="282" w:lineRule="auto"/>
        <w:rPr>
          <w:sz w:val="20"/>
          <w:szCs w:val="20"/>
          <w:color w:val="auto"/>
        </w:rPr>
      </w:pPr>
      <w:r>
        <w:rPr>
          <w:rFonts w:ascii="Times New Roman" w:cs="Times New Roman" w:eastAsia="Times New Roman" w:hAnsi="Times New Roman"/>
          <w:sz w:val="18"/>
          <w:szCs w:val="18"/>
          <w:color w:val="auto"/>
        </w:rPr>
        <w:t>We plan to initiate in 2016 the first of two registration studies in the United States for the use of MDX to treat ADHD in pediatrics. The trial will include similar design and monitoring elements to our ongoing Phase 3 trial in adult ADHD to potentially mitigate the placebo effect and reduce variability.</w:t>
      </w:r>
    </w:p>
    <w:p>
      <w:pPr>
        <w:spacing w:after="0" w:line="162" w:lineRule="exact"/>
        <w:rPr>
          <w:sz w:val="20"/>
          <w:szCs w:val="20"/>
          <w:color w:val="auto"/>
        </w:rPr>
      </w:pPr>
    </w:p>
    <w:p>
      <w:pPr>
        <w:ind w:right="80" w:firstLine="272"/>
        <w:spacing w:after="0" w:line="282" w:lineRule="auto"/>
        <w:rPr>
          <w:sz w:val="20"/>
          <w:szCs w:val="20"/>
          <w:color w:val="auto"/>
        </w:rPr>
      </w:pPr>
      <w:r>
        <w:rPr>
          <w:rFonts w:ascii="Times New Roman" w:cs="Times New Roman" w:eastAsia="Times New Roman" w:hAnsi="Times New Roman"/>
          <w:sz w:val="18"/>
          <w:szCs w:val="18"/>
          <w:color w:val="auto"/>
        </w:rPr>
        <w:t>If the data from these and future pre-clinical and clinical trials demonstrate the safety and efficacy of MDX in the pediatric and adult sub-populations, we will seek to obtain marketing approval from the FDA for MDX for use in ADHD. We have similar plans to seek marketing approval in other territories.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MDX for the Treatment of Fragile X</w:t>
      </w:r>
    </w:p>
    <w:p>
      <w:pPr>
        <w:spacing w:after="0" w:line="227" w:lineRule="exact"/>
        <w:rPr>
          <w:sz w:val="20"/>
          <w:szCs w:val="20"/>
          <w:color w:val="auto"/>
        </w:rPr>
      </w:pPr>
    </w:p>
    <w:p>
      <w:pPr>
        <w:ind w:right="160" w:firstLine="272"/>
        <w:spacing w:after="0" w:line="258" w:lineRule="auto"/>
        <w:rPr>
          <w:sz w:val="20"/>
          <w:szCs w:val="20"/>
          <w:color w:val="auto"/>
        </w:rPr>
      </w:pPr>
      <w:r>
        <w:rPr>
          <w:rFonts w:ascii="Times New Roman" w:cs="Times New Roman" w:eastAsia="Times New Roman" w:hAnsi="Times New Roman"/>
          <w:sz w:val="18"/>
          <w:szCs w:val="18"/>
          <w:color w:val="auto"/>
        </w:rPr>
        <w:t>We are also studying MDX for the treatment of Fragile X, a rare neurogenetic disorder related to autism marked by severe intellectual disability. In June 2015, we reported that our Phase 2 exploratory clinical study of MDX in adolescent and adult patients with Fragile X did not achieve statistical significance on the primary endpoint, yet demonstrated statistically significant improvements in certain clinically meaningful behavioral and cognitive endpoints, including the Vineland II Daily Living Skills Assessment. The FDA has granted fast track designation and Orphan Drug status to MDX for the treatment of Fragile X.</w:t>
      </w:r>
    </w:p>
    <w:p>
      <w:pPr>
        <w:spacing w:after="0" w:line="184" w:lineRule="exact"/>
        <w:rPr>
          <w:sz w:val="20"/>
          <w:szCs w:val="20"/>
          <w:color w:val="auto"/>
        </w:rPr>
      </w:pPr>
    </w:p>
    <w:p>
      <w:pPr>
        <w:ind w:right="60" w:firstLine="272"/>
        <w:spacing w:after="0" w:line="256" w:lineRule="auto"/>
        <w:rPr>
          <w:sz w:val="20"/>
          <w:szCs w:val="20"/>
          <w:color w:val="auto"/>
        </w:rPr>
      </w:pPr>
      <w:r>
        <w:rPr>
          <w:rFonts w:ascii="Times New Roman" w:cs="Times New Roman" w:eastAsia="Times New Roman" w:hAnsi="Times New Roman"/>
          <w:sz w:val="18"/>
          <w:szCs w:val="18"/>
          <w:color w:val="auto"/>
        </w:rPr>
        <w:t>In October 2015, we met with the FDA to discuss the results of our Phase 2 study in Fragile X and the requirements for NDA submission of MDX in this therapeutic indication. The FDA concurred that results from a single short-term, adequate and well-controlled efficacy study in adolescents and adult patients with Fragile X may be sufficient to support a claim of efficacy for approval of MDX in this indication (in line with the FDA’s Guidance for Industry — Providing Evidence of Effectiveness for Human Drug and Biological Products, May 1998). We plan to submit a separate application for pediatric patients (ages 4-11) following FDA approval via a supplemental NDA. The FDA confirmed that the Vineland II Daily Living Skills Assessment could serve as the primary endpoint in the adolescents and adults Fragile X pivotal study.</w:t>
      </w:r>
    </w:p>
    <w:p>
      <w:pPr>
        <w:spacing w:after="0" w:line="188" w:lineRule="exact"/>
        <w:rPr>
          <w:sz w:val="20"/>
          <w:szCs w:val="20"/>
          <w:color w:val="auto"/>
        </w:rPr>
      </w:pPr>
    </w:p>
    <w:p>
      <w:pPr>
        <w:ind w:right="380" w:firstLine="272"/>
        <w:spacing w:after="0" w:line="282"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 and we do not expect to generate significant revenue unless and until we obtain marketing approval of, and commercialize, MDX. As of December 31, 2015, we had an accumulated deficit of $71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272"/>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described under “Risk Factors” in the applicable prospectus supplement and under Item 3.D. – “Risk Factors” in our most recent Annual Report on Form 20-F, or any updates in our Reports on Form 6-K, together with all of the other information appearing in this prospectus or incorporated by reference into this prospectus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WARNING REGARDING FORWARD-LOOKING STATEMENTS</w:t>
      </w:r>
    </w:p>
    <w:p>
      <w:pPr>
        <w:spacing w:after="0" w:line="229" w:lineRule="exact"/>
        <w:rPr>
          <w:sz w:val="20"/>
          <w:szCs w:val="20"/>
          <w:color w:val="auto"/>
        </w:rPr>
      </w:pPr>
    </w:p>
    <w:p>
      <w:pPr>
        <w:ind w:firstLine="272"/>
        <w:spacing w:after="0" w:line="252" w:lineRule="auto"/>
        <w:rPr>
          <w:sz w:val="20"/>
          <w:szCs w:val="20"/>
          <w:color w:val="auto"/>
        </w:rPr>
      </w:pPr>
      <w:r>
        <w:rPr>
          <w:rFonts w:ascii="Times New Roman" w:cs="Times New Roman" w:eastAsia="Times New Roman" w:hAnsi="Times New Roman"/>
          <w:sz w:val="18"/>
          <w:szCs w:val="18"/>
          <w:color w:val="auto"/>
        </w:rPr>
        <w:t>This prospectus contains and any prospectus supplement may contain, “forward-looking statements” within the meaning of the Private Securities Litigation Reform Act of 1995 and other U.S. Federal securities laws. Also, documents that we incorporate by reference into this prospectus,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FDA approval of, or other regulatory action in the U.S. and elsewhere, with respect to MDX; the commercial launch, marketing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would be interpreted differently in light of additional research and clinical and preclinical trials results. The forward-looking statements contained in this prospectus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right="20" w:firstLine="272"/>
        <w:spacing w:after="0" w:line="266" w:lineRule="auto"/>
        <w:rPr>
          <w:sz w:val="20"/>
          <w:szCs w:val="20"/>
          <w:color w:val="auto"/>
        </w:rPr>
      </w:pPr>
      <w:r>
        <w:rPr>
          <w:rFonts w:ascii="Times New Roman" w:cs="Times New Roman" w:eastAsia="Times New Roman" w:hAnsi="Times New Roman"/>
          <w:sz w:val="18"/>
          <w:szCs w:val="18"/>
          <w:color w:val="auto"/>
        </w:rPr>
        <w:t>The following table sets forth cash and cash equivalents, short-term investments and our shareholders’ equity as of December 31, 2015. The financial data in the following table should be read in conjunction with our consolidated financial statements included in our Annual Report on Form 20-F for the year ended December 31, 2015 filed with the SEC on March 4, 2016, which have been incorporated by reference in this prospectus.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of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31, 2015 (U.S.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Short-term bank deposit</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short-term bank deposits</w:t>
            </w:r>
          </w:p>
        </w:tc>
        <w:tc>
          <w:tcPr>
            <w:tcW w:w="22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of NIS 0.01 par value:</w:t>
            </w:r>
          </w:p>
        </w:tc>
        <w:tc>
          <w:tcPr>
            <w:tcW w:w="22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 50,000,000 as of December 31, 2015;</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27,560,920 shares as of December 31, 2015.</w:t>
            </w:r>
          </w:p>
        </w:tc>
        <w:tc>
          <w:tcPr>
            <w:tcW w:w="22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 during the development stage</w:t>
            </w:r>
          </w:p>
        </w:tc>
        <w:tc>
          <w:tcPr>
            <w:tcW w:w="220" w:type="dxa"/>
            <w:vAlign w:val="bottom"/>
          </w:tcPr>
          <w:p>
            <w:pPr>
              <w:spacing w:after="0"/>
              <w:rPr>
                <w:sz w:val="19"/>
                <w:szCs w:val="19"/>
                <w:color w:val="auto"/>
              </w:rPr>
            </w:pPr>
          </w:p>
        </w:tc>
        <w:tc>
          <w:tcPr>
            <w:tcW w:w="2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right="20" w:firstLine="272"/>
        <w:spacing w:after="0" w:line="266" w:lineRule="auto"/>
        <w:rPr>
          <w:sz w:val="20"/>
          <w:szCs w:val="20"/>
          <w:color w:val="auto"/>
        </w:rPr>
      </w:pPr>
      <w:r>
        <w:rPr>
          <w:rFonts w:ascii="Times New Roman" w:cs="Times New Roman" w:eastAsia="Times New Roman" w:hAnsi="Times New Roman"/>
          <w:sz w:val="18"/>
          <w:szCs w:val="18"/>
          <w:color w:val="auto"/>
        </w:rPr>
        <w:t>Unless otherwise set forth in the related prospectus supplement or, if applicable, the pricing supplement, we intend to use the net proceeds from the sale of securities offered through this prospectus for general corporate purposes, which include financing our operations, capital expenditures and business development. The specific purpose of any individual issuance of securities will be described in the related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PRICE RANGE OF OUR ORDINARY SHARES</w:t>
      </w:r>
    </w:p>
    <w:p>
      <w:pPr>
        <w:spacing w:after="0" w:line="229" w:lineRule="exact"/>
        <w:rPr>
          <w:sz w:val="20"/>
          <w:szCs w:val="20"/>
          <w:color w:val="auto"/>
        </w:rPr>
      </w:pPr>
    </w:p>
    <w:p>
      <w:pPr>
        <w:ind w:right="160" w:firstLine="272"/>
        <w:spacing w:after="0" w:line="258" w:lineRule="auto"/>
        <w:rPr>
          <w:sz w:val="20"/>
          <w:szCs w:val="20"/>
          <w:color w:val="auto"/>
        </w:rPr>
      </w:pPr>
      <w:r>
        <w:rPr>
          <w:rFonts w:ascii="Times New Roman" w:cs="Times New Roman" w:eastAsia="Times New Roman" w:hAnsi="Times New Roman"/>
          <w:sz w:val="18"/>
          <w:szCs w:val="18"/>
          <w:color w:val="auto"/>
        </w:rPr>
        <w:t>Our ordinary shares were listed on the NASDAQ Capital Market under the symbol “ADHD” from May 22, 2013 until March 27, 2014. Since March 28, 2014, our ordinary shares have been listed on the NASDAQ Global Market.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through March 27, 2014, and, starting March 28, 2014, on the NASDAQ Global Market: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Information:</w:t>
            </w: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Low</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2013</w:t>
            </w:r>
          </w:p>
        </w:tc>
        <w:tc>
          <w:tcPr>
            <w:tcW w:w="4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Quarterly Information</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2014</w:t>
            </w:r>
          </w:p>
        </w:tc>
        <w:tc>
          <w:tcPr>
            <w:tcW w:w="45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6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2014</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2014</w:t>
            </w: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 2014</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2015</w:t>
            </w: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2015</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2015</w:t>
            </w: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 2015</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Monthly Information:</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2015</w:t>
            </w:r>
          </w:p>
        </w:tc>
        <w:tc>
          <w:tcPr>
            <w:tcW w:w="45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2015</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November 2015</w:t>
            </w: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2015</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2016</w:t>
            </w:r>
          </w:p>
        </w:tc>
        <w:tc>
          <w:tcPr>
            <w:tcW w:w="4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2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40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p>
      <w:pPr>
        <w:spacing w:after="0" w:line="229" w:lineRule="exact"/>
        <w:rPr>
          <w:sz w:val="20"/>
          <w:szCs w:val="20"/>
          <w:color w:val="auto"/>
        </w:rPr>
      </w:pPr>
    </w:p>
    <w:p>
      <w:pPr>
        <w:ind w:right="40" w:firstLine="272"/>
        <w:spacing w:after="0" w:line="261" w:lineRule="auto"/>
        <w:rPr>
          <w:sz w:val="20"/>
          <w:szCs w:val="20"/>
          <w:color w:val="auto"/>
        </w:rPr>
      </w:pPr>
      <w:r>
        <w:rPr>
          <w:rFonts w:ascii="Times New Roman" w:cs="Times New Roman" w:eastAsia="Times New Roman" w:hAnsi="Times New Roman"/>
          <w:sz w:val="18"/>
          <w:szCs w:val="18"/>
          <w:color w:val="auto"/>
        </w:rPr>
        <w:t>The following is a summary description of our ordinary shares under our amended and restated articles of association, or Articles of Association. Our share capital is NIS 500,000, consisting of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178" w:lineRule="exact"/>
        <w:rPr>
          <w:sz w:val="20"/>
          <w:szCs w:val="20"/>
          <w:color w:val="auto"/>
        </w:rPr>
      </w:pPr>
    </w:p>
    <w:p>
      <w:pPr>
        <w:ind w:firstLine="27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 and Liquidation Rights. </w:t>
      </w:r>
      <w:r>
        <w:rPr>
          <w:rFonts w:ascii="Times New Roman" w:cs="Times New Roman" w:eastAsia="Times New Roman" w:hAnsi="Times New Roman"/>
          <w:sz w:val="18"/>
          <w:szCs w:val="18"/>
          <w:color w:val="auto"/>
        </w:rPr>
        <w:t>Our board of directors may declare a dividend to be paid to the holders of our ordinary shares according to their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 1999, or the Companies Law.</w:t>
      </w:r>
    </w:p>
    <w:p>
      <w:pPr>
        <w:spacing w:after="0" w:line="183" w:lineRule="exact"/>
        <w:rPr>
          <w:sz w:val="20"/>
          <w:szCs w:val="20"/>
          <w:color w:val="auto"/>
        </w:rPr>
      </w:pPr>
    </w:p>
    <w:p>
      <w:pPr>
        <w:ind w:right="100" w:firstLine="27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Voting; annual, general and extraordinary meeting. </w:t>
      </w:r>
      <w:r>
        <w:rPr>
          <w:rFonts w:ascii="Times New Roman" w:cs="Times New Roman" w:eastAsia="Times New Roman" w:hAnsi="Times New Roman"/>
          <w:sz w:val="18"/>
          <w:szCs w:val="18"/>
          <w:color w:val="auto"/>
        </w:rPr>
        <w:t>Subject to any rights or restrictions for the time being attached to any class or classes of shares,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83" w:lineRule="exact"/>
        <w:rPr>
          <w:sz w:val="20"/>
          <w:szCs w:val="20"/>
          <w:color w:val="auto"/>
        </w:rPr>
      </w:pPr>
    </w:p>
    <w:p>
      <w:pPr>
        <w:ind w:right="260" w:firstLine="27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Quorum for general meetings. </w:t>
      </w:r>
      <w:r>
        <w:rPr>
          <w:rFonts w:ascii="Times New Roman" w:cs="Times New Roman" w:eastAsia="Times New Roman" w:hAnsi="Times New Roman"/>
          <w:sz w:val="18"/>
          <w:szCs w:val="18"/>
          <w:color w:val="auto"/>
        </w:rPr>
        <w:t>The quorum required for our general meetings of shareholders consists of at least two shareholders present in person,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80" w:lineRule="exact"/>
        <w:rPr>
          <w:sz w:val="20"/>
          <w:szCs w:val="20"/>
          <w:color w:val="auto"/>
        </w:rPr>
      </w:pPr>
    </w:p>
    <w:p>
      <w:pPr>
        <w:ind w:right="100" w:firstLine="272"/>
        <w:spacing w:after="0" w:line="257" w:lineRule="auto"/>
        <w:rPr>
          <w:sz w:val="20"/>
          <w:szCs w:val="20"/>
          <w:color w:val="auto"/>
        </w:rPr>
      </w:pPr>
      <w:r>
        <w:rPr>
          <w:rFonts w:ascii="Times New Roman" w:cs="Times New Roman" w:eastAsia="Times New Roman" w:hAnsi="Times New Roman"/>
          <w:sz w:val="18"/>
          <w:szCs w:val="18"/>
          <w:i w:val="1"/>
          <w:iCs w:val="1"/>
          <w:color w:val="auto"/>
        </w:rPr>
        <w:t>Notice of general meetings</w:t>
      </w:r>
      <w:r>
        <w:rPr>
          <w:rFonts w:ascii="Times New Roman" w:cs="Times New Roman" w:eastAsia="Times New Roman" w:hAnsi="Times New Roman"/>
          <w:sz w:val="18"/>
          <w:szCs w:val="18"/>
          <w:color w:val="auto"/>
        </w:rPr>
        <w:t>. Unless a longer period for notice is prescribed by the Companies Law, at least 10 days and not more than 60 days’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183" w:lineRule="exact"/>
        <w:rPr>
          <w:sz w:val="20"/>
          <w:szCs w:val="20"/>
          <w:color w:val="auto"/>
        </w:rPr>
      </w:pPr>
    </w:p>
    <w:p>
      <w:pPr>
        <w:ind w:right="60" w:firstLine="27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Annual general meetings; agenda; calling a general meeting. </w:t>
      </w:r>
      <w:r>
        <w:rPr>
          <w:rFonts w:ascii="Times New Roman" w:cs="Times New Roman" w:eastAsia="Times New Roman" w:hAnsi="Times New Roman"/>
          <w:sz w:val="18"/>
          <w:szCs w:val="18"/>
          <w:color w:val="auto"/>
        </w:rPr>
        <w:t>General meetings are held at least once in every calendar year at such time (within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183" w:lineRule="exact"/>
        <w:rPr>
          <w:sz w:val="20"/>
          <w:szCs w:val="20"/>
          <w:color w:val="auto"/>
        </w:rPr>
      </w:pPr>
    </w:p>
    <w:p>
      <w:pPr>
        <w:jc w:val="both"/>
        <w:ind w:firstLine="27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Majority vote. </w:t>
      </w:r>
      <w:r>
        <w:rPr>
          <w:rFonts w:ascii="Times New Roman" w:cs="Times New Roman" w:eastAsia="Times New Roman" w:hAnsi="Times New Roman"/>
          <w:sz w:val="18"/>
          <w:szCs w:val="18"/>
          <w:color w:val="auto"/>
        </w:rPr>
        <w:t>Except as otherwise provided in the Articles of Association, any resolution at a general meeting shall be deemed adopted if approved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our voting rights represented at the meeting in person or by proxy and voting thereon. In the case of an equality of votes, the chairman of the meeting shall not be entitled to a further vote.</w:t>
      </w:r>
    </w:p>
    <w:p>
      <w:pPr>
        <w:spacing w:after="0" w:line="174" w:lineRule="exact"/>
        <w:rPr>
          <w:sz w:val="20"/>
          <w:szCs w:val="20"/>
          <w:color w:val="auto"/>
        </w:rPr>
      </w:pPr>
    </w:p>
    <w:p>
      <w:pPr>
        <w:ind w:right="760" w:firstLine="27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discrimination against shareholders. </w:t>
      </w:r>
      <w:r>
        <w:rPr>
          <w:rFonts w:ascii="Times New Roman" w:cs="Times New Roman" w:eastAsia="Times New Roman" w:hAnsi="Times New Roman"/>
          <w:sz w:val="18"/>
          <w:szCs w:val="18"/>
          <w:color w:val="auto"/>
        </w:rPr>
        <w:t>According to our Articles of Association, there are no discriminating provisions against any existing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prospective holders of our shares as a result of a shareholder holding a substantial number of shares.</w:t>
      </w:r>
    </w:p>
    <w:p>
      <w:pPr>
        <w:spacing w:after="0" w:line="158" w:lineRule="exact"/>
        <w:rPr>
          <w:sz w:val="20"/>
          <w:szCs w:val="20"/>
          <w:color w:val="auto"/>
        </w:rPr>
      </w:pPr>
    </w:p>
    <w:p>
      <w:pPr>
        <w:ind w:right="300" w:firstLine="27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Shares; record dates. </w:t>
      </w:r>
      <w:r>
        <w:rPr>
          <w:rFonts w:ascii="Times New Roman" w:cs="Times New Roman" w:eastAsia="Times New Roman" w:hAnsi="Times New Roman"/>
          <w:sz w:val="18"/>
          <w:szCs w:val="18"/>
          <w:color w:val="auto"/>
        </w:rPr>
        <w:t>Fully paid up ordinary shares may be freely transferred pursuant to our Articles of Association unless such transfer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or prohibited by another instrument or securities laws. Each shareholder who would be entitled to attend and vote at a general meeting of shareholders is entitled to receive notice of any such meeting.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purposes of determining the shareholders entitled to notice and to vote at such meeting, the board of directors will fix a record date.</w:t>
      </w:r>
    </w:p>
    <w:p>
      <w:pPr>
        <w:spacing w:after="0" w:line="223" w:lineRule="exact"/>
        <w:rPr>
          <w:sz w:val="20"/>
          <w:szCs w:val="20"/>
          <w:color w:val="auto"/>
        </w:rPr>
      </w:pPr>
    </w:p>
    <w:p>
      <w:pPr>
        <w:ind w:right="160" w:firstLine="27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Modification of Class Rights. </w:t>
      </w:r>
      <w:r>
        <w:rPr>
          <w:rFonts w:ascii="Times New Roman" w:cs="Times New Roman" w:eastAsia="Times New Roman" w:hAnsi="Times New Roman"/>
          <w:sz w:val="18"/>
          <w:szCs w:val="18"/>
          <w:color w:val="auto"/>
        </w:rPr>
        <w:t>If, at any time, the share capital is divided into different classes of shares, the rights attached to any class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182" w:lineRule="exact"/>
        <w:rPr>
          <w:sz w:val="20"/>
          <w:szCs w:val="20"/>
          <w:color w:val="auto"/>
        </w:rPr>
      </w:pPr>
    </w:p>
    <w:p>
      <w:pPr>
        <w:ind w:right="140" w:firstLine="272"/>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174" w:lineRule="exact"/>
        <w:rPr>
          <w:sz w:val="20"/>
          <w:szCs w:val="20"/>
          <w:color w:val="auto"/>
        </w:rPr>
      </w:pPr>
    </w:p>
    <w:p>
      <w:pPr>
        <w:ind w:right="580" w:firstLine="27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Restrictions on </w:t>
      </w:r>
      <w:r>
        <w:rPr>
          <w:rFonts w:ascii="Times New Roman" w:cs="Times New Roman" w:eastAsia="Times New Roman" w:hAnsi="Times New Roman"/>
          <w:sz w:val="18"/>
          <w:szCs w:val="18"/>
          <w:color w:val="auto"/>
        </w:rPr>
        <w:t>Shareholders</w:t>
      </w:r>
      <w:r>
        <w:rPr>
          <w:rFonts w:ascii="Times New Roman" w:cs="Times New Roman" w:eastAsia="Times New Roman" w:hAnsi="Times New Roman"/>
          <w:sz w:val="18"/>
          <w:szCs w:val="18"/>
          <w:i w:val="1"/>
          <w:iCs w:val="1"/>
          <w:color w:val="auto"/>
        </w:rPr>
        <w:t xml:space="preserve"> Rights to Own Securities. </w:t>
      </w:r>
      <w:r>
        <w:rPr>
          <w:rFonts w:ascii="Times New Roman" w:cs="Times New Roman" w:eastAsia="Times New Roman" w:hAnsi="Times New Roman"/>
          <w:sz w:val="18"/>
          <w:szCs w:val="18"/>
          <w:color w:val="auto"/>
        </w:rPr>
        <w:t>Our Articles of Association and the laws of the State of Israel do not restrict in any way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or voting or our shares by nonresidents of Israel, except with respect to subjects of countries which are in a state of war with Israel.</w:t>
      </w:r>
    </w:p>
    <w:p>
      <w:pPr>
        <w:spacing w:after="0" w:line="158" w:lineRule="exact"/>
        <w:rPr>
          <w:sz w:val="20"/>
          <w:szCs w:val="20"/>
          <w:color w:val="auto"/>
        </w:rPr>
      </w:pPr>
    </w:p>
    <w:p>
      <w:pPr>
        <w:ind w:firstLine="272"/>
        <w:spacing w:after="0" w:line="257"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Other than external directors, as defined in the Companies Law, for whom special election requirements and terms of office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Companies Law,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Companies Law and our Articles of Association. In addition, our Articles of Association allow our board of directors to appoint directors, other than external directors, to fill vacancies on our board of directors, for a term of office which shall continue until the next annual meeting following his or her appointment.</w:t>
      </w:r>
    </w:p>
    <w:p>
      <w:pPr>
        <w:spacing w:after="0" w:line="185" w:lineRule="exact"/>
        <w:rPr>
          <w:sz w:val="20"/>
          <w:szCs w:val="20"/>
          <w:color w:val="auto"/>
        </w:rPr>
      </w:pPr>
    </w:p>
    <w:p>
      <w:pPr>
        <w:ind w:right="600" w:firstLine="272"/>
        <w:spacing w:after="0" w:line="282" w:lineRule="auto"/>
        <w:rPr>
          <w:sz w:val="20"/>
          <w:szCs w:val="20"/>
          <w:color w:val="auto"/>
        </w:rPr>
      </w:pPr>
      <w:r>
        <w:rPr>
          <w:rFonts w:ascii="Times New Roman" w:cs="Times New Roman" w:eastAsia="Times New Roman" w:hAnsi="Times New Roman"/>
          <w:sz w:val="18"/>
          <w:szCs w:val="18"/>
          <w:color w:val="auto"/>
        </w:rPr>
        <w:t>External directors are elected for an initial term of three years and may be elected for up to two additional three-year terms (or more) under certain circumstances. External directors may be removed from office only under the limited circumstances set forth in the Companies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4" w:name="page25"/>
    <w:bookmarkEnd w:id="2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may sell the securities being offered hereby in one or more of the following methods from time to time:</w:t>
      </w:r>
    </w:p>
    <w:p>
      <w:pPr>
        <w:spacing w:after="0" w:line="212" w:lineRule="exact"/>
        <w:rPr>
          <w:sz w:val="20"/>
          <w:szCs w:val="20"/>
          <w:color w:val="auto"/>
        </w:rPr>
      </w:pPr>
    </w:p>
    <w:p>
      <w:pPr>
        <w:ind w:left="680" w:right="40" w:hanging="402"/>
        <w:spacing w:after="0" w:line="25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broker or 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own account pursuant to this prospectus;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distributions and/or secondary distributions;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underwriters for resale to the public or to investors;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98" w:lineRule="exact"/>
        <w:rPr>
          <w:rFonts w:ascii="Times New Roman" w:cs="Times New Roman" w:eastAsia="Times New Roman" w:hAnsi="Times New Roman"/>
          <w:sz w:val="18"/>
          <w:szCs w:val="18"/>
          <w:color w:val="auto"/>
        </w:rPr>
      </w:pPr>
    </w:p>
    <w:p>
      <w:pPr>
        <w:ind w:left="680" w:right="260" w:hanging="402"/>
        <w:spacing w:after="0" w:line="25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not involving market makers or established trading markets, including direct sales or privately negotiated transactions;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these methods of sale.</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securities that we distribute by any of these methods may be sold, in one or more transactions, at:</w:t>
      </w:r>
    </w:p>
    <w:p>
      <w:pPr>
        <w:spacing w:after="0" w:line="212" w:lineRule="exact"/>
        <w:rPr>
          <w:sz w:val="20"/>
          <w:szCs w:val="20"/>
          <w:color w:val="auto"/>
        </w:rPr>
      </w:pPr>
    </w:p>
    <w:p>
      <w:pPr>
        <w:ind w:left="680" w:hanging="40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prevailing market prices; or</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will set forth in a prospectus supplement the terms of the offering of securities, including:</w:t>
      </w:r>
    </w:p>
    <w:p>
      <w:pPr>
        <w:spacing w:after="0" w:line="212" w:lineRule="exact"/>
        <w:rPr>
          <w:sz w:val="20"/>
          <w:szCs w:val="20"/>
          <w:color w:val="auto"/>
        </w:rPr>
      </w:pPr>
    </w:p>
    <w:p>
      <w:pPr>
        <w:ind w:left="680" w:hanging="40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or underwriters;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or markets on which such securities may be listed.</w:t>
      </w:r>
    </w:p>
    <w:p>
      <w:pPr>
        <w:spacing w:after="0" w:line="212" w:lineRule="exact"/>
        <w:rPr>
          <w:sz w:val="20"/>
          <w:szCs w:val="20"/>
          <w:color w:val="auto"/>
        </w:rPr>
      </w:pPr>
    </w:p>
    <w:p>
      <w:pPr>
        <w:ind w:firstLine="272"/>
        <w:spacing w:after="0" w:line="261"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09" w:right="339" w:bottom="1440" w:gutter="0" w:footer="0" w:header="0"/>
        </w:sectPr>
      </w:pPr>
    </w:p>
    <w:bookmarkStart w:id="25" w:name="page26"/>
    <w:bookmarkEnd w:id="2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76" w:lineRule="exact"/>
        <w:rPr>
          <w:sz w:val="20"/>
          <w:szCs w:val="20"/>
          <w:color w:val="auto"/>
        </w:rPr>
      </w:pPr>
    </w:p>
    <w:p>
      <w:pPr>
        <w:ind w:right="100" w:firstLine="272"/>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may also sell securities directly to one or more purchasers without using underwriters or agents.</w:t>
      </w:r>
    </w:p>
    <w:p>
      <w:pPr>
        <w:spacing w:after="0" w:line="225" w:lineRule="exact"/>
        <w:rPr>
          <w:sz w:val="20"/>
          <w:szCs w:val="20"/>
          <w:color w:val="auto"/>
        </w:rPr>
      </w:pPr>
    </w:p>
    <w:p>
      <w:pPr>
        <w:ind w:firstLine="272"/>
        <w:spacing w:after="0" w:line="258"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184" w:lineRule="exact"/>
        <w:rPr>
          <w:sz w:val="20"/>
          <w:szCs w:val="20"/>
          <w:color w:val="auto"/>
        </w:rPr>
      </w:pPr>
    </w:p>
    <w:p>
      <w:pPr>
        <w:ind w:right="60" w:firstLine="272"/>
        <w:spacing w:after="0" w:line="266"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w:t>
      </w:r>
    </w:p>
    <w:p>
      <w:pPr>
        <w:spacing w:after="0" w:line="176" w:lineRule="exact"/>
        <w:rPr>
          <w:sz w:val="20"/>
          <w:szCs w:val="20"/>
          <w:color w:val="auto"/>
        </w:rPr>
      </w:pPr>
    </w:p>
    <w:p>
      <w:pPr>
        <w:ind w:right="40" w:firstLine="272"/>
        <w:spacing w:after="0" w:line="255"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Market or otherwise and, if commenced, may be discontinued at any time.</w:t>
      </w:r>
    </w:p>
    <w:p>
      <w:pPr>
        <w:spacing w:after="0" w:line="189" w:lineRule="exact"/>
        <w:rPr>
          <w:sz w:val="20"/>
          <w:szCs w:val="20"/>
          <w:color w:val="auto"/>
        </w:rPr>
      </w:pPr>
    </w:p>
    <w:p>
      <w:pPr>
        <w:ind w:right="300" w:firstLine="272"/>
        <w:spacing w:after="0" w:line="266" w:lineRule="auto"/>
        <w:rPr>
          <w:sz w:val="20"/>
          <w:szCs w:val="20"/>
          <w:color w:val="auto"/>
        </w:rPr>
      </w:pPr>
      <w:r>
        <w:rPr>
          <w:rFonts w:ascii="Times New Roman" w:cs="Times New Roman" w:eastAsia="Times New Roman" w:hAnsi="Times New Roman"/>
          <w:sz w:val="18"/>
          <w:szCs w:val="18"/>
          <w:color w:val="auto"/>
        </w:rPr>
        <w:t>In compliance with guidelines of the Financial Industry Regulatory Authority, or FINRA, the maximum commission or discount to be received by any FINRA member or independent broker dealer may not exceed 8% of the aggregate amount of the securities offered pursuant to this prospectus and any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240" w:firstLine="272"/>
        <w:spacing w:after="0" w:line="266" w:lineRule="auto"/>
        <w:rPr>
          <w:sz w:val="20"/>
          <w:szCs w:val="20"/>
          <w:color w:val="auto"/>
        </w:rPr>
      </w:pPr>
      <w:r>
        <w:rPr>
          <w:rFonts w:ascii="Times New Roman" w:cs="Times New Roman" w:eastAsia="Times New Roman" w:hAnsi="Times New Roman"/>
          <w:sz w:val="18"/>
          <w:szCs w:val="18"/>
          <w:color w:val="auto"/>
        </w:rPr>
        <w:t>We are paying all of the expenses of the registration of our securities under the Securities Act, including, to the extent applicable, registration and filing fees, printing and duplication expenses, administrative expenses, accounting fees and the legal fees of our counsel. We estimate these expenses to be approximately $30,000 which at the present time include the following categories of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36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3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36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43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20" w:type="dxa"/>
            <w:vAlign w:val="bottom"/>
          </w:tcPr>
          <w:p>
            <w:pPr>
              <w:spacing w:after="0"/>
              <w:rPr>
                <w:sz w:val="19"/>
                <w:szCs w:val="19"/>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30,000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5" w:lineRule="exact"/>
        <w:rPr>
          <w:sz w:val="20"/>
          <w:szCs w:val="20"/>
          <w:color w:val="auto"/>
        </w:rPr>
      </w:pPr>
    </w:p>
    <w:p>
      <w:pPr>
        <w:jc w:val="both"/>
        <w:ind w:firstLine="272"/>
        <w:spacing w:after="0" w:line="282" w:lineRule="auto"/>
        <w:rPr>
          <w:sz w:val="20"/>
          <w:szCs w:val="20"/>
          <w:color w:val="auto"/>
        </w:rPr>
      </w:pPr>
      <w:r>
        <w:rPr>
          <w:rFonts w:ascii="Times New Roman" w:cs="Times New Roman" w:eastAsia="Times New Roman" w:hAnsi="Times New Roman"/>
          <w:sz w:val="18"/>
          <w:szCs w:val="18"/>
          <w:color w:val="auto"/>
        </w:rPr>
        <w:t>In addition, we anticipate incurring additional expenses in the future in connection with the offering of our securities pursuant to this prospectus. Any such additional expenses will be disclosed in a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400" w:firstLine="272"/>
        <w:spacing w:after="0" w:line="313" w:lineRule="auto"/>
        <w:rPr>
          <w:sz w:val="20"/>
          <w:szCs w:val="20"/>
          <w:color w:val="auto"/>
        </w:rPr>
      </w:pPr>
      <w:r>
        <w:rPr>
          <w:rFonts w:ascii="Times New Roman" w:cs="Times New Roman" w:eastAsia="Times New Roman" w:hAnsi="Times New Roman"/>
          <w:sz w:val="17"/>
          <w:szCs w:val="17"/>
          <w:color w:val="auto"/>
        </w:rPr>
        <w:t>The validity of the ordinary shares offered in this prospectus will be passed upon for us by Zysman, Aharoni, Gayer &amp; Co., Tel Aviv, Israel. Zysman, Aharoni, Gayer and Sullivan &amp; Worcester LLP, New York, New York, is acting as our counsel in connection with United States securities laws.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272"/>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from the Company’s Annual Report on Form 20-F, have been audited by Kost Forer Gabbay &amp; Kasierer, a member of EY Global, an independent registered public accounting firm, as stated in their report, which is incorporated herein by reference. Such financial statements have been so incorporated in reliance upon the reports of such firm given upon their authority as experts in accounting and auditing.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INCORPORATION OF CERTAIN INFORMATION BY REFERENCE</w:t>
      </w:r>
    </w:p>
    <w:p>
      <w:pPr>
        <w:spacing w:after="0" w:line="207" w:lineRule="exact"/>
        <w:rPr>
          <w:sz w:val="20"/>
          <w:szCs w:val="20"/>
          <w:color w:val="auto"/>
        </w:rPr>
      </w:pPr>
    </w:p>
    <w:p>
      <w:pPr>
        <w:ind w:right="280" w:firstLine="272"/>
        <w:spacing w:after="0" w:line="266" w:lineRule="auto"/>
        <w:rPr>
          <w:sz w:val="20"/>
          <w:szCs w:val="20"/>
          <w:color w:val="auto"/>
        </w:rPr>
      </w:pPr>
      <w:r>
        <w:rPr>
          <w:rFonts w:ascii="Times New Roman" w:cs="Times New Roman" w:eastAsia="Times New Roman" w:hAnsi="Times New Roman"/>
          <w:sz w:val="18"/>
          <w:szCs w:val="18"/>
          <w:color w:val="auto"/>
        </w:rPr>
        <w:t>We are an Israeli company and are a “foreign private issuer” as defined in Rule 3b-4 under the Securities Exchange Act of 1934, as amended, or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176" w:lineRule="exact"/>
        <w:rPr>
          <w:sz w:val="20"/>
          <w:szCs w:val="20"/>
          <w:color w:val="auto"/>
        </w:rPr>
      </w:pPr>
    </w:p>
    <w:p>
      <w:pPr>
        <w:ind w:right="60" w:firstLine="272"/>
        <w:spacing w:after="0" w:line="258" w:lineRule="auto"/>
        <w:rPr>
          <w:sz w:val="20"/>
          <w:szCs w:val="20"/>
          <w:color w:val="auto"/>
        </w:rPr>
      </w:pPr>
      <w:r>
        <w:rPr>
          <w:rFonts w:ascii="Times New Roman" w:cs="Times New Roman" w:eastAsia="Times New Roman" w:hAnsi="Times New Roman"/>
          <w:sz w:val="18"/>
          <w:szCs w:val="18"/>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184" w:lineRule="exact"/>
        <w:rPr>
          <w:sz w:val="20"/>
          <w:szCs w:val="20"/>
          <w:color w:val="auto"/>
        </w:rPr>
      </w:pPr>
    </w:p>
    <w:p>
      <w:pPr>
        <w:jc w:val="both"/>
        <w:ind w:right="160" w:firstLine="272"/>
        <w:spacing w:after="0" w:line="258" w:lineRule="auto"/>
        <w:rPr>
          <w:sz w:val="20"/>
          <w:szCs w:val="20"/>
          <w:color w:val="auto"/>
        </w:rPr>
      </w:pPr>
      <w:r>
        <w:rPr>
          <w:rFonts w:ascii="Times New Roman" w:cs="Times New Roman" w:eastAsia="Times New Roman" w:hAnsi="Times New Roman"/>
          <w:sz w:val="18"/>
          <w:szCs w:val="18"/>
          <w:color w:val="auto"/>
        </w:rPr>
        <w:t>You can read and copy any materials we file with the SEC at its Public Reference Room at 100 F Street, N.E., Washington, D.C. 20549. You can obtain information about the operation of the SEC Public Reference Room by calling the SEC at 1-800-SEC-0330. The SEC also maintains a website that contains information we file electronically with the SEC, which you can access over the Internet at http://www.sec.gov. You may also access the information we file electronically with the SEC through our website at http://www.alcobra-pharma.com. The information contained on, or linked from our website or the SEC’s website does not form part of this prospectus.</w:t>
      </w:r>
    </w:p>
    <w:p>
      <w:pPr>
        <w:spacing w:after="0" w:line="184" w:lineRule="exact"/>
        <w:rPr>
          <w:sz w:val="20"/>
          <w:szCs w:val="20"/>
          <w:color w:val="auto"/>
        </w:rPr>
      </w:pPr>
    </w:p>
    <w:p>
      <w:pPr>
        <w:ind w:right="80" w:firstLine="272"/>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documents filed with or furnished to the SEC by our Company are incorporated by reference in this registration statement:</w:t>
      </w:r>
    </w:p>
    <w:p>
      <w:pPr>
        <w:spacing w:after="0" w:line="212" w:lineRule="exact"/>
        <w:rPr>
          <w:sz w:val="20"/>
          <w:szCs w:val="20"/>
          <w:color w:val="auto"/>
        </w:rPr>
      </w:pPr>
    </w:p>
    <w:p>
      <w:pPr>
        <w:ind w:left="680" w:hanging="402"/>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December 31, 2015; and</w:t>
      </w:r>
    </w:p>
    <w:p>
      <w:pPr>
        <w:spacing w:after="0" w:line="198" w:lineRule="exact"/>
        <w:rPr>
          <w:rFonts w:ascii="Times New Roman" w:cs="Times New Roman" w:eastAsia="Times New Roman" w:hAnsi="Times New Roman"/>
          <w:sz w:val="18"/>
          <w:szCs w:val="18"/>
          <w:color w:val="auto"/>
        </w:rPr>
      </w:pPr>
    </w:p>
    <w:p>
      <w:pPr>
        <w:ind w:left="680" w:hanging="402"/>
        <w:spacing w:after="0" w:line="25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175" w:lineRule="exact"/>
        <w:rPr>
          <w:sz w:val="20"/>
          <w:szCs w:val="20"/>
          <w:color w:val="auto"/>
        </w:rPr>
      </w:pPr>
    </w:p>
    <w:p>
      <w:pPr>
        <w:ind w:right="440" w:firstLine="272"/>
        <w:spacing w:after="0" w:line="261" w:lineRule="auto"/>
        <w:rPr>
          <w:sz w:val="20"/>
          <w:szCs w:val="20"/>
          <w:color w:val="auto"/>
        </w:rPr>
      </w:pPr>
      <w:r>
        <w:rPr>
          <w:rFonts w:ascii="Times New Roman" w:cs="Times New Roman" w:eastAsia="Times New Roman" w:hAnsi="Times New Roman"/>
          <w:sz w:val="18"/>
          <w:szCs w:val="18"/>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7" w:name="page28"/>
    <w:bookmarkEnd w:id="27"/>
    <w:p>
      <w:pPr>
        <w:ind w:right="60"/>
        <w:spacing w:after="0" w:line="258" w:lineRule="auto"/>
        <w:rPr>
          <w:sz w:val="20"/>
          <w:szCs w:val="20"/>
          <w:color w:val="auto"/>
        </w:rPr>
      </w:pPr>
      <w:r>
        <w:rPr>
          <w:rFonts w:ascii="Times New Roman" w:cs="Times New Roman" w:eastAsia="Times New Roman" w:hAnsi="Times New Roman"/>
          <w:sz w:val="18"/>
          <w:szCs w:val="18"/>
          <w:color w:val="auto"/>
        </w:rPr>
        <w:t>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84" w:lineRule="exact"/>
        <w:rPr>
          <w:sz w:val="20"/>
          <w:szCs w:val="20"/>
          <w:color w:val="auto"/>
        </w:rPr>
      </w:pPr>
    </w:p>
    <w:p>
      <w:pPr>
        <w:ind w:right="280" w:firstLine="272"/>
        <w:spacing w:after="0" w:line="282" w:lineRule="auto"/>
        <w:rPr>
          <w:sz w:val="20"/>
          <w:szCs w:val="20"/>
          <w:color w:val="auto"/>
        </w:rPr>
      </w:pPr>
      <w:r>
        <w:rPr>
          <w:rFonts w:ascii="Times New Roman" w:cs="Times New Roman" w:eastAsia="Times New Roman" w:hAnsi="Times New Roman"/>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162" w:lineRule="exact"/>
        <w:rPr>
          <w:sz w:val="20"/>
          <w:szCs w:val="20"/>
          <w:color w:val="auto"/>
        </w:rPr>
      </w:pPr>
    </w:p>
    <w:p>
      <w:pPr>
        <w:ind w:right="40" w:firstLine="272"/>
        <w:spacing w:after="0" w:line="261" w:lineRule="auto"/>
        <w:rPr>
          <w:sz w:val="20"/>
          <w:szCs w:val="20"/>
          <w:color w:val="auto"/>
        </w:rPr>
      </w:pPr>
      <w:r>
        <w:rPr>
          <w:rFonts w:ascii="Times New Roman" w:cs="Times New Roman" w:eastAsia="Times New Roman" w:hAnsi="Times New Roman"/>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Alcobra Ltd., Azrieli Triangle Building, 132 Derech Menachem Begin, 39th Floor, Tel Aviv 6701101, Israel, attention: Dr. Tomer Berkovitz, Chief Financial Officer, telephone number: +972-72-220-4661.</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firstLine="272"/>
        <w:spacing w:after="0" w:line="258" w:lineRule="auto"/>
        <w:rPr>
          <w:sz w:val="20"/>
          <w:szCs w:val="20"/>
          <w:color w:val="auto"/>
        </w:rPr>
      </w:pPr>
      <w:r>
        <w:rPr>
          <w:rFonts w:ascii="Times New Roman" w:cs="Times New Roman" w:eastAsia="Times New Roman" w:hAnsi="Times New Roman"/>
          <w:sz w:val="18"/>
          <w:szCs w:val="18"/>
          <w:color w:val="auto"/>
        </w:rPr>
        <w:t>We are incorporated in Israel, almost all of our executive officers and directors and the Israeli experts named herein are nonresidents of the United States, and a substantial portion of our assets and of such persons’ assets are located outside the United States. Service of process upon us and upon our directors and officers and the experts named in his prospectus,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84" w:lineRule="exact"/>
        <w:rPr>
          <w:sz w:val="20"/>
          <w:szCs w:val="20"/>
          <w:color w:val="auto"/>
        </w:rPr>
      </w:pPr>
    </w:p>
    <w:p>
      <w:pPr>
        <w:ind w:right="20" w:firstLine="272"/>
        <w:spacing w:after="0" w:line="258" w:lineRule="auto"/>
        <w:rPr>
          <w:sz w:val="20"/>
          <w:szCs w:val="20"/>
          <w:color w:val="auto"/>
        </w:rPr>
      </w:pPr>
      <w:r>
        <w:rPr>
          <w:rFonts w:ascii="Times New Roman" w:cs="Times New Roman" w:eastAsia="Times New Roman" w:hAnsi="Times New Roman"/>
          <w:sz w:val="18"/>
          <w:szCs w:val="18"/>
          <w:color w:val="auto"/>
        </w:rPr>
        <w:t>We have been informed by our legal counsel in Israel that it may be difficult to assert United States securities law claims in original actions instituted in Israel. Israeli courts may refuse to hear a claim based on a violation of United States securities laws because Israel is not the most appropriate forum to bring such a claim. In addition, even if an Israeli court agrees to hear a claim, it may determine that Israeli law and not U.S. law is applicable to the claim. If United States law is found to be applicable, the content of applicable U.S. law must be proved as a fact, which can be a time-consuming and costly process. Certain matters of procedure will also be governed by Israeli law. There is little binding case law in Israel addressing these matters.</w:t>
      </w:r>
    </w:p>
    <w:p>
      <w:pPr>
        <w:spacing w:after="0" w:line="184" w:lineRule="exact"/>
        <w:rPr>
          <w:sz w:val="20"/>
          <w:szCs w:val="20"/>
          <w:color w:val="auto"/>
        </w:rPr>
      </w:pPr>
    </w:p>
    <w:p>
      <w:pPr>
        <w:ind w:right="320" w:firstLine="272"/>
        <w:spacing w:after="0" w:line="266" w:lineRule="auto"/>
        <w:rPr>
          <w:sz w:val="20"/>
          <w:szCs w:val="20"/>
          <w:color w:val="auto"/>
        </w:rPr>
      </w:pPr>
      <w:r>
        <w:rPr>
          <w:rFonts w:ascii="Times New Roman" w:cs="Times New Roman" w:eastAsia="Times New Roman" w:hAnsi="Times New Roman"/>
          <w:sz w:val="18"/>
          <w:szCs w:val="18"/>
          <w:color w:val="auto"/>
        </w:rPr>
        <w:t>Subject to specified time limitations and legal procedures, under the rules of private international law currently prevailing in Israel, Israeli courts may enforce a final U.S. judgment in a civil matter, including judgments based upon the civil liability provisions of the U.S. securities laws and including a monetary or compensatory judgment in a non-civil matter, provided that:</w:t>
      </w:r>
    </w:p>
    <w:p>
      <w:pPr>
        <w:spacing w:after="0" w:line="163" w:lineRule="exact"/>
        <w:rPr>
          <w:sz w:val="20"/>
          <w:szCs w:val="20"/>
          <w:color w:val="auto"/>
        </w:rPr>
      </w:pPr>
    </w:p>
    <w:p>
      <w:pPr>
        <w:ind w:left="680" w:hanging="40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in the state in which it was given;</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present his arguments and evidence;</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and the enforcement of the judgment are not contrary to the law, public policy, security or sovereignty of the state of Israel;</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 and</w:t>
      </w:r>
    </w:p>
    <w:p>
      <w:pPr>
        <w:spacing w:after="0" w:line="198"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is not pending in any Israeli court at the time the lawsuit is instituted in the foreign court.</w:t>
      </w:r>
    </w:p>
    <w:p>
      <w:pPr>
        <w:spacing w:after="0" w:line="212" w:lineRule="exact"/>
        <w:rPr>
          <w:sz w:val="20"/>
          <w:szCs w:val="20"/>
          <w:color w:val="auto"/>
        </w:rPr>
      </w:pPr>
    </w:p>
    <w:p>
      <w:pPr>
        <w:ind w:right="240" w:firstLine="272"/>
        <w:spacing w:after="0" w:line="261" w:lineRule="auto"/>
        <w:rPr>
          <w:sz w:val="20"/>
          <w:szCs w:val="20"/>
          <w:color w:val="auto"/>
        </w:rPr>
      </w:pPr>
      <w:r>
        <w:rPr>
          <w:rFonts w:ascii="Times New Roman" w:cs="Times New Roman" w:eastAsia="Times New Roman" w:hAnsi="Times New Roman"/>
          <w:sz w:val="18"/>
          <w:szCs w:val="18"/>
          <w:color w:val="auto"/>
        </w:rPr>
        <w:t>We have irrevocably appointed our subsidiary, Alcobra Inc., as our agent to receive service of process in any action against us in the state and federal courts sitting in the City of New York, Borough of Manhattan arising out of any offering under this registration statement of which this prospectus forms a part, or any purchase or sale of securities in connection therewith. We have not given consent for this agent to accept service of process in connection with any other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Up to $30,000,000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133985</wp:posOffset>
            </wp:positionV>
            <wp:extent cx="2564130" cy="857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140335</wp:posOffset>
            </wp:positionV>
            <wp:extent cx="2444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301625</wp:posOffset>
            </wp:positionV>
            <wp:extent cx="2444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7"/>
          <w:szCs w:val="27"/>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295910</wp:posOffset>
            </wp:positionV>
            <wp:extent cx="24441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October 15, 2018</w:t>
      </w:r>
    </w:p>
    <w:sectPr>
      <w:pgSz w:w="11900" w:h="16838" w:orient="portrait"/>
      <w:cols w:equalWidth="0" w:num="1">
        <w:col w:w="9019"/>
      </w:cols>
      <w:pgMar w:left="1440" w:top="6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2019-12-08T05:54:59Z</dcterms:created>
  <dcterms:modified xsi:type="dcterms:W3CDTF">2019-12-08T05:54:59Z</dcterms:modified>
</cp:coreProperties>
</file>