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333-251175</w:t>
      </w:r>
    </w:p>
    <w:p>
      <w:pPr>
        <w:spacing w:after="0" w:line="203"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an offer to buy these securities in any jurisdiction where the offer or sale is not permitted.</w:t>
      </w:r>
    </w:p>
    <w:p>
      <w:pPr>
        <w:spacing w:after="0" w:line="17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EB0029"/>
        </w:rPr>
        <w:t>Subject to Completion, dated December 7,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We are offering an aggregate of</w:t>
      </w:r>
      <w:r>
        <w:rPr>
          <w:sz w:val="20"/>
          <w:szCs w:val="20"/>
          <w:color w:val="auto"/>
        </w:rPr>
        <w:tab/>
      </w:r>
      <w:r>
        <w:rPr>
          <w:rFonts w:ascii="Times New Roman" w:cs="Times New Roman" w:eastAsia="Times New Roman" w:hAnsi="Times New Roman"/>
          <w:sz w:val="18"/>
          <w:szCs w:val="18"/>
          <w:color w:val="auto"/>
        </w:rPr>
        <w:t>shares of our common stock pursuant to this prospectus supplement and accompanying prospectus.</w:t>
      </w:r>
    </w:p>
    <w:p>
      <w:pPr>
        <w:spacing w:after="0" w:line="225"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“ARCT.” The last reported sale price of our common stock on the Nasdaq Global Market on December 7, 2020 was $123.66 per share.</w:t>
      </w:r>
    </w:p>
    <w:p>
      <w:pPr>
        <w:spacing w:after="0" w:line="158"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common stock involves a high degree of risk. Please read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S-8 of this prospectus supplement and in the documents incorporated by reference into this prospectus supplement before investing in our securities.</w:t>
      </w:r>
    </w:p>
    <w:p>
      <w:pPr>
        <w:spacing w:after="0" w:line="15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r>
      <w:tr>
        <w:trPr>
          <w:trHeight w:val="257"/>
        </w:trPr>
        <w:tc>
          <w:tcPr>
            <w:tcW w:w="8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“Underwriting” beginning on page S-21 of this prospectus supplement for information regarding underwriting compensation.</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w:t>
            </w:r>
          </w:p>
        </w:tc>
        <w:tc>
          <w:tcPr>
            <w:tcW w:w="5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shares of our common stock from us at the public offering price,</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the underwriting discounts and commissions, within 30 days from the date of this prospectus supplement.</w:t>
            </w:r>
          </w:p>
        </w:tc>
      </w:tr>
      <w:tr>
        <w:trPr>
          <w:trHeight w:val="43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on or about</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2020.</w:t>
            </w:r>
          </w:p>
        </w:tc>
        <w:tc>
          <w:tcPr>
            <w:tcW w:w="4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49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4120" w:type="dxa"/>
            <w:vAlign w:val="bottom"/>
          </w:tcPr>
          <w:p>
            <w:pPr>
              <w:spacing w:after="0"/>
              <w:rPr>
                <w:sz w:val="24"/>
                <w:szCs w:val="24"/>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Piper Sandler</w:t>
            </w:r>
          </w:p>
        </w:tc>
        <w:tc>
          <w:tcPr>
            <w:tcW w:w="4920" w:type="dxa"/>
            <w:vAlign w:val="bottom"/>
            <w:gridSpan w:val="2"/>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r>
      <w:tr>
        <w:trPr>
          <w:trHeight w:val="459"/>
        </w:trPr>
        <w:tc>
          <w:tcPr>
            <w:tcW w:w="2200" w:type="dxa"/>
            <w:vAlign w:val="bottom"/>
          </w:tcPr>
          <w:p>
            <w:pPr>
              <w:spacing w:after="0"/>
              <w:rPr>
                <w:sz w:val="24"/>
                <w:szCs w:val="24"/>
                <w:color w:val="auto"/>
              </w:rPr>
            </w:pPr>
          </w:p>
        </w:tc>
        <w:tc>
          <w:tcPr>
            <w:tcW w:w="49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4120" w:type="dxa"/>
            <w:vAlign w:val="bottom"/>
          </w:tcPr>
          <w:p>
            <w:pPr>
              <w:jc w:val="right"/>
              <w:ind w:right="3230"/>
              <w:spacing w:after="0"/>
              <w:rPr>
                <w:sz w:val="20"/>
                <w:szCs w:val="20"/>
                <w:color w:val="auto"/>
              </w:rPr>
            </w:pPr>
            <w:r>
              <w:rPr>
                <w:rFonts w:ascii="Times New Roman" w:cs="Times New Roman" w:eastAsia="Times New Roman" w:hAnsi="Times New Roman"/>
                <w:sz w:val="18"/>
                <w:szCs w:val="18"/>
                <w:b w:val="1"/>
                <w:bCs w:val="1"/>
                <w:color w:val="auto"/>
              </w:rPr>
              <w:t>, 2020.</w:t>
            </w:r>
          </w:p>
        </w:tc>
      </w:tr>
      <w:tr>
        <w:trPr>
          <w:trHeight w:val="547"/>
        </w:trPr>
        <w:tc>
          <w:tcPr>
            <w:tcW w:w="2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U.S. Federal Income Tax Consequences For Non-U.S. Holders Of Our Common Stock</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Additional Information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9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including the documents incorporated by reference herein, which describes the specific terms of this offering and also adds to and updates the information contained in the accompanying prospectus and the documents incorporated by reference therein.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Additional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Before buying any of the shares of common stock that we are offering, we urge you to carefully read this prospectus supplement, the accompanying prospectus and any related free writing prospectus and all of the information incorporated by reference herein and therein, as well as the additional information described under the headings “Where You Can Find Additional Information” and “Incorporation of Certain Information by Reference.” These documents contain important information that you should consider when making your investment decision.</w:t>
      </w:r>
    </w:p>
    <w:p>
      <w:pPr>
        <w:spacing w:after="0" w:line="19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and any related free writing prospectus filed by us with the Securities and Exchange Commission, or SEC. Neither we nor the underwriters have authorized any other person to provide you with any information that is different. If anyone provides you with different or inconsistent information, you should not rely on it.</w:t>
      </w:r>
    </w:p>
    <w:p>
      <w:pPr>
        <w:spacing w:after="0" w:line="180"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shares of common stock described in this prospectus supplement or an offer to sell or the solicitation of an offer to buy such securities in any circumstances in which such offer or solicitation is unlawful. Persons outside the United States who come into possession of this prospectus supplement must inform themselves about, and observe any restrictions relating to, the offering of the shares of common stock and the distribution of this prospectus supplement outside the United States.</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the documents incorporated by reference herein and therein and any related free writing prospectus is accurate only as of their respective dates. Our business, financial condition, results of operations and prospects may have changed materially since those dates.</w:t>
      </w:r>
    </w:p>
    <w:p>
      <w:pPr>
        <w:spacing w:after="0" w:line="176"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prospectus supplement, the terms “Arcturus Therapeutics,” “we,” “us,” “our” and the “Company” refer to Arcturus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predecessors and consolidated subsidiaries unless otherwise stated or the context otherwise requires.</w:t>
      </w:r>
    </w:p>
    <w:p>
      <w:pPr>
        <w:spacing w:after="0" w:line="207" w:lineRule="exact"/>
        <w:rPr>
          <w:sz w:val="20"/>
          <w:szCs w:val="20"/>
          <w:color w:val="auto"/>
        </w:rPr>
      </w:pPr>
    </w:p>
    <w:p>
      <w:pPr>
        <w:jc w:val="both"/>
        <w:ind w:right="360" w:firstLine="441"/>
        <w:spacing w:after="0" w:line="261" w:lineRule="auto"/>
        <w:rPr>
          <w:sz w:val="20"/>
          <w:szCs w:val="20"/>
          <w:color w:val="auto"/>
        </w:rPr>
      </w:pPr>
      <w:r>
        <w:rPr>
          <w:rFonts w:ascii="Times New Roman" w:cs="Times New Roman" w:eastAsia="Times New Roman" w:hAnsi="Times New Roman"/>
          <w:sz w:val="18"/>
          <w:szCs w:val="18"/>
          <w:color w:val="auto"/>
        </w:rPr>
        <w:t>The Arcturus logo and other trademarks of Arcturus are some of our trademarks and registered marks used in this prospectus supplement and the documents incorporated by reference herein. This prospectus supplement and the documents incorporated by reference herein also include trademarks,</w:t>
      </w:r>
    </w:p>
    <w:p>
      <w:pPr>
        <w:spacing w:after="0" w:line="192" w:lineRule="auto"/>
        <w:rPr>
          <w:sz w:val="20"/>
          <w:szCs w:val="20"/>
          <w:color w:val="auto"/>
        </w:rPr>
      </w:pPr>
      <w:r>
        <w:rPr>
          <w:rFonts w:ascii="Times New Roman" w:cs="Times New Roman" w:eastAsia="Times New Roman" w:hAnsi="Times New Roman"/>
          <w:sz w:val="17"/>
          <w:szCs w:val="17"/>
          <w:color w:val="auto"/>
        </w:rPr>
        <w:t xml:space="preserve">tradenames and service marks that are the property of other organizations. Solely for convenience, our trademarks and tradenames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w:t>
      </w:r>
    </w:p>
    <w:p>
      <w:pPr>
        <w:spacing w:after="0" w:line="21" w:lineRule="exact"/>
        <w:rPr>
          <w:sz w:val="20"/>
          <w:szCs w:val="20"/>
          <w:color w:val="auto"/>
        </w:rPr>
      </w:pPr>
    </w:p>
    <w:p>
      <w:pPr>
        <w:ind w:right="140" w:firstLine="8"/>
        <w:spacing w:after="0" w:line="208" w:lineRule="auto"/>
        <w:tabs>
          <w:tab w:leader="none" w:pos="192"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summary highlights information contained in other parts of this prospectus supplement or incorporated by reference from our Annual Report on Form 10-K for the year ended December 31, 2019 and our other filings with the SEC listed under the section of the prospectus titled “Incorporation of Certain Information by Reference” contained in this prospectus supplement. This summary does not contain all of the information you should consider in making your investment decision. Before deciding to invest in our common stock, you should read this prospectus supplement, the accompanying prospectus, any related free writing prospectus and the information incorporated by reference herein and therein in their entirety. You should carefully consider, among other things, the matters discussed under the section titled “Risk Factors” contained in this prospectus supplement and any related free writing prospectus, and under similar headings in the other documents that are incorporated by reference in this prospectus supplement and the accompanying prospectus. Some of the statements in this prospectus supplement constitute forward-looking statements that involve risks and uncertainties. See the section titled “Cautionary Note Regarding Forward-Looking Statements.”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0" w:lineRule="exact"/>
        <w:rPr>
          <w:sz w:val="20"/>
          <w:szCs w:val="20"/>
          <w:color w:val="auto"/>
        </w:rPr>
      </w:pPr>
    </w:p>
    <w:p>
      <w:pPr>
        <w:ind w:left="980" w:right="4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deep expertise in the discovery and development of RNA medicines, including key experience in the production of RNA drug substance and nanoparticle-formulated drug product.</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pipeline of eleven drug candidates in late-stage discovery and early-stage development, five of which are wholly-owned and six of which involve partnered programs</w:t>
      </w:r>
    </w:p>
    <w:p>
      <w:pPr>
        <w:spacing w:after="0" w:line="188"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the STARR technology platform which combines self-replicating RNA with LUNAR into a single solution for partners.</w:t>
      </w:r>
    </w:p>
    <w:p>
      <w:pPr>
        <w:spacing w:after="0" w:line="252"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LUNAR and nucleic acid technologies are covered by a patent portfolio of 200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LUNAR-COV19 Vaccine Candidate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that caused the 2019 novel coronavirus outbreak as coronavirus disease 2019, commonly abbreviated as COVID-19. The spread of COVID-19 has resulted in the current global coronavirus pandemic.</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response to this pandemic, in March of 2020 we partnered with Duke-NUS Medical School to develop a COVID-19 vaccine for the Singapore Economic Development Board, or EDB, based on the Company’s STARR™ Technology and designated the vaccine candidate LUNAR-COV19. Duke-NUS Medical School is a graduate entry medical school in Singapore, established in 2005 through a partnership between Duke University School of Medicine and the National University of Singapore (NUS).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March 4, 2020, we were awarded a grant from the EDB to support the co-development of LUNAR-COV19 with Duke-NUS Medical School. In exchange for the grant, we agreed to supply LUNAR-COV19 to the EDB for use within Singapore and we retained the right to sell and market LUNAR-COV19 outside of Singapore. We have agreed to pay Duke-NUS Medical School a low single digit royalty based on annual net sales of the vaccine in markets or jurisdictions outside of Singapore.</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April 27, 2020, we released positive immunogenicity data from our preclinical study in rodents for LUNAR-COV19, as measured by investigators at the Duke-NUS Medical School. Seroconversion, using an industry standard virus neutralization assay (Vero-E6 cells with a SARS-CoV-2 Singapore Clinical Isolate), and IgG/IgM antibody titers were assessed at day 10 and day 19. Rodents were immunized with a single dose (0.2, 2, and 10 µg, i.m.) of LUNAR-COV19 vaccine. The study results showed self-transcribing and replicating (STARR™) mRNA induced higher seroconversion relative to conventional mRNA at equivalent doses. In conjunction, anti-SARS-CoV-2 IgG and IgM antibody titers were also higher.</w:t>
      </w:r>
    </w:p>
    <w:p>
      <w:pPr>
        <w:spacing w:after="0" w:line="183"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On May 4, 2020, we entered into an agreement with Catalent, Inc. to manufacture LUNAR-COV19 at Catalent’s cGMP drug substance biomanufacturing facility in Madison, Wisconsin, for human clinical studies.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May 8, 2020, we disclosed new supportive preclinical data, providing evidence for an adaptive cellular (CD8+ cells) and balanced (Th1/Th2) immune response data from LUNAR-COV19, providing strong support for human vaccine clinical trials. The preclinical data was measured by investigators at the Duke-NUS Medical School.</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2020, we submitted a Clinical Trial Application (CTA) for LUNAR-COV19 to the Singapore Health Sciences Authority (HSA). On July 20, 2020, the HSA notified us that LUNAR-COV19 was approved to proceed into clinical trials. We commenced a Phase 1/2 clinical trial in Singapore in August 2020 to test several dose levels of LUNAR-COV19 in up to 108 adults, including older adults, to evaluate safety, tolerability and the extent and duration of the humoral and cellular immune response.</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August 17, 2020, our wholly owned subsidiary entered into a definitive Supply Agreement (the “Supply Agreement”) with the Israeli Ministry of Health (“MOH”) which provides for the supply of LUNAR-COV19 to the MOH. The MOH has elected to reserve delivery by us of doses of LUNAR-COV19 for an initial 500,000 vaccinations (the “Initial Reserve Doses”). The Supply Agreement also provides the MOH with the right to elect, in its discretion, to purchase additional doses of LUNAR-COV19 upon notice to us prior to specified dates at specified purchase prices. If the MOH elects to purchase the maximum number of doses currently subject to reservations or rights to reserve under the Supply Agreement, the total purchase price will range between $212.5 million and $225 million, with the exact price tied to when we obtain the required regulatory approvals. As a result of the entry into the Supply Agreement, the MOH has secured the right to receive the doses subject to reservation or rights to reserve before any third party other than Singapore, subject to certain terms and conditions. On October 14, 2020, we received a non-refundable first reserve payment of US$12.5 million from the MOH. This first reserve payment of US$12.5 million is associated with a specified clinical trial milestone, and was provided after a data review process during which the MOH had access to material preclinical and clinical data for our LUNAR-COV19 vaccine candidate. This payment serves as partial payment for the Initial Reserve Doses.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October 2, 2020, our wholly-owned subsidiary was awarded a grant (the “Grant”) from the Singapore Economic Development Board (the “EDB”) to support the further development of our LUNAR-COV19 vaccine candidate. The Grant provides for up to S$9.3 million (approximately US$6.7 million) to support the development of the vaccine candidate. The Grant will be paid in two installments upon the achievement of certain milestones related to the progress of the development of the vaccine candidate.</w:t>
      </w:r>
    </w:p>
    <w:p>
      <w:pPr>
        <w:spacing w:after="0" w:line="180"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 November 2020, we announced interim Phase 1/2 data suggesting favorable immunogenicity and safety results for both single-dose and prime-boost regimens. Such data also observed 100% seroconversion for IgG binding antibodies in younger adults; 1 out of 5 older adult participants has not yet seroconverted; observed geometric mean titer (GMT)&gt; 2300 in all cohorts. In addition, in November 2020, we secured manufacturing slots with Recipharm to support cGMP manufacture, and completed the transfer of our lyophilization technology. In November 2020, we also announced a manufacturing support agreement with Singapore’s EDB that includes a limited recourse loan of $45 million and terms for LUNAR-COV19 vaccine purchase of up to $175 million, with shipments to Singapore of LUNAR-COV19 for stockpiling purposes expected to begin as early as the first quarter of 2021.</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completed dosing all subjects in our initial Phase 1/2 trial with several dose levels of LUNAR-COV19 and we are continuing to monitor and will release further data from this study. Based on the strength of the data already generated from the Phase 1/2 trial, we expect to commence a Phase 2 trial of LUNAR-COV19 in the first quarter of 2021, in order to identify the optimal regimens. We also expect to commence our Phase 3 LUNAR-COV19 trial in second quarter of 2021, and anticipate that it will continue through 2021. We plan to continue to monitor subjects in the Phase 3 trial into 2022 (whether or not we receive emergency use authorization for LUNAR-COV19 during 2021). We will need to identify additional funding sources to continue the Phase 3 trial. The data received to date, although providing sufficient information to allow us to proceed further is not complete enough to provide conclusive evidence with respect to conclusive safety and potential efficacy of LUNAR-COV19. We have submitted a Clinical Trial Application (“CTA”) and an Investigational New Drug Applications (IND) application, respectively, to the Singapore Health Sciences Authority (“HSA”) and the US Food and Drug Administration (“FDA”) to allow us to proceed with our Phase 2 clinical study. We are positioned to manufacture finished doses of LUNAR-COV19 in the first quarter of 2021 for stockpiling purposes.</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intend to utilize a portion of the proceeds of this offering to fund clinical trials and manufacturing of LUNAR-COV19.</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also expect to seek additional funding to continue development and scaling up of LUNAR-COV19 from securities offerings in the future and from additional contracts with foreign governmental authorities in addition to those of Singapore and Israel.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ARCT-810 mRNA-based therapeutic candidate for OTC deficiency</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2020, we became a clinical stage company when we announced that our Investigational New Drug application for a Phase 1b study in patients with ornithine transcarbamylase (“OTC”) deficiency was deemed allowed to proceed by the U.S. Food and Drug Administration (“FDA”), and an additional Clinical Trial Application (“CTA”) for a Phase 1 study in healthy volunteers was approved by the New Zealand Medicines and Medical Devices Safety Authority.</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Phase 1b study and Phase 1 study are focused on an mRNA-based therapeutic candidate for OTC deficiency named ARCT-810. ARCT-810 utilizes our LUNAR® lipid-mediated delivery platform to deliver OTC messenger RNA to liver cells. The ARCT-810 program is supported by preclinical data in OTC deficiency murine models demonstrating that dosing of LUNAR-OTC results in robust OTC protein expression and activity resulting in improvements in ureagenesis and plasma ammonia, and increased survival. Worldwide development and commercialization rights to ARCT-810 are entirely held by Arcturus.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5, 2020, we announced that we dosed the first healthy volunteer in a Phase 1 study of ARCT-810 in a double blind, placebo-controlled, dose-escalation trial in healthy adult volunteers. The study evaluated four cohorts in total; three cohorts with six subjects each and one cohort (the top dose of 0.4 mg/kg) with 12 subjects. In each cohort, four (or eight) subjects are expected to received ARCT-810 and two (or four) have received a placebo. The study is intended to evaluate safety and tolerability, pharmacokinetics, and exploratory pharmacodynamic biomarkers.</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November 2020, we announced that we completed dose escalation for ARCT-810 of all cohorts (0.1, 0.2, 0.3, 0.4 mg/kg) in our Phase 1 Study, and that the Phase 1b study in OTC-deficient patients in the United States was open for enrollment. We intend to commence a Phase 2 multiple does study for ARCT-810 in mid-2021.</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December 7, 2020, we announced that we initiated dosing in the United States in our Phase 1b trial of ARCT-810 in patients with OTC deficiency. The trial will enroll approximately 12 patients and is designed to assess safety, tolerability and pharmacokinetics, as well as various exploratory biomarkers of drug activity.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LUNAR-FLU Vaccine</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Flu season is an annually recurring time period characterized by the prevalence of outbreaks of influenza (flu). The season occurs during the cold half of the year in each hemisphere. Influenza activity can usually be predicted and even tracked geographically.</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Arcturus is initiating a pipeline program to develop a vaccine against seasonal flu. The program builds on the STARR/LUNAR platform and the learnings from our COVID-19 vaccine program. The vaccine will be quadrivalent and target hemagglutinin antigens from two strains of Influenza/A and two strains of Influenza/B. The intended product will mediate serological conversion of antibody-mediated immunity following a single intramuscular injection.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LUNAR-CV Targeted mRNA Therapeutic</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developing a mRNA replacement therapy targeting Low-Density Lipoprotein (LDL) Receptor (LDLR) for the treatment of homozygous familial hypercholesterolemia (HoFH), a severe genetic disease characterized by premature and aggressive plaque buildup, life threatening coronary artery disease and aortic valve disease predominantly due to abnormalities in the function or expression of LDLR. Present therapies do not sufficiently lower the plasma LDL-cholesterol (LDL-C) that lead to cardiovascular disease. Our preliminary studies in an LDLR knock out mouse model have demonstrated restoration of normal LDL plasma levels following a single intravenous administration of a LUNAR-mRNA encoding the LDLR. This normalization returned to baseline as the drug was metabolized.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Ultragenyx Option Exercise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18, 2019, we entered into an Equity Purchase Agreement with Ultragenyx Pharmaceutical Inc. (“Ultragenyx”). Pursuant to this agreement, we granted Ultragenyx a two-year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1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18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shares of our common stock</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w:t>
            </w:r>
          </w:p>
        </w:tc>
      </w:tr>
      <w:tr>
        <w:trPr>
          <w:trHeight w:val="216"/>
        </w:trPr>
        <w:tc>
          <w:tcPr>
            <w:tcW w:w="3880" w:type="dxa"/>
            <w:vAlign w:val="bottom"/>
          </w:tcPr>
          <w:p>
            <w:pPr>
              <w:spacing w:after="0"/>
              <w:rPr>
                <w:sz w:val="18"/>
                <w:szCs w:val="18"/>
                <w:color w:val="auto"/>
              </w:rPr>
            </w:pPr>
          </w:p>
        </w:tc>
        <w:tc>
          <w:tcPr>
            <w:tcW w:w="3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additional</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our common stock for a period of 30 days from</w:t>
            </w:r>
          </w:p>
        </w:tc>
      </w:tr>
      <w:tr>
        <w:trPr>
          <w:trHeight w:val="234"/>
        </w:trPr>
        <w:tc>
          <w:tcPr>
            <w:tcW w:w="3880" w:type="dxa"/>
            <w:vAlign w:val="bottom"/>
          </w:tcPr>
          <w:p>
            <w:pPr>
              <w:spacing w:after="0"/>
              <w:rPr>
                <w:sz w:val="20"/>
                <w:szCs w:val="20"/>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the date of this prospectus supplement.</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conduct clinical trials</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and to commence manufacturing our LUNAR-COV19 vaccine candidate for</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stockpiling purposes. See “Use of Proceeds” on page S-15 for additional</w:t>
            </w:r>
          </w:p>
        </w:tc>
      </w:tr>
      <w:tr>
        <w:trPr>
          <w:trHeight w:val="234"/>
        </w:trPr>
        <w:tc>
          <w:tcPr>
            <w:tcW w:w="3880" w:type="dxa"/>
            <w:vAlign w:val="bottom"/>
          </w:tcPr>
          <w:p>
            <w:pPr>
              <w:spacing w:after="0"/>
              <w:rPr>
                <w:sz w:val="20"/>
                <w:szCs w:val="20"/>
                <w:color w:val="auto"/>
              </w:rPr>
            </w:pPr>
          </w:p>
        </w:tc>
        <w:tc>
          <w:tcPr>
            <w:tcW w:w="3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information.</w:t>
            </w:r>
          </w:p>
        </w:tc>
        <w:tc>
          <w:tcPr>
            <w:tcW w:w="4180" w:type="dxa"/>
            <w:vAlign w:val="bottom"/>
          </w:tcPr>
          <w:p>
            <w:pPr>
              <w:spacing w:after="0"/>
              <w:rPr>
                <w:sz w:val="20"/>
                <w:szCs w:val="20"/>
                <w:color w:val="auto"/>
              </w:rPr>
            </w:pP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99"/>
              </w:rPr>
              <w:t>You should read the “Risk Factors” section of this prospectus supplement and</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in the documents incorporated by reference in this prospectus supplement for</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a discussion of factors that you should read and consider before investing in</w:t>
            </w:r>
          </w:p>
        </w:tc>
      </w:tr>
      <w:tr>
        <w:trPr>
          <w:trHeight w:val="234"/>
        </w:trPr>
        <w:tc>
          <w:tcPr>
            <w:tcW w:w="3880" w:type="dxa"/>
            <w:vAlign w:val="bottom"/>
          </w:tcPr>
          <w:p>
            <w:pPr>
              <w:spacing w:after="0"/>
              <w:rPr>
                <w:sz w:val="20"/>
                <w:szCs w:val="20"/>
                <w:color w:val="auto"/>
              </w:rPr>
            </w:pPr>
          </w:p>
        </w:tc>
        <w:tc>
          <w:tcPr>
            <w:tcW w:w="3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our common stock.</w:t>
            </w:r>
          </w:p>
        </w:tc>
        <w:tc>
          <w:tcPr>
            <w:tcW w:w="418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3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ARCT</w:t>
            </w:r>
          </w:p>
        </w:tc>
        <w:tc>
          <w:tcPr>
            <w:tcW w:w="4180" w:type="dxa"/>
            <w:vAlign w:val="bottom"/>
          </w:tcPr>
          <w:p>
            <w:pPr>
              <w:spacing w:after="0"/>
              <w:rPr>
                <w:sz w:val="24"/>
                <w:szCs w:val="24"/>
                <w:color w:val="auto"/>
              </w:rPr>
            </w:pPr>
          </w:p>
        </w:tc>
      </w:tr>
    </w:tbl>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following this offering as shown above is based on 24,473,002 shares of our common stock outstanding on September 30, 2020 and excludes: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2,342,225 shares of our common stock reserved for issuance under stock option agreements issued pursuant to our 2019 Omnibus Equity Incentive Plan at a weighted average exercise price of $16.57 per share;</w:t>
      </w:r>
    </w:p>
    <w:p>
      <w:pPr>
        <w:spacing w:after="0" w:line="188"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2,388,340 shares of our common stock reserved for future issuance under our Amended and Restated 2019 Omnibus Equity Incentive Plan;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our common stock reserved for future issuance under our 2020 Employee Stock Purchase Plan.</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no exercise by the underwriters of their option to purchase additional shares of common stock.</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the risk factors discussed under “Item 1A—Risk Factors” contained in our Annual Report on Form 10-K for the fiscal year ended December 31, 2019 and in Part II, Item 1A, Risk Factors of our Quarterly Reports on Form 10-Q for the quarters ended March 31, 2020, June 30, 2020 and September 30, 2020 and of any subsequently filed Annual Reports on Form 10-K and Quarterly Reports on Form 10-Q, which are incorporated by reference in this prospectus supplement in their entirety, together with all of the other information contained in this prospectus supplement and the accompanying prospectus or incorporated by reference in this prospectus supplement and the accompanying prospectus. The risks described in any document incorporated by reference are not the only ones we have, but are considered to be the most material. Additional risks of which we are not presently aware or that we currently believe are immaterial may also harm our business and results of operations. If any of these risks actually occur, our business, financial condition and results of operations would likely suffer. In that case, the market price of the common stock could decline, and you may lose part or all of your investment in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225"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announce data from the Phase 1/2 trial of our COVID-19 vaccine candidate in December 2020 and if positive commence a Phase 2 trial shortly thereafter. If we are unable to generate successful results, or experience significant delays in doing so, we may be unable to market and sell a COVID-19 vaccine.</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completed dosing all subjects in our initial Phase 1/2 trial with several dose levels of LUNAR-COV19 and we are continuing to monitor and will release further data from this study. Based on the strength of the data already generated from the Phase 1/2 trial, we expect to commence a Phase 2 trial, of LUNAR-COV19 in the first quarter of 2021 in order to identify the optimal regimens. We also expect to commence our Phase 3 LUNAR-COV19 trial in the second quarter of 2021,and anticipate that it will continue through 2021. We plan to continue to monitor subjects in the Phase 3 trial into 2022 (whether or not we receive emergency use authorization for LUNAR-COV19 during 2021). We will need to identify additional funding sources to continue the Phase 3 trial. The data received to date, although providing sufficient information to allow us to proceed further is not complete enough to provide conclusive evidence with respect to conclusive safety and potential efficacy of LUNAR COV19. We have submitted a CTA and an IND application, respectively, to the HSA and the FDA to allow us to proceed with our Phase 2 clinical study. We are positioned to manufacture finished doses of LUNAR-COV19 in the first quarter of 2021 for stockpiling purposes. Clinical trial results are inherently uncertain, and a significant portion of our success and business prospects depend on the progress of this program. Our failure to demonstrate safety or obtain positive clinical trial results, or our inability to meet the expected timeline for release of data for this trial, could have an adverse effect on our business operations and financial condition. Furthermore, although we may receive preliminary efficacy data from the Phase 2 trials, we will not have a more detailed understanding of the efficacy of LUNAR-COV19 until a sufficient number of subjects in the placebo group of a Phase 3 clinical trial have been infected. If our data is not positive or inconclusive, we may not be able to continue our studies or identify additional funding to continue the studies. No assurance can be given that the results of the trials will produce adequate results to allow us to commence or continue expected trials or that that adequate efficacy will be demonstrated such that LUNAR-COV19 will be a viable commercial product. Finally, we cannot assure that either the HSA or FDA will approve our CTA or IND on a timely basis or at all.</w:t>
      </w:r>
    </w:p>
    <w:p>
      <w:pPr>
        <w:spacing w:after="0" w:line="19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competition in the development of a vaccine against COVID-19, and many of our competitors have substantially greater financial, scientific and other resources than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large number of vaccine manufacturers, academic institutions and other organizations currently have programs to develop COVID-19 vaccine candidates. While we are not aware of all of our competitors’ efforts, there are reports that Johnson &amp; Johnson/Janssen, Pfizer, GlaxoSmithKline, Moderna, Sanofi, Inovio, AstraZeneca and many other companies are all in various stages of developing vaccine candidates against COVID-19. In particular, both Pfizer and Moderna have reported that their COVID-19 vaccine candidates showed a high degree of efficacy in initial trials and are further along in clinical trials than we are, and it appears they will be able commercialize their vaccines before us.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funding provided to us to date, many of our competitors pursuing vaccine candidates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materially and adversely affected if competitors develop and commercialize one or more COVID-19 vaccines before we can complete development and seek approval for our vaccine candidate, or if they develop and commercialize one or more COVID-19 vaccines that are safer, more effective, have fewer or less severe side effects, have broader market acceptance, are more convenient or are less expensive than any vaccine candidate that we may develop.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vaccines in sufficient quantities, at sufficient yields or are unable to obtain regulatory approvals for a manufacturing facility for our LUNAR-COV19 vaccine, we may experience delays in product development, clinical trials, regulatory approval and commercial distribution.</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vaccine candidates require access to, or development of, facilities to manufacture our LUNAR-COV19 vaccine candidate at sufficient yields and at commercial-scale. We have limited experience manufacturing our LUNAR-COV19 vaccine candidate in the volumes that will be necessary to support large-scale clinical trials or commercial sales. Efforts to establish these capabilities may not meet initial expectations as to scheduling, scale-up, reproducibility, yield, purity, cost, stability, potency or quality. In addition, other companies, many with substantial resources, may compete with us for access to materials needed to manufacture our vaccines.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Manufacturing our LUNAR-COV19 vaccine candidate involves a complicated process with which we have limited experience. We are dependent on third-party organizations to conduct a portion of our vaccine manufacturing activities. If third-party manufacturing organizations are unable to manufacture our vaccine candidates in clinical quantities or, when necessary, in commercial quantities and at sufficient yields, then we will need to identify and reach supply arrangements with additional third parties. Third-party manufacturers must also be inspected by the FDA as part of the FDA’s review of our marketing application. Our LUNAR-COV19 vaccine may be in competition with other products for access to these facilities and may be subject to delays in manufacture if third parties give other products higher priority. We may not be able to enter into any necessary additional third-party manufacturing arrangements on acceptable terms, or on a timely basis. In addition, we have to enter into technical transfer agreements and share our know-how with the third-party manufacturers, which can be time-consuming and may result in delays. Any delay in the manufacture or delivery of a vaccine could adversely affect our ability to sell the LUNAR-COV19 vaccine, if approved.</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bulk vaccines on a commercial scale, replacement of a manufacturer may be expensive and time-consuming and may cause interruptions in the production of our vaccine. A third-party manufacturer may also encounter difficulties in production. These problems may include:</w:t>
      </w:r>
    </w:p>
    <w:p>
      <w:pPr>
        <w:spacing w:after="0" w:line="180"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developing a lyophilized formula of, or validating a lyophilization process for, LUNAR-COV19;</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storage and cold chain distribution of LUNAR-COV19 (even with lyophilization);</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coronavirus outbreak has caused interruptions or delays of our business plan and may have a significant adverse effect on our business.</w:t>
      </w:r>
    </w:p>
    <w:p>
      <w:pPr>
        <w:spacing w:after="0" w:line="229"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ind w:right="60" w:firstLine="500"/>
        <w:spacing w:after="0" w:line="254" w:lineRule="auto"/>
        <w:rPr>
          <w:sz w:val="20"/>
          <w:szCs w:val="20"/>
          <w:color w:val="auto"/>
        </w:rPr>
      </w:pPr>
      <w:r>
        <w:rPr>
          <w:rFonts w:ascii="Times New Roman" w:cs="Times New Roman" w:eastAsia="Times New Roman" w:hAnsi="Times New Roman"/>
          <w:sz w:val="18"/>
          <w:szCs w:val="18"/>
          <w:color w:val="auto"/>
        </w:rPr>
        <w:t>Government-imposed quarantines and restrictions may also require us to temporarily suspend or terminate activity at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92"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dilution in the net tangible book value per share of the common stock that you purchase in this offering.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public offering price of our common stock is substantially higher than the as-adjusted net tangible book value per share of our common stock. Therefore, investors purchasing shares of our common stock in this offering will pay a price per share that substantially exceeds the as-adjusted net tangible book value per share after this offering. For more information, see “Dilution.”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funding, the receipt of which may impair the value of our common stock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research, development, sales and marketing activities. We will need to raise additional capital through public or private equity or debt offerings or through arrangements with strategic partners or other sources in order to continue to develop our drug candidates. There can be no assurance that additional capital will be available when needed or on terms satisfactory to us, if at all. To the extent we raise additional capital by issuing equity securities, our stockholders may experience substantial dilution and the new equity securities may have greater rights, preferences or privileges than our existing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not use them effectively.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our stockholders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reduce the market price of our common stock.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currently paying dividends and will likely not pay dividends for the foreseeable future.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our stock price and trading volume could decline.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1300" w:right="2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52"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 w:name="page16"/>
    <w:bookmarkEnd w:id="15"/>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this offering; and</w:t>
      </w:r>
    </w:p>
    <w:p>
      <w:pPr>
        <w:spacing w:after="0" w:line="252"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in “Risk Factors” beginning on page S-8 of this prospectus supplement and in Part I, Item 1A, Risk Factors of our Annual Report on Form 10-K for the fiscal year ended December 31, 2019 and in Part II, Item 1A, Risk Factors of our Quarterly Reports on Form 10-Q for the quarters ended March 31, 2020, June 30, 2020 and September 30, 2020 and any subsequently filed Quarterly Reports on Form 10-Q, which are incorporated by reference in this prospectus supplement and the accompanying prospectus.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6" w:name="page17"/>
    <w:bookmarkEnd w:id="1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(or $ million if the underwriters exercise their option to purchase additional shares in full), after deducting the underwriting discounts and commissions and estimated offering expenses payable by us.</w:t>
      </w:r>
    </w:p>
    <w:p>
      <w:pPr>
        <w:spacing w:after="0" w:line="162"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conduct clinical trials and to commence manufacturing our LUNAR-COV19 vaccine candidate for stockpiling purposes. The amounts and timing of our actual use of the net proceeds from this offering will vary depending on numerous factors, including the factors described under “Risk Factors” located elsewhere in this prospectus supplement, the accompanying prospectus or in the information incorporated by reference herein or therein. As a result, management will have broad discretion in the application of the net proceeds, and investors will be relying on our judgment regarding the application of the net proceeds from this offering.</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Pending application of the net proceeds as discussed above, we plan to invest any remaining proceeds from this offering in a variety of capital preservation instruments, including short-term, interest-bearing obligations, investment-grade instruments, or direct or guaranteed obligations of the U.S. government.</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you purchase shares of common stock in this offering, you will experience dilution to the extent of the difference between the public offering price per share in this offering and our as adjusted net tangible book value per share after this offering.</w:t>
      </w:r>
    </w:p>
    <w:p>
      <w:pPr>
        <w:spacing w:after="0" w:line="162"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7"/>
          <w:szCs w:val="17"/>
          <w:color w:val="auto"/>
        </w:rPr>
        <w:t>Net tangible book value per share represents total tangible assets less total liabilities, divided by the number of shares of common stock outstanding. Our historical net tangible book value as of September 30, 2020 was $261.6 million, or $10.69 per share of common stock. After giving effect</w:t>
      </w:r>
    </w:p>
    <w:tbl>
      <w:tblPr>
        <w:tblLayout w:type="fixed"/>
        <w:tblInd w:w="0" w:type="dxa"/>
        <w:tblCellMar>
          <w:top w:w="0" w:type="dxa"/>
          <w:left w:w="0" w:type="dxa"/>
          <w:bottom w:w="0" w:type="dxa"/>
          <w:right w:w="0" w:type="dxa"/>
        </w:tblCellMar>
      </w:tblPr>
      <w:tr>
        <w:trPr>
          <w:trHeight w:val="198"/>
        </w:trPr>
        <w:tc>
          <w:tcPr>
            <w:tcW w:w="520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to our sale of shares of common stock at a public offering price of $</w:t>
            </w:r>
          </w:p>
        </w:tc>
        <w:tc>
          <w:tcPr>
            <w:tcW w:w="5580" w:type="dxa"/>
            <w:vAlign w:val="bottom"/>
            <w:gridSpan w:val="3"/>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w w:val="99"/>
              </w:rPr>
              <w:t>per share, and after deducting commissions and estimated offering expenses</w:t>
            </w:r>
          </w:p>
        </w:tc>
        <w:tc>
          <w:tcPr>
            <w:tcW w:w="460" w:type="dxa"/>
            <w:vAlign w:val="bottom"/>
          </w:tcPr>
          <w:p>
            <w:pPr>
              <w:spacing w:after="0"/>
              <w:rPr>
                <w:sz w:val="17"/>
                <w:szCs w:val="17"/>
                <w:color w:val="auto"/>
              </w:rPr>
            </w:pPr>
          </w:p>
        </w:tc>
      </w:tr>
      <w:tr>
        <w:trPr>
          <w:trHeight w:val="216"/>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payable by us, our as adjusted net tangible book value as of September 30, 2020 would have been approximately $</w:t>
            </w: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This represents an immediate increase in net tangible book value of approximately $</w:t>
            </w:r>
          </w:p>
        </w:tc>
        <w:tc>
          <w:tcPr>
            <w:tcW w:w="4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 share to existing stockholders and an immediate dilution</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as adjusted net tangible book value of approximately $</w:t>
            </w:r>
          </w:p>
        </w:tc>
        <w:tc>
          <w:tcPr>
            <w:tcW w:w="404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per share to new investors in this offering.</w:t>
            </w: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10.69</w:t>
            </w:r>
          </w:p>
        </w:tc>
        <w:tc>
          <w:tcPr>
            <w:tcW w:w="46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Increase in net tangible book value per share attributable to this offering</w:t>
            </w: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780" w:type="dxa"/>
            <w:vAlign w:val="bottom"/>
          </w:tcPr>
          <w:p>
            <w:pPr>
              <w:spacing w:after="0"/>
              <w:rPr>
                <w:sz w:val="18"/>
                <w:szCs w:val="18"/>
                <w:color w:val="auto"/>
              </w:rPr>
            </w:pP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r>
      <w:tr>
        <w:trPr>
          <w:trHeight w:val="414"/>
        </w:trPr>
        <w:tc>
          <w:tcPr>
            <w:tcW w:w="112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If the underwriters fully exercise their option to purchase additional shares of common stock, our as adjusted net tangible book value after this</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offering would increase to $</w:t>
            </w:r>
          </w:p>
        </w:tc>
        <w:tc>
          <w:tcPr>
            <w:tcW w:w="4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 share, and there would be an immediate dilution of $</w:t>
            </w:r>
          </w:p>
        </w:tc>
        <w:tc>
          <w:tcPr>
            <w:tcW w:w="41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per share to new investors in this offering.</w:t>
            </w:r>
          </w:p>
        </w:tc>
        <w:tc>
          <w:tcPr>
            <w:tcW w:w="460" w:type="dxa"/>
            <w:vAlign w:val="bottom"/>
          </w:tcPr>
          <w:p>
            <w:pPr>
              <w:spacing w:after="0"/>
              <w:rPr>
                <w:sz w:val="20"/>
                <w:szCs w:val="20"/>
                <w:color w:val="auto"/>
              </w:rPr>
            </w:pPr>
          </w:p>
        </w:tc>
      </w:tr>
    </w:tbl>
    <w:p>
      <w:pPr>
        <w:spacing w:after="0" w:line="19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and tables are based on 24,473,002 shares of common stock outstanding as of September 30, 2020 and excludes the following:</w:t>
      </w:r>
    </w:p>
    <w:p>
      <w:pPr>
        <w:spacing w:after="0" w:line="162" w:lineRule="exact"/>
        <w:rPr>
          <w:sz w:val="20"/>
          <w:szCs w:val="20"/>
          <w:color w:val="auto"/>
        </w:rPr>
      </w:pPr>
    </w:p>
    <w:p>
      <w:pPr>
        <w:ind w:left="1300" w:right="6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2,342,255 shares of our common stock reserved for issuance under stock option agreements issued pursuant to our 2019 Omnibus Equity Incentive Plan at a weighted average exercise price of $16.57 per share;</w:t>
      </w:r>
    </w:p>
    <w:p>
      <w:pPr>
        <w:spacing w:after="0" w:line="188"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2,388,340 shares of our common stock reserved for future issuance under our Amended and Restated 2019 Omnibus Equity Incentive Plan;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our common stock reserved for future issuance under our 2020 Employee Stock Purchase Plan.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material U.S. federal income tax considerations and certain U.S. federal estate tax considerations relating to the ownership and disposition of our common stock applicable to non-U.S. holders.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0" w:lineRule="exact"/>
        <w:rPr>
          <w:sz w:val="20"/>
          <w:szCs w:val="20"/>
          <w:color w:val="auto"/>
        </w:rPr>
      </w:pPr>
    </w:p>
    <w:p>
      <w:pPr>
        <w:ind w:left="880" w:hanging="427"/>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880" w:right="180" w:hanging="427"/>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880" w:right="140" w:hanging="427"/>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U.S. Internal Revenue Code of 1986, as amended (which we refer to as the Code), have the authority to control all substantial decisions of the trust or (ii) such trust has made a valid election to be treated as a U.S. person for U.S. federal income tax purposes.</w:t>
      </w:r>
    </w:p>
    <w:p>
      <w:pPr>
        <w:spacing w:after="0" w:line="207"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advisors as to the particular U.S. federal income tax consequences applicable to them.</w:t>
      </w:r>
    </w:p>
    <w:p>
      <w:pPr>
        <w:spacing w:after="0" w:line="17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final, temporary and proposed Treasury regulations promulgated thereunder (which we refer to as the Treasury Regulations), judicial decisions, published rulings and administrative pronouncements of the U.S. Internal Revenue Service, or IRS, all in effect as of the date of this prospectus supplement and all of which are subject to change or to differing interpretation, possibly with retroactive effect. Any change could alter the tax consequences to non-U.S. holders described herein. There can be no assurance that the IRS will not challenge one or more of the tax consequences described herein.</w:t>
      </w:r>
    </w:p>
    <w:p>
      <w:pPr>
        <w:spacing w:after="0" w:line="18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unearned income Medicare contribution tax on net investment income. This discussion also does not consider any specific facts or circumstances that may apply to a non-U.S. holder and does not address the special tax rules applicable to particular non-U.S. holders, such as:</w:t>
      </w:r>
    </w:p>
    <w:p>
      <w:pPr>
        <w:spacing w:after="0" w:line="187" w:lineRule="exact"/>
        <w:rPr>
          <w:sz w:val="20"/>
          <w:szCs w:val="20"/>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or traders in securities;</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880" w:right="100" w:hanging="427"/>
        <w:spacing w:after="0" w:line="284"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including “qualified foreign pension funds” as defined in Section 897(</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)(2) of the Code and entities, all of the interests of which are held by qualified foreign pension funds;</w:t>
      </w:r>
    </w:p>
    <w:p>
      <w:pPr>
        <w:spacing w:after="0" w:line="187" w:lineRule="exact"/>
        <w:rPr>
          <w:rFonts w:ascii="Times New Roman" w:cs="Times New Roman" w:eastAsia="Times New Roman" w:hAnsi="Times New Roman"/>
          <w:sz w:val="18"/>
          <w:szCs w:val="18"/>
          <w:color w:val="auto"/>
        </w:rPr>
      </w:pPr>
    </w:p>
    <w:p>
      <w:pPr>
        <w:ind w:left="880" w:right="26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part of a straddle, hedge, conversion transaction, synthetic security or other integrated investment or who have elected to mark securities to market;</w:t>
      </w:r>
    </w:p>
    <w:p>
      <w:pPr>
        <w:spacing w:after="0" w:line="188" w:lineRule="exact"/>
        <w:rPr>
          <w:rFonts w:ascii="Times New Roman" w:cs="Times New Roman" w:eastAsia="Times New Roman" w:hAnsi="Times New Roman"/>
          <w:sz w:val="18"/>
          <w:szCs w:val="18"/>
          <w:color w:val="auto"/>
        </w:rPr>
      </w:pPr>
    </w:p>
    <w:p>
      <w:pPr>
        <w:ind w:left="880" w:right="30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25" w:lineRule="exact"/>
        <w:rPr>
          <w:rFonts w:ascii="Times New Roman" w:cs="Times New Roman" w:eastAsia="Times New Roman" w:hAnsi="Times New Roman"/>
          <w:sz w:val="18"/>
          <w:szCs w:val="18"/>
          <w:color w:val="auto"/>
        </w:rPr>
      </w:pPr>
    </w:p>
    <w:p>
      <w:pPr>
        <w:ind w:left="880" w:right="52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and</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5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THIS SUMMARY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As discussed under “Dividend Policy” above, we do not expect to make distributions on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of distributions not treated as dividends for U.S. federal income tax purposes will first constitute a tax-free return of capital of the non-U.S. holder’s investment and be applied against and reduce a non-U.S. holder’s adjusted tax basis in its common stock, but not below zero. Any remaining excess will be treated as capital gain and will be treated as described below under “Gain on Sale or Other Disposition of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 Any such distributions will also be subject to the discussions below under the headings “FATCA” and “Backup Withholding, Information Reporting and Other Reporting Requirements.”</w:t>
      </w:r>
    </w:p>
    <w:p>
      <w:pPr>
        <w:spacing w:after="0" w:line="188"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next two paragraphs,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76"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required by an applicable tax treaty, are attributable to a U.S. permanent establishment or a fixed base maintained by such non-U.S. holder) will generally be exempt from the U.S. federal withholding tax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9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the headings “FATCA” and “Backup Withholding, Information Reporting and Other Reporting Requirements,” a non-U.S. holder generally will not be subject to U.S. federal income tax on any gain realized upon the sale or other disposition of the non-U.S. holder’s shares of our common stock unless:</w:t>
      </w:r>
    </w:p>
    <w:p>
      <w:pPr>
        <w:spacing w:after="0" w:line="176" w:lineRule="exact"/>
        <w:rPr>
          <w:sz w:val="20"/>
          <w:szCs w:val="20"/>
          <w:color w:val="auto"/>
        </w:rPr>
      </w:pPr>
    </w:p>
    <w:p>
      <w:pPr>
        <w:ind w:left="880" w:right="400" w:hanging="427"/>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or fixed base maintained by such non-U.S. holder);</w:t>
      </w:r>
    </w:p>
    <w:p>
      <w:pPr>
        <w:spacing w:after="0" w:line="188" w:lineRule="exact"/>
        <w:rPr>
          <w:rFonts w:ascii="Times New Roman" w:cs="Times New Roman" w:eastAsia="Times New Roman" w:hAnsi="Times New Roman"/>
          <w:sz w:val="18"/>
          <w:szCs w:val="18"/>
          <w:color w:val="auto"/>
        </w:rPr>
      </w:pPr>
    </w:p>
    <w:p>
      <w:pPr>
        <w:ind w:left="880" w:right="80" w:hanging="427"/>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met; or</w:t>
      </w:r>
    </w:p>
    <w:p>
      <w:pPr>
        <w:spacing w:after="0" w:line="188" w:lineRule="exact"/>
        <w:rPr>
          <w:rFonts w:ascii="Times New Roman" w:cs="Times New Roman" w:eastAsia="Times New Roman" w:hAnsi="Times New Roman"/>
          <w:sz w:val="18"/>
          <w:szCs w:val="18"/>
          <w:color w:val="auto"/>
        </w:rPr>
      </w:pPr>
    </w:p>
    <w:p>
      <w:pPr>
        <w:ind w:left="880" w:right="60" w:hanging="427"/>
        <w:spacing w:after="0" w:line="26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preceding such disposition or such non-U.S. holder’s holding period of our common stock, and, provided that our common stock is regularly traded in an established securities market within the meaning of applicable Treasury Regulations, the non-U.S. holder has held, directly or constructively, at any time during said period, more than 5% of our common stock.</w:t>
      </w:r>
    </w:p>
    <w:p>
      <w:pPr>
        <w:spacing w:after="0" w:line="20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 real property holding corporation for U.S. federal income tax purposes. Non-U.S. holders should consult their tax advisors regarding potentially applicable income tax treaties that may provide for different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ind w:right="160" w:firstLine="441"/>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Foreign financial institutions located in jurisdictions that have an intergovernmental agreement with the U.S. governing FATCA may be subject to the reporting rules of that intergovernmental agreement. Because we may not know the extent to which a distribution is a dividend for U.S. federal income tax purposes at the time it is made, for purposes of these withholding rules we or the applicable withholding agent may treat the entire distribution as a dividend. Although withholding under FATCA would have applied also to payments of gross proceeds from the sale or other disposition of stock on or after January 1, 2019, proposed Treasury Regulations would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Backup Withholding, Information Reporting and Other Reporting Requirements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any distributions paid to, and the tax withheld with respect to,</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86"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holder (provided that the payor does not have actual knowledge or reason to know that such holder is a U.S. person) or otherwise establishes an exemption.</w:t>
      </w:r>
    </w:p>
    <w:p>
      <w:pPr>
        <w:spacing w:after="0" w:line="23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8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229" w:lineRule="exact"/>
        <w:rPr>
          <w:sz w:val="20"/>
          <w:szCs w:val="20"/>
          <w:color w:val="auto"/>
        </w:rPr>
      </w:pPr>
    </w:p>
    <w:p>
      <w:pPr>
        <w:jc w:val="both"/>
        <w:ind w:right="300" w:firstLine="441"/>
        <w:spacing w:after="0" w:line="261"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and certain U.S. federal estate tax considerations is for information only. It is not legal or tax advice. Prospective investors should consult their tax advisors regarding the particular U.S. federal, state, local and non-U.S. tax consequences of owning and disposing of our common stock, including the consequences of any proposed changes in applicable laws.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supplement through Piper Sandler &amp; Co., Guggenheim Securities, LLC and Wells Fargo Securities, LLC as the joint book running managers, We have entered into an underwriting agreement with Piper Sandler &amp; Co., Guggenheim Securities, LLC and Wells Fargo Securities, LLC as representatives of the several underwriters named below.</w:t>
      </w:r>
    </w:p>
    <w:p>
      <w:pPr>
        <w:spacing w:after="0" w:line="176"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including approval of legal matters by their counsel. The underwriters have the right to withdraw, cancel or modify offers to the public and to reject orders in whole or in part. Subject to the terms and conditions set forth in the underwriting agreement, we have agreed to sell to the underwriters, and each of the underwriters has agreed, severally and not jointly, to purchase from us, the number of shares of our common stock listed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43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45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5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 have granted the underwriters an option to buy up to</w:t>
            </w:r>
          </w:p>
        </w:tc>
        <w:tc>
          <w:tcPr>
            <w:tcW w:w="6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additional shares of common stock from us. The underwriters may exercise</w:t>
            </w:r>
          </w:p>
        </w:tc>
      </w:tr>
    </w:tbl>
    <w:p>
      <w:pPr>
        <w:ind w:right="340"/>
        <w:spacing w:after="0" w:line="260" w:lineRule="auto"/>
        <w:rPr>
          <w:sz w:val="20"/>
          <w:szCs w:val="20"/>
          <w:color w:val="auto"/>
        </w:rPr>
      </w:pPr>
      <w:r>
        <w:rPr>
          <w:rFonts w:ascii="Times New Roman" w:cs="Times New Roman" w:eastAsia="Times New Roman" w:hAnsi="Times New Roman"/>
          <w:sz w:val="18"/>
          <w:szCs w:val="18"/>
          <w:color w:val="auto"/>
        </w:rPr>
        <w:t>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ind w:right="360" w:firstLine="648"/>
        <w:spacing w:after="0" w:line="276" w:lineRule="auto"/>
        <w:rPr>
          <w:sz w:val="20"/>
          <w:szCs w:val="20"/>
          <w:color w:val="auto"/>
        </w:rPr>
      </w:pPr>
      <w:r>
        <w:rPr>
          <w:rFonts w:ascii="Times New Roman" w:cs="Times New Roman" w:eastAsia="Times New Roman" w:hAnsi="Times New Roman"/>
          <w:sz w:val="17"/>
          <w:szCs w:val="17"/>
          <w:color w:val="auto"/>
        </w:rPr>
        <w:t>The underwriters have advised us that they propose to offer the common stock directly to the public at the offering price set forth on the cover page of this prospectus supplement. The underwriters propose to offer the shares to certain dealers at the same price less a concession of not more than</w:t>
      </w:r>
    </w:p>
    <w:p>
      <w:pPr>
        <w:spacing w:after="0" w:line="1" w:lineRule="exact"/>
        <w:rPr>
          <w:sz w:val="20"/>
          <w:szCs w:val="20"/>
          <w:color w:val="auto"/>
        </w:rPr>
      </w:pPr>
    </w:p>
    <w:p>
      <w:pPr>
        <w:ind w:left="600" w:hanging="59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After the offering, these figures may be changed by the underwriters.</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The following table shows the per share and total underwriting discount to be paid by the underwriters in connection with this offering, assuming either no exercise and full exercise of the option to purchase additional shares: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223"/>
        </w:trPr>
        <w:tc>
          <w:tcPr>
            <w:tcW w:w="7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Without Option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With Option</w:t>
            </w:r>
          </w:p>
        </w:tc>
        <w:tc>
          <w:tcPr>
            <w:tcW w:w="860" w:type="dxa"/>
            <w:vAlign w:val="bottom"/>
          </w:tcPr>
          <w:p>
            <w:pPr>
              <w:spacing w:after="0"/>
              <w:rPr>
                <w:sz w:val="19"/>
                <w:szCs w:val="19"/>
                <w:color w:val="auto"/>
              </w:rPr>
            </w:pPr>
          </w:p>
        </w:tc>
      </w:tr>
      <w:tr>
        <w:trPr>
          <w:trHeight w:val="209"/>
        </w:trPr>
        <w:tc>
          <w:tcPr>
            <w:tcW w:w="76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9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432"/>
        </w:trPr>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We estimate that the total fees and expenses payable by us, excluding underwriting discount, will be approximately $</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 which includes</w:t>
            </w:r>
          </w:p>
        </w:tc>
      </w:tr>
    </w:tbl>
    <w:p>
      <w:pPr>
        <w:ind w:left="540" w:hanging="532"/>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agreed to reimburse the underwriters for the fees incurred by them in connection with the offering.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and each of our directors and executive officers are subject to lock-up agreements that prohibit us and them from offering, selling, contracting to sell, granting any option or contract to purchase, purchasing any option or contract to sell, granting any option, right or warrant to purchase, lending or otherwise transferring or disposing of any shares of our common stock or any securities convertible into or exercisable or exchangeable for shares of our common stock or other capital stock for a period of at least 60 days with respect to us, and 90 days with respect to such director and executive officers. following the date of this prospectus supplement without the prior written consent of Piper Sandler &amp; Co. and Guggenheim Securities, LLC, subject to specified limited exceptions. Piper Sandler &amp; Co. and Guggenheim Securities, LLC, in their sole discretion may release any of the securities subject to these lock-up agreements at any time without notice.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lock-up agreements do not prohibit our directors and executive officers from transferring shares of our common stock for bona fide gifts or by will, or for estate or tax planning purposes, subject to certain requirements, including that the transferee be subject to the same lock-up terms. The lock-up provisions do not prohibit us from issuing shares upon the exercise or conversion of securities outstanding on the date of this prospectus supplement. The lock-up provisions do not prevent us from selling shares to the underwriters pursuant to the underwriting agreement, or from granting options to acquire securities under our existing stock option plans or issuing shares upon the exercise or conversion of securities outstanding on the date of this prospectus supplement. We may also enter into an at-the-market facility with one or more sales agents during the lock-up period provided that no sales can be made under such facility during the lock-up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Market or otherwise and, if commenced, may be discontinued at any time. The underwriters may also engage in passive market making transactions in our common stock. Passive market making consists of displaying bids on The Nasdaq Global Market is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in electronic format may be made available on the web sites maintained by one or more of the underwriters and the underwriters may distribute prospectuses and prospectus supplements electronically.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in the ordinary course of its businesses, the underwriters and certain of their affiliates have engaged, and may in the future engage, in commercial banking or investment banking transactions with us and our affiliates.</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460" w:right="4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2"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25" w:lineRule="exact"/>
        <w:rPr>
          <w:sz w:val="20"/>
          <w:szCs w:val="20"/>
          <w:color w:val="auto"/>
        </w:rPr>
      </w:pPr>
    </w:p>
    <w:p>
      <w:pPr>
        <w:ind w:left="460" w:right="140" w:hanging="452"/>
        <w:spacing w:after="0" w:line="289" w:lineRule="auto"/>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84" w:lineRule="exact"/>
        <w:rPr>
          <w:rFonts w:ascii="Times New Roman" w:cs="Times New Roman" w:eastAsia="Times New Roman" w:hAnsi="Times New Roman"/>
          <w:sz w:val="17"/>
          <w:szCs w:val="17"/>
          <w:color w:val="auto"/>
        </w:rPr>
      </w:pPr>
    </w:p>
    <w:p>
      <w:pPr>
        <w:ind w:left="460" w:right="56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common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common shares must be made in accordance with an exemption from the prospectus requirements and in compliance with the registration requirements of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common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common shares are subscribed or purchased under Section 275 of the SFA by a relevant person which is:</w:t>
      </w:r>
    </w:p>
    <w:p>
      <w:pPr>
        <w:spacing w:after="0" w:line="225" w:lineRule="exact"/>
        <w:rPr>
          <w:sz w:val="20"/>
          <w:szCs w:val="20"/>
          <w:color w:val="auto"/>
        </w:rPr>
      </w:pPr>
    </w:p>
    <w:p>
      <w:pPr>
        <w:ind w:left="460" w:right="26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common shares pursuant to an offer made under Section 275 of the SFA except:</w:t>
      </w:r>
    </w:p>
    <w:p>
      <w:pPr>
        <w:spacing w:after="0" w:line="176" w:lineRule="exact"/>
        <w:rPr>
          <w:sz w:val="20"/>
          <w:szCs w:val="20"/>
          <w:color w:val="auto"/>
        </w:rPr>
      </w:pPr>
    </w:p>
    <w:p>
      <w:pPr>
        <w:ind w:left="460" w:right="260" w:hanging="452"/>
        <w:spacing w:after="0" w:line="258"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common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the offering may be publicly distributed or otherwise made publicly available in Switzerland.</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common shares have been or will be filed with or approved by any Swiss regulatory authority. In particular, this document will not be filed with, and the offer of common shares will not be supervised by, the Swiss Financial Market Supervisory Authority FINMA, and the offer of common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shares.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common shares may not be offered to the public in the UAE and/or any of the free zones.</w:t>
      </w:r>
    </w:p>
    <w:p>
      <w:pPr>
        <w:spacing w:after="0" w:line="18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common shares may be offered and issued only to a limited number of investors in the UAE or any of its free zones who qualify as sophisticated investors under the relevant laws and regulations of the UAE or the free zone concerned.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This prospectus has not been and will not be submitted to the French Autorité des marchés financiers (the “AMF”) for approval in France and accordingly may not and will not be distributed to the public in France.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Article 211-3 of the AMF General Regulation, French residents are hereby informed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require a prospectus to be submitted for approval to the AMF;</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thus acquired cannot be distributed directly or indirectly to the public otherwise than in accordance with Articles L. 411-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 411-2, L. 412-1 and L. 621-8 to L. 621-8-3 of the Monetary and Financial Code.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Dentons US LLP, New York, New York, will pass upon the validity of the shares of common stock offered by this prospectus supplement. The underwriters are being represented in connection with this offering by Goodwin Procter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We file annual reports, quarterly reports, current reports, proxy statements and other information with the SEC. Our SEC filings are and will become available to the public over the Internet at the SEC’s website at www.sec.gov. You can also find our public filings on our website at www.arcturusrx.com. Our website and the information contained therein or connected thereto are not part of this prospectus supplement or the accompanying prospectus.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being offered by this prospectus supplement. This prospectus supplement and the accompanying prospectus are a part of that registration statement but do not contain all of the information set forth in the registration statement or the exhibits to the registration statement. For further information with respect to us and the shares we are offering pursuant to this prospectus supplement, you should refer to the registration statement and its exhibits. Statements contained in this prospectus supplement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website referred to above.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our Annual Report on Form 10-K for the year ended December 31, 2019 filed with the SEC on March 16, 2020;</w:t>
      </w:r>
    </w:p>
    <w:p>
      <w:pPr>
        <w:spacing w:after="0" w:line="225" w:lineRule="exact"/>
        <w:rPr>
          <w:sz w:val="20"/>
          <w:szCs w:val="20"/>
          <w:color w:val="auto"/>
        </w:rPr>
      </w:pPr>
    </w:p>
    <w:p>
      <w:pPr>
        <w:ind w:left="980" w:right="40" w:hanging="324"/>
        <w:spacing w:after="0" w:line="266" w:lineRule="auto"/>
        <w:rPr>
          <w:sz w:val="20"/>
          <w:szCs w:val="20"/>
          <w:color w:val="auto"/>
        </w:rPr>
      </w:pPr>
      <w:r>
        <w:rPr>
          <w:rFonts w:ascii="Times New Roman" w:cs="Times New Roman" w:eastAsia="Times New Roman" w:hAnsi="Times New Roman"/>
          <w:sz w:val="18"/>
          <w:szCs w:val="18"/>
          <w:color w:val="auto"/>
        </w:rPr>
        <w:t>— The information specifically incorporated by reference into our Annual Report on Form 10-K for the year ended December 31, 2019 from our definitive proxy statement on Schedule 14A (other than information furnished rather than filed), which was filed with the SEC on April 29, 2020;</w:t>
      </w:r>
    </w:p>
    <w:p>
      <w:pPr>
        <w:spacing w:after="0" w:line="175" w:lineRule="exact"/>
        <w:rPr>
          <w:sz w:val="20"/>
          <w:szCs w:val="20"/>
          <w:color w:val="auto"/>
        </w:rPr>
      </w:pPr>
    </w:p>
    <w:p>
      <w:pPr>
        <w:ind w:left="980" w:right="360" w:hanging="324"/>
        <w:spacing w:after="0" w:line="282" w:lineRule="auto"/>
        <w:rPr>
          <w:sz w:val="20"/>
          <w:szCs w:val="20"/>
          <w:color w:val="auto"/>
        </w:rPr>
      </w:pPr>
      <w:r>
        <w:rPr>
          <w:rFonts w:ascii="Times New Roman" w:cs="Times New Roman" w:eastAsia="Times New Roman" w:hAnsi="Times New Roman"/>
          <w:sz w:val="18"/>
          <w:szCs w:val="18"/>
          <w:color w:val="auto"/>
        </w:rPr>
        <w:t>— our Quarterly Reports on Form 10-Q for the periods ended March 31, 2020, June 30, 2020 and September 30, 2020 filed with the SEC on May 8, 2020, August 10, 2020 and November 9, 2020, respectively;</w:t>
      </w:r>
    </w:p>
    <w:p>
      <w:pPr>
        <w:spacing w:after="0" w:line="161" w:lineRule="exact"/>
        <w:rPr>
          <w:sz w:val="20"/>
          <w:szCs w:val="20"/>
          <w:color w:val="auto"/>
        </w:rPr>
      </w:pPr>
    </w:p>
    <w:p>
      <w:pPr>
        <w:ind w:left="980" w:right="100" w:hanging="324"/>
        <w:spacing w:after="0" w:line="261" w:lineRule="auto"/>
        <w:rPr>
          <w:sz w:val="20"/>
          <w:szCs w:val="20"/>
          <w:color w:val="auto"/>
        </w:rPr>
      </w:pPr>
      <w:r>
        <w:rPr>
          <w:rFonts w:ascii="Times New Roman" w:cs="Times New Roman" w:eastAsia="Times New Roman" w:hAnsi="Times New Roman"/>
          <w:sz w:val="18"/>
          <w:szCs w:val="18"/>
          <w:color w:val="auto"/>
        </w:rPr>
        <w:t>— our Current Reports on Form 8-K filed with the SEC on March 4, 2020, March 27, 2020, April 17, 2020, April 21, 2020, May 21, 2020, June 9, 2020; July 24, 2020; July 29, 2020; August 10, 2020; August 18, 2020; September 11, 2020, October 2, 2020; October 15,</w:t>
      </w:r>
    </w:p>
    <w:p>
      <w:pPr>
        <w:ind w:left="980" w:right="260"/>
        <w:spacing w:after="0" w:line="260" w:lineRule="auto"/>
        <w:rPr>
          <w:sz w:val="20"/>
          <w:szCs w:val="20"/>
          <w:color w:val="auto"/>
        </w:rPr>
      </w:pPr>
      <w:r>
        <w:rPr>
          <w:rFonts w:ascii="Times New Roman" w:cs="Times New Roman" w:eastAsia="Times New Roman" w:hAnsi="Times New Roman"/>
          <w:sz w:val="18"/>
          <w:szCs w:val="18"/>
          <w:color w:val="auto"/>
        </w:rPr>
        <w:t>2020; November 9, 2020; November 13, 2020; November 25, 2020 and December 7, 2020 (in each case, except for information contained therein which is furnished rather than filed); and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the description of our common stock set forth in the Form 8-K12B filed on June 18,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authorized no one to provide you with any information that differs from that contained in this prospectus supplement, the accompanying prospectus or incorporated by reference herein or therein. Accordingly, you should not rely on any information that is not contained in this prospectus supplement or the accompanying prospectus or incorporated by reference herein or therein. You should not assume that the information in this prospectus supplement is accurate as of any date other than the date of the front cover of this prospectus supplement.</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or any other subsequently filed document that is deemed to be incorporated by reference into this prospectus supplement modifies, supersedes or replaces such statement</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865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6 of this prospectus and contained in our filings made with the Securities and Exchange Commission and the applicable prospectus supplement.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8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http://www.sec.gov.</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76" w:lineRule="exact"/>
        <w:rPr>
          <w:sz w:val="20"/>
          <w:szCs w:val="20"/>
          <w:color w:val="auto"/>
        </w:rPr>
      </w:pPr>
    </w:p>
    <w:p>
      <w:pPr>
        <w:ind w:left="660" w:right="2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2019, as filed with the SEC on March 16, 2020, including the information specifically incorporated by reference into the Annual Report on Form 10-K from our definitive proxy statement on Schedule 14A, filed with the SEC on April 29, 2020;</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2020, as filed with the SEC on May 8, 2020, June 30, 2020, as filed with the SEC on August 10, 2020, and September 30, 2020, as filed with the SEC on November 9, 2020.</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as filed with the SEC on March 4, 2020, March 27, 2020, April 17, 2020, April 21, 2020, May 21, 2020, June 9, 2020, July 24, 2020, July 29, 2020, August 18, 2020, October 2, 2020, October 15, 2020, November 13, 2020, November 25, 2020 and December 7, 2020 (in each case, except for information contained therein which is furnished rather than filed);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the Form 8-K12B filed on June 18, 2019.</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If one or more of these risks or uncertainties occur, or if our underlying assumptions prove to be incorrect, actual events or results may vary significantly from those expressed or implied by the forward-looking statements. No forward-looking statement is a guarantee of future performance.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of Arcturus Therapeutics Holdings Inc.</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0" w:lineRule="exact"/>
        <w:rPr>
          <w:sz w:val="20"/>
          <w:szCs w:val="20"/>
          <w:color w:val="auto"/>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deep expertise in the discovery and development of RNA medicines, including key experience in the production of RNA drug substance and nanoparticle-formulated drug product.</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pipeline of eleven drug candidates in late-stage discovery and early-stage development, five of which are wholly-owned and six of which involve partnered programs.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the STARR technology platform which combines self-replicating RNA with LUNAR into a single solution for partners.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LUNAR and nucleic acid technologies are covered by a patent portfolio of 200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in Part II, Item 1A, Risk Factors of our Quarterly Reports on Form 10-Q for the quarters ended March 31, 2020, as filed with the SEC on May 8, 2020, June 30, 2020, as filed with the SEC on August 10, 2020, and September 30, 2020, as filed with the SEC on November 9, 2020, and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$0.001 per share, and 10,000,000 shares of preferred stock, par value $0.001 per share.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November 2, 2020, there were 24,493,084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authorized to issue a total of 10,000,000 shares of preferred stock. We have no shares of preferred stock outstanding, and we have no present plan to issue any shares of preferred stock.</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offered, the liquidation preference per share and the offering price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preferred stock are cumulative or not and, if cumulative, the date from which dividends on the shares of preferred stock shall accumulate;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shares of preferred stock;</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 of the shares of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of preferred stock on any securities exchange;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shares of preferred stock will be convertible into common shares, including the conversion price (or manner of calculation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federal income tax considerations applicable to the shares of preferred stock;</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shares of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of such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WE MAY OFFER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modification of the terms of the security or the rights of the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or the ability of our subsidiaries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and the time for payment has not been extended;</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holders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and to make all appropriate changes for such purpose;</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75"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pay additional amounts;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principal of an original issue discount security or any other note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in which any note or any premium or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enforce any payment on or with respect to any note;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changing the right to convert or exchange, including decreasing the conversion rate or increasing the conversion price of, such note, if applicable;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modifying the subordination provisions in a manner adverse to the holders of the subordinated debt securities;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secured, changing the terms and conditions pursuant to which the debt securities are secured in a manner adverse to the holders of the secured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requirements contained in the applicable indenture for quorum or voting;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maintain an office or agency in the places and for the purposes required by the indentures;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any of the above provisions set forth in this paragraph.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Debt Securities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 warrants to purchase shares of our common stock outstanding. We may issue warrants to purchase shares of our common stock to investors as part of a financing transaction, or in connection with services rendered by placement agents and outside consultants.</w:t>
      </w:r>
    </w:p>
    <w:p>
      <w:pPr>
        <w:spacing w:after="0" w:line="15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number of warrants issued with each share of preferred stock or share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preferred stock or common stock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which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warrants will be issued;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the debt warrants are issued, and the number of the debt warrants issued with each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the principal amount of the debt securities may be purchased upon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the debt warrants that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adjustments in the exercise price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exercise of the debt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and terms, procedures and limitations relating to the exercise of the debt warrants.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40"/>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or otherwise;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 of sale.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will describe the terms of the offering of the securities, including:</w:t>
      </w:r>
    </w:p>
    <w:p>
      <w:pPr>
        <w:spacing w:after="0" w:line="162" w:lineRule="exact"/>
        <w:rPr>
          <w:sz w:val="20"/>
          <w:szCs w:val="20"/>
          <w:color w:val="auto"/>
        </w:rPr>
      </w:pPr>
    </w:p>
    <w:p>
      <w:pPr>
        <w:ind w:left="660" w:right="1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shares underwritten or purchased by each of them;</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other consideration to be paid in connection with the sale of the securities being offered and the proceeds we will receive from the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896" w:gutter="0" w:footer="0" w:header="0"/>
        </w:sectPr>
      </w:pPr>
    </w:p>
    <w:bookmarkStart w:id="51" w:name="page52"/>
    <w:bookmarkEnd w:id="51"/>
    <w:p>
      <w:pPr>
        <w:ind w:right="8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226060</wp:posOffset>
            </wp:positionV>
            <wp:extent cx="2571750" cy="865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7, 2020</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226060</wp:posOffset>
            </wp:positionV>
            <wp:extent cx="2571750" cy="865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3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Sandler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237"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Wells Fargo Securities</w:t>
      </w:r>
    </w:p>
    <w:p>
      <w:pPr>
        <w:spacing w:after="0" w:line="211" w:lineRule="exact"/>
        <w:rPr>
          <w:sz w:val="20"/>
          <w:szCs w:val="20"/>
          <w:color w:val="auto"/>
        </w:rPr>
      </w:pPr>
    </w:p>
    <w:p>
      <w:pPr>
        <w:sectPr>
          <w:pgSz w:w="11900" w:h="16838" w:orient="portrait"/>
          <w:cols w:equalWidth="0" w:num="3">
            <w:col w:w="3740" w:space="720"/>
            <w:col w:w="4340" w:space="720"/>
            <w:col w:w="1720"/>
          </w:cols>
          <w:pgMar w:left="320" w:top="1440" w:right="339" w:bottom="1440" w:gutter="0" w:footer="0" w:header="0"/>
          <w:type w:val="continuous"/>
        </w:sectPr>
      </w:pPr>
    </w:p>
    <w:p>
      <w:pPr>
        <w:spacing w:after="0" w:line="29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 2020</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emdash "/>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lvl w:ilvl="1">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2020-12-07T16:22:32Z</dcterms:created>
  <dcterms:modified xsi:type="dcterms:W3CDTF">2020-12-07T16:22:32Z</dcterms:modified>
</cp:coreProperties>
</file>