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601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60121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2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restart"/>
          </w:tcPr>
          <w:p>
            <w:pPr>
              <w:spacing w:after="0"/>
              <w:rPr>
                <w:rFonts w:ascii="Times New Roman" w:cs="Times New Roman" w:eastAsia="Times New Roman" w:hAnsi="Times New Roman"/>
                <w:sz w:val="20"/>
                <w:szCs w:val="20"/>
                <w:color w:val="0000EE"/>
                <w:w w:val="97"/>
              </w:rPr>
            </w:pPr>
            <w:hyperlink r:id="rId12">
              <w:r>
                <w:rPr>
                  <w:rFonts w:ascii="Times New Roman" w:cs="Times New Roman" w:eastAsia="Times New Roman" w:hAnsi="Times New Roman"/>
                  <w:sz w:val="20"/>
                  <w:szCs w:val="20"/>
                  <w:color w:val="0000EE"/>
                  <w:w w:val="97"/>
                </w:rPr>
                <w:t>Chivukula Pad</w:t>
              </w:r>
            </w:hyperlink>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gridSpan w:val="3"/>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Arcturus Therapeutics Holdings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ARCT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Borders>
              <w:bottom w:val="single" w:sz="8" w:color="0000EE"/>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vMerge w:val="restart"/>
          </w:tcPr>
          <w:p>
            <w:pPr>
              <w:ind w:left="1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line="118" w:lineRule="exact"/>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line="11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20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bottom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2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Chief Scientific Officer &amp; COO</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ARCTURUS THERAPEUTICS HOLDINGS</w:t>
            </w:r>
          </w:p>
        </w:tc>
        <w:tc>
          <w:tcPr>
            <w:tcW w:w="31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color w:val="0000FF"/>
              </w:rPr>
              <w:t>12/09/2022</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INC.</w:t>
            </w: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10628 SCIENCE CENTER DRIVE, SUITE 250</w:t>
            </w: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4.</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1440" w:gutter="0" w:footer="0" w:header="0"/>
          <w:type w:val="continuous"/>
        </w:sectPr>
      </w:pP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92121</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333" w:hanging="333"/>
        <w:spacing w:after="0"/>
        <w:tabs>
          <w:tab w:leader="none" w:pos="333" w:val="left"/>
        </w:tabs>
        <w:numPr>
          <w:ilvl w:val="0"/>
          <w:numId w:val="1"/>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0" w:lineRule="exact"/>
        <w:rPr>
          <w:rFonts w:ascii="Times New Roman" w:cs="Times New Roman" w:eastAsia="Times New Roman" w:hAnsi="Times New Roman"/>
          <w:sz w:val="16"/>
          <w:szCs w:val="16"/>
          <w:color w:val="0000FF"/>
        </w:rPr>
      </w:pPr>
    </w:p>
    <w:p>
      <w:pPr>
        <w:ind w:left="333" w:right="640"/>
        <w:spacing w:after="0" w:line="248" w:lineRule="auto"/>
        <w:rPr>
          <w:rFonts w:ascii="Times New Roman" w:cs="Times New Roman" w:eastAsia="Times New Roman" w:hAnsi="Times New Roman"/>
          <w:sz w:val="16"/>
          <w:szCs w:val="16"/>
          <w:color w:val="0000FF"/>
        </w:rPr>
      </w:pPr>
      <w:r>
        <w:rPr>
          <w:rFonts w:ascii="Arial" w:cs="Arial" w:eastAsia="Arial" w:hAnsi="Arial"/>
          <w:sz w:val="13"/>
          <w:szCs w:val="13"/>
          <w:color w:val="auto"/>
        </w:rPr>
        <w:t>Form filed by More than One Reporting Person</w:t>
      </w:r>
    </w:p>
    <w:p>
      <w:pPr>
        <w:spacing w:after="0" w:line="458" w:lineRule="exact"/>
        <w:rPr>
          <w:sz w:val="20"/>
          <w:szCs w:val="20"/>
          <w:color w:val="auto"/>
        </w:rPr>
      </w:pPr>
    </w:p>
    <w:p>
      <w:pPr>
        <w:sectPr>
          <w:pgSz w:w="11900" w:h="16838" w:orient="portrait"/>
          <w:cols w:equalWidth="0" w:num="2">
            <w:col w:w="7207" w:space="720"/>
            <w:col w:w="3153"/>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125,000</w:t>
            </w:r>
            <w:r>
              <w:rPr>
                <w:rFonts w:ascii="Times New Roman" w:cs="Times New Roman" w:eastAsia="Times New Roman" w:hAnsi="Times New Roman"/>
                <w:sz w:val="20"/>
                <w:szCs w:val="20"/>
                <w:color w:val="008000"/>
                <w:vertAlign w:val="superscript"/>
              </w:rPr>
              <w:t>(1)</w:t>
            </w:r>
          </w:p>
        </w:tc>
        <w:tc>
          <w:tcPr>
            <w:tcW w:w="220" w:type="dxa"/>
            <w:vAlign w:val="bottom"/>
          </w:tcPr>
          <w:p>
            <w:pPr>
              <w:spacing w:after="0"/>
              <w:rPr>
                <w:sz w:val="12"/>
                <w:szCs w:val="12"/>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16.92</w:t>
            </w: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12/09/2022</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12/09/2032</w:t>
            </w:r>
          </w:p>
        </w:tc>
        <w:tc>
          <w:tcPr>
            <w:tcW w:w="6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0000FF"/>
              </w:rPr>
              <w:t>125,000</w:t>
            </w:r>
          </w:p>
        </w:tc>
        <w:tc>
          <w:tcPr>
            <w:tcW w:w="70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5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to purchase shares of common stock approved by the Board of Directors on December 9, 2022 pursuant to the Company's Amended and Restated 2019 Omnibus Equity Incentive Plan, as amended.</w:t>
      </w:r>
    </w:p>
    <w:p>
      <w:pPr>
        <w:spacing w:after="0" w:line="21" w:lineRule="exact"/>
        <w:rPr>
          <w:rFonts w:ascii="Times New Roman" w:cs="Times New Roman" w:eastAsia="Times New Roman" w:hAnsi="Times New Roman"/>
          <w:sz w:val="13"/>
          <w:szCs w:val="13"/>
          <w:color w:val="008000"/>
        </w:rPr>
      </w:pPr>
    </w:p>
    <w:p>
      <w:pPr>
        <w:ind w:left="40" w:right="2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25% on December 9, 2023, the first anniversary of the date this award was approved by the Board of Directors, and the remainder vest in equal increments on each successive one-month anniversary thereafter for the next thirty-six months.</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Ilan Katz, attorney-in-fact</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12/13/2022</w:t>
            </w:r>
          </w:p>
        </w:tc>
      </w:tr>
      <w:tr>
        <w:trPr>
          <w:trHeight w:val="221"/>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2022-12-13T15:12:48Z</dcterms:created>
  <dcterms:modified xsi:type="dcterms:W3CDTF">2022-12-13T15:12:48Z</dcterms:modified>
</cp:coreProperties>
</file>