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November 2015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November 12, 2015, announcing its financial results for the third quarter ended September 30, 2015.</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GAAP financial statements in this Form 6-K of the registrant are incorporated by reference into the Registration Statements on Form F-3 (File No. 333-197411) and Forms S-8 (File No. 333-194875 and File No. 333-202394) of the registrant, filed with the Securities and Exchange Commission, to be a part thereof from the date on which this report is submitted, to the extent not superseded by documents or reports subsequently filed or furnished.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November 12, 2015, announcing its financial results for the third quarter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Dr. Yaron Daniely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148590</wp:posOffset>
            </wp:positionV>
            <wp:extent cx="122618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1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1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160" w:type="dxa"/>
            <w:vAlign w:val="bottom"/>
          </w:tcPr>
          <w:p>
            <w:pPr>
              <w:ind w:left="920"/>
              <w:spacing w:after="0"/>
              <w:rPr>
                <w:sz w:val="20"/>
                <w:szCs w:val="20"/>
                <w:color w:val="auto"/>
              </w:rPr>
            </w:pPr>
            <w:r>
              <w:rPr>
                <w:rFonts w:ascii="Arial" w:cs="Arial" w:eastAsia="Arial" w:hAnsi="Arial"/>
                <w:sz w:val="18"/>
                <w:szCs w:val="18"/>
                <w:color w:val="auto"/>
                <w:w w:val="90"/>
              </w:rPr>
              <w:t>Debbie Kaye+972-72 2204661</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773-463-4211</w:t>
            </w:r>
          </w:p>
        </w:tc>
        <w:tc>
          <w:tcPr>
            <w:tcW w:w="316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auto"/>
              </w:rPr>
              <w:t>mikebeyer@sambrown.com</w:t>
            </w:r>
          </w:p>
        </w:tc>
        <w:tc>
          <w:tcPr>
            <w:tcW w:w="3160" w:type="dxa"/>
            <w:vAlign w:val="bottom"/>
          </w:tcPr>
          <w:p>
            <w:pPr>
              <w:ind w:left="920"/>
              <w:spacing w:after="0"/>
              <w:rPr>
                <w:sz w:val="20"/>
                <w:szCs w:val="20"/>
                <w:color w:val="auto"/>
              </w:rPr>
            </w:pPr>
            <w:r>
              <w:rPr>
                <w:rFonts w:ascii="Arial" w:cs="Arial" w:eastAsia="Arial" w:hAnsi="Arial"/>
                <w:sz w:val="18"/>
                <w:szCs w:val="18"/>
                <w:color w:val="auto"/>
                <w:w w:val="93"/>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THIRD QUARTER 2015 FINANCIAL RESULTS AND PROVIDES CORPORATE UPDATE</w:t>
      </w:r>
    </w:p>
    <w:p>
      <w:pPr>
        <w:sectPr>
          <w:pgSz w:w="11900" w:h="16838" w:orient="portrait"/>
          <w:cols w:equalWidth="0" w:num="1">
            <w:col w:w="11420"/>
          </w:cols>
          <w:pgMar w:left="240" w:top="328" w:right="2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000"/>
        <w:spacing w:after="0"/>
        <w:rPr>
          <w:sz w:val="20"/>
          <w:szCs w:val="20"/>
          <w:color w:val="auto"/>
        </w:rPr>
      </w:pPr>
      <w:r>
        <w:rPr>
          <w:rFonts w:ascii="Arial" w:cs="Arial" w:eastAsia="Arial" w:hAnsi="Arial"/>
          <w:sz w:val="16"/>
          <w:szCs w:val="16"/>
          <w:i w:val="1"/>
          <w:iCs w:val="1"/>
          <w:color w:val="auto"/>
        </w:rPr>
        <w:t>Conference Call &amp; Webcast November 17th at 8:30 a.m. Eastern Time/5:30 a.m. Pacific Time</w:t>
      </w:r>
    </w:p>
    <w:p>
      <w:pPr>
        <w:spacing w:after="0" w:line="46"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The company provides an update on its Fragile X Syndrome development program</w:t>
      </w:r>
    </w:p>
    <w:p>
      <w:pPr>
        <w:spacing w:after="0" w:line="200" w:lineRule="exact"/>
        <w:rPr>
          <w:sz w:val="20"/>
          <w:szCs w:val="20"/>
          <w:color w:val="auto"/>
        </w:rPr>
      </w:pPr>
    </w:p>
    <w:p>
      <w:pPr>
        <w:sectPr>
          <w:pgSz w:w="11900" w:h="16838" w:orient="portrait"/>
          <w:cols w:equalWidth="0" w:num="2">
            <w:col w:w="1940" w:space="720"/>
            <w:col w:w="8760"/>
          </w:cols>
          <w:pgMar w:left="240" w:top="328" w:right="239" w:bottom="1440" w:gutter="0" w:footer="0" w:header="0"/>
          <w:type w:val="continuous"/>
        </w:sectPr>
      </w:pPr>
    </w:p>
    <w:p>
      <w:pPr>
        <w:spacing w:after="0" w:line="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Tel Aviv, Israel – November 12, 2015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patients with cognitive disorders, including Attention Deficit Hyperactivity Disorder (ADHD) and Fragile X Syndrome (Fragile X), today announced financial results for the three and nine months ended September 30, 2015, and provided a corporate update.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Ended September 30, 2015 Financial Results:</w:t>
      </w:r>
    </w:p>
    <w:p>
      <w:pPr>
        <w:spacing w:after="0" w:line="27" w:lineRule="exact"/>
        <w:rPr>
          <w:sz w:val="20"/>
          <w:szCs w:val="20"/>
          <w:color w:val="auto"/>
        </w:rPr>
      </w:pPr>
    </w:p>
    <w:p>
      <w:pPr>
        <w:jc w:val="both"/>
        <w:ind w:left="340" w:right="3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operating expenses were $4.3 million, compared with $5.2 million in the second quarter of 2015 and $10.6 million in the third quarter of 2014. Operating expenses included non-cash stock based compensation of $0.6 million in the third quarter of 2015 and $1.0 million in the same quarter of 2014.</w:t>
      </w:r>
    </w:p>
    <w:p>
      <w:pPr>
        <w:spacing w:after="0" w:line="1" w:lineRule="exact"/>
        <w:rPr>
          <w:rFonts w:ascii="Arial" w:cs="Arial" w:eastAsia="Arial" w:hAnsi="Arial"/>
          <w:sz w:val="18"/>
          <w:szCs w:val="18"/>
          <w:color w:val="auto"/>
        </w:rPr>
      </w:pPr>
    </w:p>
    <w:p>
      <w:pPr>
        <w:ind w:left="340" w:right="5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Research and development (R&amp;D) expenses were $2.9 million, compared with $8.8 million in the third quarter of 2014. R&amp;D expenses in the third quarter of 2015 consisted primarily of costs associated with the Phase III pivotal study in adult ADHD.</w:t>
      </w:r>
    </w:p>
    <w:p>
      <w:pPr>
        <w:ind w:left="340" w:right="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and administrative (G&amp;A) expenses were $1.2 million in the third quarter of 2015, compared with $1.3 million in the same quarter of 2014. Pre-commercialization expenses were $0.3 million, compared with $0.6 million in the third quarter of 2014.</w:t>
      </w:r>
    </w:p>
    <w:p>
      <w:pPr>
        <w:ind w:left="340" w:right="2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cash equivalents and bank deposits totaled $35.5 million at September 30, 2015, compared with $41.1 million at June 30, 2015. Net cash used in operating activities was $5.4 million in the third quarter of 2015, compared with $9.5 million in the third quarter of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Corporate Updates:</w:t>
      </w:r>
    </w:p>
    <w:p>
      <w:pPr>
        <w:spacing w:after="0" w:line="27" w:lineRule="exact"/>
        <w:rPr>
          <w:sz w:val="20"/>
          <w:szCs w:val="20"/>
          <w:color w:val="auto"/>
        </w:rPr>
      </w:pPr>
    </w:p>
    <w:p>
      <w:pPr>
        <w:ind w:left="340" w:right="1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2015, the company held a meeting with the U.S. Food and Drug Administration (FDA) to discuss the results of the company’s Phase II study in Fragile X and the requirements for new drug application (NDA) submission of MDX in this therapeutic indication.</w:t>
      </w:r>
    </w:p>
    <w:p>
      <w:pPr>
        <w:ind w:left="340" w:right="8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FDA concurred that results from a single short-term, adequate and well-controlled, efficacy study in adolescents and adult patients with Fragile X may be sufficient to support a claim of efficacy for approval of MDX in this indication. The FDA further confirmed that the Vineland-II Daily Living Skills Assessment, which was statistically significant in Alcobra’s Phase II study on the intent-to-treat population, could serve as the primary endpoint in the pivotal trial. The study is scheduled to begin in 2016.</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announced that the FDA has granted Fast Track designation to MDX for the treatment of Fragile X on September 21, 2015.</w:t>
      </w:r>
    </w:p>
    <w:p>
      <w:pPr>
        <w:spacing w:after="0" w:line="9"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response variability. Data from the study is expected mid-2016.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448945</wp:posOffset>
            </wp:positionV>
            <wp:extent cx="1226185" cy="62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40" w:right="26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expects to launch the first of two adequate, well-controlled, short-term efficacy studies in children with ADHD in 2016 after receiving comments from the FDA on its Pediatric Study Plan for the indication of ADHD. The study will be a multi-center, Phase II, placebo-controlled, short-term efficacy study.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Webcast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Tuesday, November 17 @ 8:30a.m. Eastern Time/5:30a.m. Pacific Time</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56489875</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http://www.alcobra-pharma.com/events.cfm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December 1, 2015</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56489875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to treat cognitive disorders including ADHD and Fragile X Syndrome.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of launching and reporting results of clinical studies, design of future clinical studies and Alcobra’s ability to better design clinical studies and reduce high placebo response and response variability, initiating future clinical studies and the content and timing of future discussions with the FDA.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Also, while the FDA has indicated to Alcobra that positive efficacy results from certain clinical studies may be sufficient to demonstrate efficacy for approval of MDX, the FDA is not bound by these communications and accordingly may change its position in the future due to reasons within or outside the control of Alcobra.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448945</wp:posOffset>
            </wp:positionV>
            <wp:extent cx="1226185"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9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5"/>
          </w:tcPr>
          <w:p>
            <w:pPr>
              <w:jc w:val="right"/>
              <w:ind w:right="85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Pre-commercialization expenses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on income</w:t>
            </w: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10,486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14,562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26,032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basic and diluted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Ordinary shares used in computing</w:t>
            </w: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21,181,722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13,696,525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20,796,235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13,665,459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6177915</wp:posOffset>
            </wp:positionH>
            <wp:positionV relativeFrom="page">
              <wp:posOffset>448945</wp:posOffset>
            </wp:positionV>
            <wp:extent cx="1226185"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780" w:type="dxa"/>
            <w:vAlign w:val="bottom"/>
            <w:gridSpan w:val="2"/>
          </w:tcPr>
          <w:p>
            <w:pPr>
              <w:jc w:val="right"/>
              <w:ind w:right="2520"/>
              <w:spacing w:after="0"/>
              <w:rPr>
                <w:sz w:val="20"/>
                <w:szCs w:val="20"/>
                <w:color w:val="auto"/>
              </w:rPr>
            </w:pPr>
            <w:r>
              <w:rPr>
                <w:rFonts w:ascii="Arial" w:cs="Arial" w:eastAsia="Arial" w:hAnsi="Arial"/>
                <w:sz w:val="18"/>
                <w:szCs w:val="18"/>
                <w:b w:val="1"/>
                <w:bCs w:val="1"/>
                <w:color w:val="auto"/>
              </w:rPr>
              <w:t>ASSETS</w:t>
            </w: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long-term assets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jc w:val="right"/>
              <w:ind w:right="1870"/>
              <w:spacing w:after="0"/>
              <w:rPr>
                <w:sz w:val="20"/>
                <w:szCs w:val="20"/>
                <w:color w:val="auto"/>
              </w:rPr>
            </w:pPr>
            <w:r>
              <w:rPr>
                <w:rFonts w:ascii="Arial" w:cs="Arial" w:eastAsia="Arial" w:hAnsi="Arial"/>
                <w:sz w:val="18"/>
                <w:szCs w:val="18"/>
                <w:b w:val="1"/>
                <w:bCs w:val="1"/>
                <w:color w:val="auto"/>
              </w:rPr>
              <w:t>LIABILITIES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780" w:type="dxa"/>
            <w:vAlign w:val="bottom"/>
            <w:gridSpan w:val="2"/>
          </w:tcPr>
          <w:p>
            <w:pPr>
              <w:jc w:val="right"/>
              <w:ind w:right="1680"/>
              <w:spacing w:after="0"/>
              <w:rPr>
                <w:sz w:val="20"/>
                <w:szCs w:val="20"/>
                <w:color w:val="auto"/>
              </w:rPr>
            </w:pPr>
            <w:r>
              <w:rPr>
                <w:rFonts w:ascii="Arial" w:cs="Arial" w:eastAsia="Arial" w:hAnsi="Arial"/>
                <w:sz w:val="18"/>
                <w:szCs w:val="18"/>
                <w:b w:val="1"/>
                <w:bCs w:val="1"/>
                <w:color w:val="auto"/>
              </w:rPr>
              <w:t>SHAREHOLDERS’ EQUITY</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Trade payables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46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Shareholders’ equity:</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101,155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Alcobra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6"/>
          </w:tcPr>
          <w:p>
            <w:pPr>
              <w:jc w:val="right"/>
              <w:ind w:right="8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7"/>
          </w:tcPr>
          <w:p>
            <w:pPr>
              <w:jc w:val="right"/>
              <w:ind w:right="7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gridSpan w:val="5"/>
          </w:tcPr>
          <w:p>
            <w:pPr>
              <w:jc w:val="right"/>
              <w:ind w:right="85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gridSpan w:val="5"/>
          </w:tcPr>
          <w:p>
            <w:pPr>
              <w:jc w:val="right"/>
              <w:ind w:right="810"/>
              <w:spacing w:after="0"/>
              <w:rPr>
                <w:sz w:val="20"/>
                <w:szCs w:val="20"/>
                <w:color w:val="auto"/>
              </w:rPr>
            </w:pPr>
            <w:r>
              <w:rPr>
                <w:rFonts w:ascii="Arial" w:cs="Arial" w:eastAsia="Arial" w:hAnsi="Arial"/>
                <w:sz w:val="18"/>
                <w:szCs w:val="18"/>
                <w:color w:val="auto"/>
              </w:rPr>
              <w:t>September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 from operating activities:</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loss</w:t>
            </w:r>
          </w:p>
        </w:tc>
        <w:tc>
          <w:tcPr>
            <w:tcW w:w="2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(4,262)</w:t>
            </w:r>
          </w:p>
        </w:tc>
        <w:tc>
          <w:tcPr>
            <w:tcW w:w="3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(10,486)</w:t>
            </w:r>
          </w:p>
        </w:tc>
        <w:tc>
          <w:tcPr>
            <w:tcW w:w="3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(14,562)</w:t>
            </w:r>
          </w:p>
        </w:tc>
        <w:tc>
          <w:tcPr>
            <w:tcW w:w="2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(26,032)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income to net cash used in operating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Loss from sale of property and equipment</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ind w:left="160"/>
              <w:spacing w:after="0"/>
              <w:rPr>
                <w:sz w:val="20"/>
                <w:szCs w:val="20"/>
                <w:color w:val="auto"/>
              </w:rPr>
            </w:pPr>
            <w:r>
              <w:rPr>
                <w:rFonts w:ascii="Arial" w:cs="Arial" w:eastAsia="Arial" w:hAnsi="Arial"/>
                <w:sz w:val="18"/>
                <w:szCs w:val="18"/>
                <w:color w:val="auto"/>
              </w:rPr>
              <w:t>Trade payables</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investing activities: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Proceeds from (investment in) short-term bank deposit</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6,985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5,301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40" w:type="dxa"/>
            <w:vAlign w:val="bottom"/>
            <w:gridSpan w:val="4"/>
          </w:tcPr>
          <w:p>
            <w:pPr>
              <w:spacing w:after="0" w:line="176" w:lineRule="exact"/>
              <w:rPr>
                <w:sz w:val="20"/>
                <w:szCs w:val="20"/>
                <w:color w:val="auto"/>
              </w:rPr>
            </w:pPr>
            <w:r>
              <w:rPr>
                <w:rFonts w:ascii="Arial" w:cs="Arial" w:eastAsia="Arial" w:hAnsi="Arial"/>
                <w:sz w:val="18"/>
                <w:szCs w:val="18"/>
                <w:color w:val="auto"/>
              </w:rPr>
              <w:t>Cash flow from financing activities: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share capital upon public offering,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Exercise of options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Non-cash transactions:</w:t>
            </w:r>
          </w:p>
        </w:tc>
        <w:tc>
          <w:tcPr>
            <w:tcW w:w="360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2019-12-09T01:21:29Z</dcterms:created>
  <dcterms:modified xsi:type="dcterms:W3CDTF">2019-12-09T01:21:29Z</dcterms:modified>
</cp:coreProperties>
</file>