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55880</wp:posOffset>
            </wp:positionV>
            <wp:extent cx="548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-95885</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4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45"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FROMTO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57785</wp:posOffset>
            </wp:positionV>
            <wp:extent cx="548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4"/>
              </w:rPr>
              <w:t>Delaware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gridSpan w:val="3"/>
          </w:tcPr>
          <w:p>
            <w:pPr>
              <w:jc w:val="right"/>
              <w:ind w:right="2386"/>
              <w:spacing w:after="0"/>
              <w:rPr>
                <w:sz w:val="20"/>
                <w:szCs w:val="20"/>
                <w:color w:val="auto"/>
              </w:rPr>
            </w:pPr>
            <w:r>
              <w:rPr>
                <w:rFonts w:ascii="Arial" w:cs="Arial" w:eastAsia="Arial" w:hAnsi="Arial"/>
                <w:sz w:val="14"/>
                <w:szCs w:val="14"/>
                <w:b w:val="1"/>
                <w:bCs w:val="1"/>
                <w:color w:val="auto"/>
              </w:rPr>
              <w:t>32-0595345</w:t>
            </w:r>
          </w:p>
        </w:tc>
        <w:tc>
          <w:tcPr>
            <w:tcW w:w="0" w:type="dxa"/>
            <w:vAlign w:val="bottom"/>
          </w:tcPr>
          <w:p>
            <w:pPr>
              <w:spacing w:after="0"/>
              <w:rPr>
                <w:sz w:val="1"/>
                <w:szCs w:val="1"/>
                <w:color w:val="auto"/>
              </w:rPr>
            </w:pPr>
          </w:p>
        </w:tc>
      </w:tr>
      <w:tr>
        <w:trPr>
          <w:trHeight w:val="149"/>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ind w:right="506"/>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2"/>
              </w:rPr>
              <w:t>10628 Science Center Drive, Suite 250</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gridSpan w:val="3"/>
            <w:vMerge w:val="restart"/>
          </w:tcPr>
          <w:p>
            <w:pPr>
              <w:jc w:val="right"/>
              <w:ind w:right="2546"/>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48"/>
        </w:trPr>
        <w:tc>
          <w:tcPr>
            <w:tcW w:w="4400" w:type="dxa"/>
            <w:vAlign w:val="bottom"/>
            <w:gridSpan w:val="2"/>
          </w:tcPr>
          <w:p>
            <w:pPr>
              <w:jc w:val="center"/>
              <w:ind w:left="1167"/>
              <w:spacing w:after="0" w:line="149" w:lineRule="exact"/>
              <w:rPr>
                <w:sz w:val="20"/>
                <w:szCs w:val="20"/>
                <w:color w:val="auto"/>
              </w:rPr>
            </w:pPr>
            <w:r>
              <w:rPr>
                <w:rFonts w:ascii="Arial" w:cs="Arial" w:eastAsia="Arial" w:hAnsi="Arial"/>
                <w:sz w:val="14"/>
                <w:szCs w:val="14"/>
                <w:b w:val="1"/>
                <w:bCs w:val="1"/>
                <w:color w:val="auto"/>
                <w:w w:val="93"/>
              </w:rPr>
              <w:t>San Diego, California</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gridSpan w:val="2"/>
          </w:tcPr>
          <w:p>
            <w:pPr>
              <w:jc w:val="center"/>
              <w:ind w:left="114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0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11240" w:type="dxa"/>
            <w:vAlign w:val="bottom"/>
            <w:gridSpan w:val="7"/>
          </w:tcPr>
          <w:p>
            <w:pPr>
              <w:ind w:left="3560"/>
              <w:spacing w:after="0"/>
              <w:rPr>
                <w:sz w:val="20"/>
                <w:szCs w:val="20"/>
                <w:color w:val="auto"/>
              </w:rPr>
            </w:pPr>
            <w:r>
              <w:rPr>
                <w:rFonts w:ascii="Arial" w:cs="Arial" w:eastAsia="Arial" w:hAnsi="Arial"/>
                <w:sz w:val="14"/>
                <w:szCs w:val="14"/>
                <w:b w:val="1"/>
                <w:bCs w:val="1"/>
                <w:color w:val="auto"/>
              </w:rPr>
              <w:t>Registrant’s telephone number, including area code: (858) 900-2660</w:t>
            </w:r>
          </w:p>
        </w:tc>
        <w:tc>
          <w:tcPr>
            <w:tcW w:w="0" w:type="dxa"/>
            <w:vAlign w:val="bottom"/>
          </w:tcPr>
          <w:p>
            <w:pPr>
              <w:spacing w:after="0"/>
              <w:rPr>
                <w:sz w:val="1"/>
                <w:szCs w:val="1"/>
                <w:color w:val="auto"/>
              </w:rPr>
            </w:pPr>
          </w:p>
        </w:tc>
      </w:tr>
      <w:tr>
        <w:trPr>
          <w:trHeight w:val="80"/>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400" w:type="dxa"/>
            <w:vAlign w:val="bottom"/>
            <w:gridSpan w:val="2"/>
            <w:vMerge w:val="continue"/>
          </w:tcPr>
          <w:p>
            <w:pPr>
              <w:spacing w:after="0"/>
              <w:rPr>
                <w:sz w:val="18"/>
                <w:szCs w:val="18"/>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6"/>
              </w:rPr>
              <w:t>ARCT</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358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5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60"/>
        <w:spacing w:after="0" w:line="251"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closing price of the common stock on The Nasdaq Stock Market on June 30, 2020 was $701.4 million.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24, 2021, the registrant had 26,280,275 shares of voting common stock outstanding.</w:t>
      </w:r>
    </w:p>
    <w:p>
      <w:pPr>
        <w:spacing w:after="0" w:line="55" w:lineRule="exact"/>
        <w:rPr>
          <w:sz w:val="24"/>
          <w:szCs w:val="24"/>
          <w:color w:val="auto"/>
        </w:rPr>
      </w:pPr>
    </w:p>
    <w:p>
      <w:pPr>
        <w:ind w:right="200"/>
        <w:spacing w:after="0" w:line="293" w:lineRule="auto"/>
        <w:rPr>
          <w:sz w:val="20"/>
          <w:szCs w:val="20"/>
          <w:color w:val="auto"/>
        </w:rPr>
      </w:pPr>
      <w:r>
        <w:rPr>
          <w:rFonts w:ascii="Arial" w:cs="Arial" w:eastAsia="Arial" w:hAnsi="Arial"/>
          <w:sz w:val="14"/>
          <w:szCs w:val="14"/>
          <w:color w:val="auto"/>
        </w:rPr>
        <w:t>Documents Incorporated by Reference: Certain portions of the registrant’s definitive Proxy Statement for its 2021 Annual Meeting of Stockholders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3.D,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4" w:lineRule="exact"/>
        <w:rPr>
          <w:sz w:val="20"/>
          <w:szCs w:val="20"/>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firstLine="589"/>
        <w:spacing w:after="0" w:line="288"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References to Arcturus</w:t>
      </w:r>
    </w:p>
    <w:p>
      <w:pPr>
        <w:spacing w:after="0" w:line="229"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and, prior to that time, to our predecessor, Arcturus Therapeutics Ltd.</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Tradenames</w:t>
      </w:r>
    </w:p>
    <w:p>
      <w:pPr>
        <w:spacing w:after="0" w:line="229" w:lineRule="exact"/>
        <w:rPr>
          <w:sz w:val="20"/>
          <w:szCs w:val="20"/>
          <w:color w:val="auto"/>
        </w:rPr>
      </w:pPr>
    </w:p>
    <w:p>
      <w:pPr>
        <w:ind w:right="540" w:firstLine="589"/>
        <w:spacing w:after="0" w:line="263" w:lineRule="auto"/>
        <w:rPr>
          <w:sz w:val="20"/>
          <w:szCs w:val="20"/>
          <w:color w:val="auto"/>
        </w:rPr>
      </w:pPr>
      <w:r>
        <w:rPr>
          <w:rFonts w:ascii="Arial" w:cs="Arial" w:eastAsia="Arial" w:hAnsi="Arial"/>
          <w:sz w:val="18"/>
          <w:szCs w:val="18"/>
          <w:color w:val="auto"/>
        </w:rPr>
        <w:t>The Arcturus logo and other trademarks of Arcturus appearing in this Annual Report on Form 10-K are the property of Arcturus. All other trademarks, service marks and trade names in this Annual Report on Form 10-K are the property of their respective owners. Solely for convenience, trademarks and trade names referred to in this report may appear without the ® or ™ symbols.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Data and Forecasts</w:t>
      </w:r>
    </w:p>
    <w:p>
      <w:pPr>
        <w:spacing w:after="0" w:line="229"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spacing w:after="0" w:line="184"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are a global clinical-stage messenger RNA medicines company focused on the development of infectious disease vaccines and significant opportunities within liver and respiratory rare diseases. In addition to our messenger RNA (“mRNA”) platform, our proprietary lipid nanoparticle (“LNP”) delivery system, LUNAR, has the potential to enable multiple nucleic acid medicines, and our proprietary Self-Transcribing and Replicating RNA (“STARR”) technology has the potential to provide longer-lasting RNA and sustained protein expression.</w:t>
      </w:r>
    </w:p>
    <w:p>
      <w:pPr>
        <w:spacing w:after="0" w:line="7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are leveraging our proprietary platform relating to LUNAR and our nucleic acid technologies to develop and advance a pipeline of mRNA-based vaccines and therapeutics for infectious diseases and rare genetic disorders with significant unmet medical needs.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leading position to deliver on the next generation of nucleic acid medicines.</w:t>
      </w:r>
    </w:p>
    <w:p>
      <w:pPr>
        <w:spacing w:after="0" w:line="53"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are a clinical stage company with the commencement of clinical trials in two of our programs and further expanded our pipeline with the initiation of our COVID-19 and flu vaccine programs. We continued to progress our existing pipeline and collaborations, and have, with our manufacturing partners, manufactured current good manufacturing practice (“cGMP”) batches yielding significant quantities of clinical trial materials for ARCT-810 (LUNAR-OTC) and ARCT-021 (LUNAR-COV19 Vaccine), which includes lyophilized vaccine.</w:t>
      </w:r>
    </w:p>
    <w:p>
      <w:pPr>
        <w:spacing w:after="0" w:line="79"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intend to advance ARCT-021(LUNAR-COV19 Vaccine) into Phase 3 and to request Emergency Use Authorization (“EUA”), commence a Phase 2 multiple-dose study of ARCT-810 in OTC-deficient patients in mid-2021, file an Investigational New Drug (“IND”) or Clinical Trial Application (“CTA”) for a first in human study in Q4 2021 for ARCT-032 (LUNAR-CF), and evaluate in preclinical studies the efficacy and safety of a seasonal influenza vaccine. We are focused on expanding our portfolio of internally-owned and partnered programs to advance our clinical and preclinical candidates in a timely and cost-effective manner.</w:t>
      </w:r>
    </w:p>
    <w:p>
      <w:pPr>
        <w:spacing w:after="0" w:line="80" w:lineRule="exact"/>
        <w:rPr>
          <w:sz w:val="20"/>
          <w:szCs w:val="20"/>
          <w:color w:val="auto"/>
        </w:rPr>
      </w:pPr>
    </w:p>
    <w:p>
      <w:pPr>
        <w:ind w:right="400" w:firstLine="589"/>
        <w:spacing w:after="0" w:line="259" w:lineRule="auto"/>
        <w:rPr>
          <w:sz w:val="20"/>
          <w:szCs w:val="20"/>
          <w:color w:val="auto"/>
        </w:rPr>
      </w:pPr>
      <w:r>
        <w:rPr>
          <w:rFonts w:ascii="Arial" w:cs="Arial" w:eastAsia="Arial" w:hAnsi="Arial"/>
          <w:sz w:val="18"/>
          <w:szCs w:val="18"/>
          <w:color w:val="auto"/>
        </w:rPr>
        <w:t>The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 Activities</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March 2020, we partnered with Duke-NUS Medical School to develop a COVID-19 vaccine for the Singapore Economic Development Board (“EDB”) based on the Company’s STARR Technology and designated the vaccine candidate LUNAR-COV19 (ARCT-021). Duke-NUS Medical School is a graduate entry medical school in Singapore, established in 2005 through a partnership between Duke University School of Medicine and the National University of Singapore (“NUS”).</w:t>
      </w:r>
    </w:p>
    <w:p>
      <w:pPr>
        <w:spacing w:after="0" w:line="79"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On March 4, 2020, we were awarded a grant of S$14.0 million (approximately US$10.0 million using the exchange rate at the time the grant contract was entered into) from the EDB to support the co-development of ARCT-021 with Duke-NUS Medical School. In exchange for the grant, we agreed to supply ARCT-021 to the EDB for use within Singapore and we retained the right to sell and market ARCT-021 outside of Singapore. We have agreed to pay Duke-NUS Medical School a low single digit royalty based on annual net sales of the vaccine in markets or jurisdictions outside of Singapore.</w:t>
      </w:r>
    </w:p>
    <w:p>
      <w:pPr>
        <w:spacing w:after="0" w:line="8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August 17, 2020, we entered into a definitive Supply Agreement (the “Supply Agreement”) with the Israeli Ministry of Health (“MOH”) which provides for the supply of ARCT-021 to the MOH. The MOH has elected to reserve delivery by us of doses of ARCT-021 for an initial 500,000 vaccinations (the “Initial Reserve Doses”). The Supply Agreement also provides the MOH with the right to elect, in its discretion, to purchase additional doses of ARCT-021 upon notice to us prior to specified dates at specified purchase prices. On October 14, 2020, we received a non-refundable first reserve payment of $12.5 million from the MOH. This payment serves as partial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payment for the Initial Reserve Doses. The Supply Agreement is described more fully below in the section titled “Other Material Agreements.”</w:t>
      </w:r>
    </w:p>
    <w:p>
      <w:pPr>
        <w:spacing w:after="0" w:line="129" w:lineRule="exact"/>
        <w:rPr>
          <w:sz w:val="20"/>
          <w:szCs w:val="20"/>
          <w:color w:val="auto"/>
        </w:rPr>
      </w:pPr>
    </w:p>
    <w:p>
      <w:pPr>
        <w:jc w:val="both"/>
        <w:ind w:right="240" w:firstLine="589"/>
        <w:spacing w:after="0" w:line="259" w:lineRule="auto"/>
        <w:rPr>
          <w:sz w:val="20"/>
          <w:szCs w:val="20"/>
          <w:color w:val="auto"/>
        </w:rPr>
      </w:pPr>
      <w:r>
        <w:rPr>
          <w:rFonts w:ascii="Arial" w:cs="Arial" w:eastAsia="Arial" w:hAnsi="Arial"/>
          <w:sz w:val="18"/>
          <w:szCs w:val="18"/>
          <w:color w:val="auto"/>
        </w:rPr>
        <w:t>On October 2, 2020, we were awarded a grant from the EDB to support the further development of our LUNAR-COV19 vaccine candidate. The grant provides for up to S$9.3 million (approximately US$6.7 million) to support the development of the vaccine candidate. The grant is payable in two installments upon the achievement of certain milestones related to the progress of the development of the vaccine candidate. The Company received the first installment of approximately $3.6 million in the fourth quarter of 2020.</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November 2020, we announced a manufacturing support agreement with the EDB that includes a limited recourse loan of up to S$62.1 million, which was subsequently borrowed in full during January 2021 in an amount equivalent to $46.6 million. The manufacturing support agreement is described more fully below in the section titled “Other Material Agreements.”</w:t>
      </w:r>
    </w:p>
    <w:p>
      <w:pPr>
        <w:spacing w:after="0" w:line="7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February 2021, we entered into an exclusive license agreement with Alexion Pharmaceuticals, Inc. (“Alexion”) pursuant to which Alexion granted to us an exclusive, worldwide license to exploit certain specified Alexion patents. The exclusive license agreement is described more fully below in the section titled “Other Material Agreements.”</w:t>
      </w:r>
    </w:p>
    <w:p>
      <w:pPr>
        <w:spacing w:after="0" w:line="180" w:lineRule="exact"/>
        <w:rPr>
          <w:sz w:val="20"/>
          <w:szCs w:val="20"/>
          <w:color w:val="auto"/>
        </w:rPr>
      </w:pPr>
    </w:p>
    <w:p>
      <w:pPr>
        <w:ind w:right="5060"/>
        <w:spacing w:after="0" w:line="377" w:lineRule="auto"/>
        <w:rPr>
          <w:sz w:val="20"/>
          <w:szCs w:val="20"/>
          <w:color w:val="auto"/>
        </w:rPr>
      </w:pPr>
      <w:r>
        <w:rPr>
          <w:rFonts w:ascii="Arial" w:cs="Arial" w:eastAsia="Arial" w:hAnsi="Arial"/>
          <w:sz w:val="18"/>
          <w:szCs w:val="18"/>
          <w:b w:val="1"/>
          <w:bCs w:val="1"/>
          <w:color w:val="auto"/>
        </w:rPr>
        <w:t xml:space="preserve">Nucleic Acid Medicines and an Introduction to Arcturus’ Platform Technologies </w:t>
      </w:r>
      <w:r>
        <w:rPr>
          <w:rFonts w:ascii="Arial" w:cs="Arial" w:eastAsia="Arial" w:hAnsi="Arial"/>
          <w:sz w:val="18"/>
          <w:szCs w:val="18"/>
          <w:i w:val="1"/>
          <w:iCs w:val="1"/>
          <w:color w:val="auto"/>
        </w:rPr>
        <w:t>Nucleic Acid Medicines</w:t>
      </w:r>
    </w:p>
    <w:p>
      <w:pPr>
        <w:spacing w:after="0" w:line="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w:t>
      </w:r>
      <w:r>
        <w:rPr>
          <w:rFonts w:ascii="Arial" w:cs="Arial" w:eastAsia="Arial" w:hAnsi="Arial"/>
          <w:sz w:val="18"/>
          <w:szCs w:val="18"/>
          <w:i w:val="1"/>
          <w:iCs w:val="1"/>
          <w:color w:val="auto"/>
        </w:rPr>
        <w:t>in vivo</w:t>
      </w:r>
      <w:r>
        <w:rPr>
          <w:rFonts w:ascii="Arial" w:cs="Arial" w:eastAsia="Arial" w:hAnsi="Arial"/>
          <w:sz w:val="18"/>
          <w:szCs w:val="18"/>
          <w:color w:val="auto"/>
        </w:rPr>
        <w:t>. Within a cell, DNA carries the blueprint, in the form of genes, from which all proteins necessary for life are encoded. Each gene’s code is transcribed into a nucleic acid molecule called mRNA, which informs the cell’s own machinery how to organize amino acid building blocks to make one or more proteins needed for normal biological function.</w:t>
      </w:r>
    </w:p>
    <w:p>
      <w:pPr>
        <w:spacing w:after="0" w:line="8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These therapies have three general objectives:</w:t>
      </w:r>
    </w:p>
    <w:p>
      <w:pPr>
        <w:spacing w:after="0" w:line="62" w:lineRule="exact"/>
        <w:rPr>
          <w:sz w:val="20"/>
          <w:szCs w:val="20"/>
          <w:color w:val="auto"/>
        </w:rPr>
      </w:pPr>
    </w:p>
    <w:p>
      <w:pPr>
        <w:ind w:left="1160" w:right="68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w:t>
      </w:r>
    </w:p>
    <w:p>
      <w:pPr>
        <w:spacing w:after="0" w:line="62"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 and</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Brief Introduction to our LUNAR® and STARR™ Technology Platforms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LUNAR®</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A key challenge for nucleic acid medicines is the safe and effective delivery of the nucleic acid molecule. We have developed a novel lipid-mediated delivery system called LUNAR. LUNAR is a multi-component drug delivery system that incorporates a mixture of novel biodegradable lipids. Lipids are molecules that contain hydrocarbons and make up the building blocks of the structure and function of living cells. Examples of lipids include fats, oils, waxes, certain vitamins (such as A, D, E and K), hormones and most of the cell membrane that is not made up of protein. LUNAR is designed to address technical challenges facing the delivery of nucleic acid medicines into cells. We continue to expand our library of proprietary lipids, with over 200 to date. Our preclinical studies have shown that formulations can be customized for the indication and target cell type of interest, and we have also demonstrated that our formulation process is scalable and reproducible. Our LUNAR platform is described in more detail below.</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STARR™</w:t>
      </w:r>
    </w:p>
    <w:p>
      <w:pPr>
        <w:spacing w:after="0" w:line="11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Our STARR technology platform combines self-replicating RNA with our lipid-mediated delivery system, LUNAR, into a single solution to produce proteins inside the human body. The STARR technology has the potential to generate a protective immune response or drive therapeutic protein expression to potentially prevent against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 w:name="page7"/>
    <w:bookmarkEnd w:id="6"/>
    <w:p>
      <w:pPr>
        <w:ind w:right="200"/>
        <w:spacing w:after="0" w:line="301" w:lineRule="auto"/>
        <w:rPr>
          <w:sz w:val="20"/>
          <w:szCs w:val="20"/>
          <w:color w:val="auto"/>
        </w:rPr>
      </w:pPr>
      <w:r>
        <w:rPr>
          <w:rFonts w:ascii="Arial" w:cs="Arial" w:eastAsia="Arial" w:hAnsi="Arial"/>
          <w:sz w:val="16"/>
          <w:szCs w:val="16"/>
          <w:color w:val="auto"/>
        </w:rPr>
        <w:t>treat a variety of diseases. Self-replicating RNA-based prophylactic vaccines developed with STARR have the potential to trigger rapid and prolonged antigen expression within host cells resulting in protective immunity against infectious pathogens. We believe this combination of LUNAR and STARR technology may provide lower dose requirements due to superior immune response, sustained protein expression compared to non-self-replicating RNA-based vaccines and potentially enable us to produce vaccines more quickly and simply. Our STARR platform is described in more detail below.</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Our Development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Arcturus’ Internal Programs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154305</wp:posOffset>
            </wp:positionV>
            <wp:extent cx="5340350" cy="2023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035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Vaccines to Prevent Infectious Disease</w:t>
      </w:r>
    </w:p>
    <w:p>
      <w:pPr>
        <w:spacing w:after="0" w:line="117" w:lineRule="exact"/>
        <w:rPr>
          <w:sz w:val="20"/>
          <w:szCs w:val="20"/>
          <w:color w:val="auto"/>
        </w:rPr>
      </w:pPr>
    </w:p>
    <w:p>
      <w:pPr>
        <w:ind w:right="340" w:firstLine="589"/>
        <w:spacing w:after="0" w:line="257" w:lineRule="auto"/>
        <w:rPr>
          <w:sz w:val="20"/>
          <w:szCs w:val="20"/>
          <w:color w:val="auto"/>
        </w:rPr>
      </w:pPr>
      <w:r>
        <w:rPr>
          <w:rFonts w:ascii="Arial" w:cs="Arial" w:eastAsia="Arial" w:hAnsi="Arial"/>
          <w:sz w:val="18"/>
          <w:szCs w:val="18"/>
          <w:color w:val="auto"/>
        </w:rPr>
        <w:t>According to the National Foundation for Infectious Diseases in a typical year, over 50,000 people die each year due to vaccine-preventable diseases in the United States alone. According to the Centers for Disease Control and Prevention, influenza and pneumonia cases alone approach this number of deaths each year. With the SARS-CoV-2 pandemic, more than 500,000 US citizens have died of COVID alone. Outbreaks of new infectious diseases, and the rise of variants to existing viruses, create demand for new and novel approaches to producing vaccines in a more cost effective and quicker manner.</w:t>
      </w:r>
    </w:p>
    <w:p>
      <w:pPr>
        <w:spacing w:after="0" w:line="80"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The current pandemic has highlighted the efficacy, safety, and rapidity in which nucleic acid medicines can be used to vaccinate vulnerable populations. We are a leader in self-amplifying mRNA vaccine development. In 2020, we progressed the rapid development of a self-amplifying mRNA vaccine to the Coronavirus that showed favorable safety and immunogenicity in Phase 1/2 trials after a single dose and have begun dosing in a Phase 2 trial. Other pharmaceutical companies are clinically investigating self-amplifying mRNA SARS-CoV-2 vaccines as well, including GSK (Phase 1), and Pfizer (Phase 1). We have also expanded our vaccine program to include seasonal influenza with a goal of beginning safety and immunogenicity trials in humans during the 2021/2022 influenza season.</w:t>
      </w:r>
    </w:p>
    <w:p>
      <w:pPr>
        <w:spacing w:after="0" w:line="84"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Out internal programs include our LUNAR-COV19 and LUNAR-FLU vaccine programs as further described below. The recent coronavirus pandemic has proven that mRNA vaccines can be highly efficacious and nimble, allowing for adjustments in antigenic sequences in record time.</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ARCT-021 (LUNAR-COV19 Vaccine)</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Coronaviruses are a family of viruses that can lead to respiratory illness, including Middle East Respiratory Syndrome (MERS-CoV) and Severe Acute Respiratory Syndrome (SARS-CoV). Coronaviruses are transmitted between animals and people and can evolve into strains not previously identified in humans. On January 7, 2020, a novel coronavirus was identified as the cause of pneumonia cases in Wuhan City, Hubei Province of China. On February 11, 2020, the World Health Organization announced the official name for the disease caused by SARS-CoV-2 virus (2019 novel coronavirus outbreak) as coronavirus disease 2019, commonly abbreviated as COVID-19. The spread of COVID-19 has resulted in more than two million disease-related deaths across the globe.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 w:name="page8"/>
    <w:bookmarkEnd w:id="7"/>
    <w:p>
      <w:pPr>
        <w:ind w:right="40" w:firstLine="589"/>
        <w:spacing w:after="0" w:line="257" w:lineRule="auto"/>
        <w:rPr>
          <w:sz w:val="20"/>
          <w:szCs w:val="20"/>
          <w:color w:val="auto"/>
        </w:rPr>
      </w:pPr>
      <w:r>
        <w:rPr>
          <w:rFonts w:ascii="Arial" w:cs="Arial" w:eastAsia="Arial" w:hAnsi="Arial"/>
          <w:sz w:val="18"/>
          <w:szCs w:val="18"/>
          <w:color w:val="auto"/>
        </w:rPr>
        <w:t>Swift alert by health authorities and broad measures to contain the virus have not been entirely successful. The development of effective vaccines and swift implementation of vaccinations will be key in stopping the spread of the COVID-19 pandemic. Recent EUAs for COVID-19 vaccines from other companies have been backed by data from clinical trials supporting vaccine efficacy. Durability of COVID-19 vaccines, including capability to prevent disease covered by SARS-CoV-2 variants, is an important consideration. We expect both humoral and cellular immunogenicity to play a key role in providing durable and broad protection against COVID-19 and its variants.</w:t>
      </w:r>
    </w:p>
    <w:p>
      <w:pPr>
        <w:spacing w:after="0" w:line="80"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Our COVID-19 vaccine candidate, ARCT-021, developed in conjunction with Duke-NUS Medical School, is based on our STARR technology platform. The vaccine is designed to promote immune responses to the spike protein of the SARS-CoV-2 virus, which is the critical part of the virus that allows infection to occur.</w:t>
      </w:r>
    </w:p>
    <w:p>
      <w:pPr>
        <w:spacing w:after="0" w:line="76"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We have commenced dosing with the ARCT-021 candidate in three clinical trials: one first-in-human Phase 1/2 study (ARCT-021-01), one open label extension study to the same study (ARCT-021-02), and a Phase 2 study (ARCT-021-04).</w:t>
      </w:r>
    </w:p>
    <w:p>
      <w:pPr>
        <w:spacing w:after="0" w:line="62"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first of these studies (ARCT-021-01) was a randomized, blinded, placebo-controlled study exploring single and two-dose regimens of ARCT-021 (dose range: 1 to 10 µg ARCT-021 single dose, 3 to 5 µg ARCT-021 two dose) in younger and older healthy adults. This study enrolled participants in a series of cohorts based on participant age, intended ARCT-021 dose for study, and based on one or two-dose administrations. The study has completed enrollment of 106 participants, and some of these participants have transitioned to the ARCT-021-02 study, which is actively enrolling and is expected to complete in 2022. An interim analysis was perfomed based on unaudited data from the single dose cohorts and the 5µg two-dose older and younger adult cohorts. At the time of the analysis all included participants had completed at least 28 days after their last dose of study vaccine.</w:t>
      </w:r>
    </w:p>
    <w:p>
      <w:pPr>
        <w:spacing w:after="0" w:line="56"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interim analysis data from the ARCT-021-01 study were submitted to the Singaporean Health Science Authority (“HSA”) and the US FDA prior to approval to initiate enrollment in the Phase 2 study (ARCT-021-04).</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Key findings from the ARCT-021-01 interim analysis include: primarily mild-to-moderate adverse events following vaccination in younger and older adults, no vaccine-related serious adverse events, dose-related increases in binding antibody responses after single dose administration in younger and older adults at all doses evaluated, demonstration of neutralizing antibody responses after single dose administration in younger and older adults that fell within the range of titers from COVID-19 convalescent antibody responses measured on the same assay (PRNT50), and Th1- biased T cell activation following single dose administration in younger and older adults.</w:t>
      </w:r>
    </w:p>
    <w:p>
      <w:pPr>
        <w:spacing w:after="0" w:line="80"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The Phase 2 study (ARCT-021-04) is a randomized, placebo-controlled study designed to evaluate the safety and immunogenicity of three different dosing schedules in a broader population of healthy younger and older adults. The doses and schedules for additional exploration include: 5 µg ARCT-021, two dose regimen and 7.5 µg ARCT-021, as one- and two-dose regimens. We have dosed over 500 participants across the United States and Singapore.</w:t>
      </w:r>
    </w:p>
    <w:p>
      <w:pPr>
        <w:spacing w:after="0" w:line="4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 next planned clinical study is the Phase 3, placebo-controlled efficacy study of ARCT-021 (ARCT-021-05). We are presently preparing to advance with a 5 µg single dose regimen, to be confirmed based on pending Phase 2 data. We expect that this study will initiate enrollment in Q2 2021 and will be executed in several countries with significant SARS-CoV-2 outbreaks. Based on study recruitment and occurrence of COVID-19 cases in enrolled participants, we expect data establishing vaccine efficacy to prevent COVID-19 to be available in the latter part of 2021 and expect to analyze and submit an application seeking an EUA in one or more jurisdictions based on this data. We plan for the study to continue execution into 2022, at which point we expect to use the data to seek full licensure of the ARCT-021 study.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Preclinical Challenge Studies</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i w:val="1"/>
          <w:iCs w:val="1"/>
          <w:u w:val="single" w:color="auto"/>
          <w:color w:val="auto"/>
        </w:rPr>
        <w:t>ARCT-021 Significantly Effective in Challenge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151765</wp:posOffset>
            </wp:positionV>
            <wp:extent cx="2614295" cy="2160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429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00" w:firstLine="589"/>
        <w:spacing w:after="0" w:line="308" w:lineRule="auto"/>
        <w:rPr>
          <w:sz w:val="20"/>
          <w:szCs w:val="20"/>
          <w:color w:val="auto"/>
        </w:rPr>
      </w:pPr>
      <w:r>
        <w:rPr>
          <w:rFonts w:ascii="Arial" w:cs="Arial" w:eastAsia="Arial" w:hAnsi="Arial"/>
          <w:sz w:val="17"/>
          <w:szCs w:val="17"/>
          <w:color w:val="auto"/>
        </w:rPr>
        <w:t>ARCT-021 was shown to be significantly effective in a virus challenge study in the human ACE2 transgenic mouse model. The single dose provided complete protection from SARS-CoV-2 infection and death, compared to control mice which experienced 100% mortality.</w:t>
      </w:r>
    </w:p>
    <w:p>
      <w:pPr>
        <w:spacing w:after="0" w:line="3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Transgenic mice expressing a human ACE2 receptor received a single vaccination of either 2 µg or 10 µg of ARCT-021 RNA. Mice were challenged with a lethal dose of SARS-CoV-2 clinical isolate 28 days after vaccination. 100% of vaccinated by at both doses survived for at least 14 days after challenge whereas unvaccinated mice died by day 7. The vaccinated mice showed absolutely no clinical signs up to day 14 post challenge which was the study termination date.</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ind w:firstLine="589"/>
        <w:spacing w:after="0" w:line="273" w:lineRule="auto"/>
        <w:rPr>
          <w:sz w:val="20"/>
          <w:szCs w:val="20"/>
          <w:color w:val="auto"/>
        </w:rPr>
      </w:pPr>
      <w:r>
        <w:rPr>
          <w:rFonts w:ascii="Arial" w:cs="Arial" w:eastAsia="Arial" w:hAnsi="Arial"/>
          <w:sz w:val="17"/>
          <w:szCs w:val="17"/>
          <w:color w:val="auto"/>
        </w:rPr>
        <w:t>In September 2020, a rhesus macaque immunogenicity and a SARS-CoV-2 virus challenge study sponsored by the National Institutes of Health (“NIH”) and the National Institute of Allergy and Infectious Diseases was initiated. Non-human primates were immunized with either a single injection of 20 µg or 40 µg RNA dose, or two injections of a 5 µg or 20 µg RNA dose administered 28 days apart, and challenged with SARS-CoV-2 virus 42 days post single vaccination and 14 days post boost vaccination. A single vaccination of 20 µg RNA dose yielded a &gt;1,000 fold reduction in virus in the lungs. Two injections of 5 µg reduced virus infection by &gt;5,000 fold and virus was undetectable in non-human primates after two injections of 20 µg RNA. The amount of virus in the lungs from bronchioalveolar lavage vs. RNA dose is shown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results showed that a single administration of ARCT-021 was significantly effective in the primate model (macaque); vaccinated macaques show substantial (3.30 log lower) reduction in median lung viral titers.</w:t>
      </w:r>
    </w:p>
    <w:p>
      <w:pPr>
        <w:spacing w:after="0" w:line="200" w:lineRule="exact"/>
        <w:rPr>
          <w:sz w:val="20"/>
          <w:szCs w:val="20"/>
          <w:color w:val="auto"/>
        </w:rPr>
      </w:pPr>
    </w:p>
    <w:p>
      <w:pPr>
        <w:spacing w:after="0" w:line="294"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T Lymphocyte Mediated Immunity Is the Major Contributor to Protective Immunity Against Virus Challenge in Transgenic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159385</wp:posOffset>
            </wp:positionV>
            <wp:extent cx="3728720" cy="2459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2872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10" w:name="page11"/>
    <w:bookmarkEnd w:id="10"/>
    <w:p>
      <w:pPr>
        <w:ind w:right="20" w:firstLine="589"/>
        <w:spacing w:after="0" w:line="293" w:lineRule="auto"/>
        <w:rPr>
          <w:sz w:val="20"/>
          <w:szCs w:val="20"/>
          <w:color w:val="auto"/>
        </w:rPr>
      </w:pPr>
      <w:r>
        <w:rPr>
          <w:rFonts w:ascii="Arial" w:cs="Arial" w:eastAsia="Arial" w:hAnsi="Arial"/>
          <w:sz w:val="16"/>
          <w:szCs w:val="16"/>
          <w:color w:val="auto"/>
        </w:rPr>
        <w:t>Human ACE2 receptor transgenic mice were vaccinated with a single 1 µg dose and challenged with sublethal virus load 21 days post vaccination. In one treatment group, B lymphocytes, responsible for producing virus neutralizing antibodies, were depleted three days prior to vaccination. In a second group, T lymphocytes, responsible for killing cells infected with virus, were depleted three days prior to virus challenge. In a third group, B cells were depleted 3 days prior to vaccination and T cells were depleted three days prior to virus challenge. The above figure shows that no virus was detected in the lungs of mice depeted of B cells, marked as 100%, whereas mice depleted of T cells had an equivalent amount of virus as mice with depleted B cells and T cells, demonstrating that ARCT-021 induced cell mediated immunity plays a major role in conveying protective immunity against SARS-CoV-2 infection.</w:t>
      </w:r>
    </w:p>
    <w:p>
      <w:pPr>
        <w:spacing w:after="0" w:line="56"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 xml:space="preserve">Studies have shown T cells to be more durable (approximately six times longer-lasting) than antibodies (Bert, et al. </w:t>
      </w:r>
      <w:r>
        <w:rPr>
          <w:rFonts w:ascii="Arial" w:cs="Arial" w:eastAsia="Arial" w:hAnsi="Arial"/>
          <w:sz w:val="17"/>
          <w:szCs w:val="17"/>
          <w:i w:val="1"/>
          <w:iCs w:val="1"/>
          <w:color w:val="auto"/>
        </w:rPr>
        <w:t>Nature</w:t>
      </w:r>
      <w:r>
        <w:rPr>
          <w:rFonts w:ascii="Arial" w:cs="Arial" w:eastAsia="Arial" w:hAnsi="Arial"/>
          <w:sz w:val="17"/>
          <w:szCs w:val="17"/>
          <w:color w:val="auto"/>
        </w:rPr>
        <w:t>, 2020). In another study performed by Public Health England, T cell counts of thousands of frontline workers were monitored for four months. High T cell activities significantly correlated (</w:t>
      </w:r>
      <w:r>
        <w:rPr>
          <w:rFonts w:ascii="Arial" w:cs="Arial" w:eastAsia="Arial" w:hAnsi="Arial"/>
          <w:sz w:val="17"/>
          <w:szCs w:val="17"/>
          <w:i w:val="1"/>
          <w:iCs w:val="1"/>
          <w:color w:val="auto"/>
        </w:rPr>
        <w:t>p</w:t>
      </w:r>
      <w:r>
        <w:rPr>
          <w:rFonts w:ascii="Arial" w:cs="Arial" w:eastAsia="Arial" w:hAnsi="Arial"/>
          <w:sz w:val="17"/>
          <w:szCs w:val="17"/>
          <w:color w:val="auto"/>
        </w:rPr>
        <w:t xml:space="preserve"> =0.0006) with protection from COVID-19 infection even when no antibodies against SARS-CoV-2 could be detected.</w:t>
      </w:r>
    </w:p>
    <w:p>
      <w:pPr>
        <w:spacing w:after="0" w:line="5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mRNA platforms have the advantage of being able to more nimbly adapt to new viral strains. We are closely evaluating COVID-19 variants, especially those strains that appear to evade the neutralizing antibodies to the original Wuhan strain such as the South African variant (B.1.351). A study in non-human primates conducted by Dan Barouch (et al) of Harvard Medical School found that T-cell responses are important for COVID-19 vaccines, and in particular for strains that evade the neutralizing antibodies to the original Wuhan strain. As shown above, ARCT-021 has shown robust cellular immunity, and we will gain a better understanding of ARCT-021’s coverage of COVID-19 variants as we continue to collect clinical data.</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LUNAR-FLU</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Influenza is estimated to cause one billion infections globally every year and hundreds of thousands of deaths, especially in the elderly and individuals with underlying medical conditions. In many regions, influenza is seasonal, with infections peaking during November through April in the Northern Hemisphere and May through September in the Southern Hemisphere. Year-round surveillance by the World Health Organization in collaboration with various national health agencies informs WHO recommendations on the strains of influenza most likely to spread during the upcoming influenza season. National health agencies (such as the U.S. Food and Drug Administration (“FDA”)) then make the final decision of which strains should be covered by vaccines licensed in their country.</w:t>
      </w:r>
    </w:p>
    <w:p>
      <w:pPr>
        <w:spacing w:after="0" w:line="8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Our LUNAR-FLU program has the objective of producing a safe and effective seasonal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w:t>
      </w:r>
    </w:p>
    <w:p>
      <w:pPr>
        <w:spacing w:after="0" w:line="7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believe the ability of mRNA platforms to nimbly adapt to new viral strains should help improve efficacy. Also, mRNA vaccines do not face the challenge from mutations common to egg-grown vaccines.</w:t>
      </w:r>
    </w:p>
    <w:p>
      <w:pPr>
        <w:spacing w:after="0" w:line="62" w:lineRule="exact"/>
        <w:rPr>
          <w:sz w:val="20"/>
          <w:szCs w:val="20"/>
          <w:color w:val="auto"/>
        </w:rPr>
      </w:pPr>
    </w:p>
    <w:p>
      <w:pPr>
        <w:ind w:right="1020" w:firstLine="589"/>
        <w:spacing w:after="0" w:line="375" w:lineRule="auto"/>
        <w:rPr>
          <w:sz w:val="20"/>
          <w:szCs w:val="20"/>
          <w:color w:val="auto"/>
        </w:rPr>
      </w:pPr>
      <w:r>
        <w:rPr>
          <w:rFonts w:ascii="Arial" w:cs="Arial" w:eastAsia="Arial" w:hAnsi="Arial"/>
          <w:sz w:val="18"/>
          <w:szCs w:val="18"/>
          <w:color w:val="auto"/>
        </w:rPr>
        <w:t xml:space="preserve">LUNAR-FLU candidates will be evaluated preclinically in 2021 to support the goal of IND/CTA submission in the first half of 2022. </w:t>
      </w:r>
      <w:r>
        <w:rPr>
          <w:rFonts w:ascii="Arial" w:cs="Arial" w:eastAsia="Arial" w:hAnsi="Arial"/>
          <w:sz w:val="18"/>
          <w:szCs w:val="18"/>
          <w:i w:val="1"/>
          <w:iCs w:val="1"/>
          <w:color w:val="auto"/>
        </w:rPr>
        <w:t>Rare Disease Medicines in Development</w:t>
      </w:r>
    </w:p>
    <w:p>
      <w:pPr>
        <w:spacing w:after="0" w:line="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Orphan Drug Act defines a rare disease as a disease or condition affecting fewer than 200,000 individuals in the United States. According to the NIH, there are approximately 7,000 such diseases, that together affect nearly 30 million people in the United States. The European Union defines a rare disease as having a prevalence of fewer than 5 in 10,000 people. Collectively, these disorders affect between six and seven percent of the population in the developed world.</w:t>
      </w:r>
    </w:p>
    <w:p>
      <w:pPr>
        <w:spacing w:after="0" w:line="79"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There is a pressing need for new medicines for rare diseases as few of the 7,000 rare diseases have approved treatments. Biopharmaceutical industry researchers are making great progress in the fight against rare diseases as innovative science has opened new opportunities. There have been incredible advances in the development of medicines to treat patients with rare diseases as researchers uncover the molecular and genomic drivers of many conditions. More than 770 medicines have been approved by the FDA since the enactment of the Orphan Drug Act in 1983 and more than 800 medicines are currently in clinical development. Despite recent progress, there is still much more work to be done.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ind w:right="380" w:firstLine="589"/>
        <w:spacing w:after="0" w:line="263" w:lineRule="auto"/>
        <w:rPr>
          <w:sz w:val="20"/>
          <w:szCs w:val="20"/>
          <w:color w:val="auto"/>
        </w:rPr>
      </w:pPr>
      <w:r>
        <w:rPr>
          <w:rFonts w:ascii="Arial" w:cs="Arial" w:eastAsia="Arial" w:hAnsi="Arial"/>
          <w:sz w:val="18"/>
          <w:szCs w:val="18"/>
          <w:color w:val="auto"/>
        </w:rPr>
        <w:t>Developing medicines to treat rare diseases presents scientific and operational challenges. We believe our technology provides an excellent platform to address genetically inherited rare diseases, and we are focusing on development of medicines to treat people with rare respiratory and liver diseases who currently have limited or no treatment options.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ARCT-810 (LUNAR-OTC)</w:t>
      </w:r>
    </w:p>
    <w:p>
      <w:pPr>
        <w:spacing w:after="0" w:line="12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LUNAR-OTC development program addresses ornithine transcarbamylase (“OTC”) deficiency, a rare, genetic disease caused by mutations in the OTC gene that lead to dysfunctional or deficient OTC levels.</w:t>
      </w:r>
    </w:p>
    <w:p>
      <w:pPr>
        <w:spacing w:after="0" w:line="62"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OTC deficiency causes the body to accumulate ammonia, which is neurotoxic and harmful to the liver. OTC deficiency is the most common of the urea cycle disorders, a group of inherited metabolic disorders that make it difficult for affected patients to remove toxic waste products as proteins are broken down.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High ammonia levels in the blood can cause severe symptoms including vomiting, headaches, coma and death. OTC deficiency is an inherited disease that can cause developmental problems, seizures and death in newborn babies. It is an X-linked disorder, and consequently more common in males. Patients with less severe symptoms may present later in life, as adults. Currently no cure exists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dietary supplements and ammonia scavengers to try and prevent accumulation of ammonia. Life-threatening episodes of high ammonia levels can occur, requiring treatment with dialysis or hemofiltration. These treatments do not address the underlying cause of disease and there remains a high unmet need for an effective treatment.</w:t>
      </w:r>
    </w:p>
    <w:p>
      <w:pPr>
        <w:spacing w:after="0" w:line="6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LUNAR-OTC development candidate, ARCT-810, uses our LUNAR platform to deliver normal OTC mRNA into liver cells, where OTC is produced and functions, to produce normal functioning OTC with possible disease-modifying effects. Our LUNAR-OTC approach has the potential to treat the underlying defect that causes the debilitating symptoms of OTC deficiency, rather than mitigating symptoms by sequestering ammonia. LUNAR-OTC has received orphan drug designation from the FDA for treatment of OTC deficiency. Worldwide development and commercialization rights to ARCT-810 are entirely held by Arcturus.</w:t>
      </w:r>
    </w:p>
    <w:p>
      <w:pPr>
        <w:spacing w:after="0" w:line="80" w:lineRule="exact"/>
        <w:rPr>
          <w:sz w:val="20"/>
          <w:szCs w:val="20"/>
          <w:color w:val="auto"/>
        </w:rPr>
      </w:pPr>
    </w:p>
    <w:p>
      <w:pPr>
        <w:jc w:val="both"/>
        <w:ind w:right="160" w:firstLine="589"/>
        <w:spacing w:after="0" w:line="279" w:lineRule="auto"/>
        <w:rPr>
          <w:sz w:val="20"/>
          <w:szCs w:val="20"/>
          <w:color w:val="auto"/>
        </w:rPr>
      </w:pPr>
      <w:r>
        <w:rPr>
          <w:rFonts w:ascii="Arial" w:cs="Arial" w:eastAsia="Arial" w:hAnsi="Arial"/>
          <w:sz w:val="17"/>
          <w:szCs w:val="17"/>
          <w:color w:val="auto"/>
        </w:rPr>
        <w:t>Preclinical data in OTC deficiency murine models has demonstrated that dosing of LUNAR-OTC results in robust OTC protein expression and activity, thereby improving ureagenesis, reducing plasma ammonia and increasing survival. We submitted an IND application to the FDA for a Phase 1b study in patients with OTC deficiency, and an additional CTA for a Phase 1 study in healthy volunteers was approved by the New Zealand Medicines and Medical Devices Safety Authority. In April 2020, we announced that we were deemed allowed to proceed with the studies.</w:t>
      </w:r>
    </w:p>
    <w:p>
      <w:pPr>
        <w:spacing w:after="0" w:line="63"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In November 2020, the last dose cohort completed the Phase 1, double-blind, placebo-controlled, single-dose, dose-escalation study of ARCT-810 in healthy volunteers. In this study, ARCT-810 demonstrated favorable safety, tolerability and PK profiles.</w:t>
      </w:r>
    </w:p>
    <w:p>
      <w:pPr>
        <w:spacing w:after="0" w:line="62"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A Phase 1b study in OTC-deficient patients in the United States opened for enrollment, with dosing initiated in the first subject in December 2020. The trial will enroll approximately 12 patients and is designed to assess safety, tolerability and pharmacokinetics, as well as various exploratory biomarkers of drug activity. The trial currently consists of nine sites in the United States. We have received approval from Health Canada to conduct the trial in Canada and are working with sites in Canada in preparation for enrollment. We intend to commence a Phase 2 multiple-dose study of ARCT-810 in OTC-deficient patients in mid-2021.</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ARCT-032 (LUNAR-CF)</w:t>
      </w:r>
    </w:p>
    <w:p>
      <w:pPr>
        <w:spacing w:after="0" w:line="12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LUNAR-CF program addresses cystic fibrosis lung disease, a progressive lung disease caused by mutations in the cystic fibrosis transmembrane conductance regulator (“CFTR”) gene. In December 2020, we announced the selection and advancement of ARCT-032 as a development candidate for treatment of cystic fibrosis. ARCT-032 uses our LUNAR platform to deliver codon-optimized CFTR mRNA into airway epithelial cells. This allows airway cells to produce functional CFTR protein using their native translational machinery and protein trafficking pathways. This approach has the potential to treat the underlying defect that causes CF lung disease,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ind w:right="100"/>
        <w:spacing w:after="0" w:line="301" w:lineRule="auto"/>
        <w:rPr>
          <w:sz w:val="20"/>
          <w:szCs w:val="20"/>
          <w:color w:val="auto"/>
        </w:rPr>
      </w:pPr>
      <w:r>
        <w:rPr>
          <w:rFonts w:ascii="Arial" w:cs="Arial" w:eastAsia="Arial" w:hAnsi="Arial"/>
          <w:sz w:val="16"/>
          <w:szCs w:val="16"/>
          <w:color w:val="auto"/>
        </w:rPr>
        <w:t>regardless of what mutation type a patient has. The Cystic Fibrosis Foundation (“CFF”) has recognized the potential of the LUNAR-CF program and has partnered with us to develop this important therapy. ARCT-032 represents the first LUNAR-based mRNA therapeutic that will be delivered by the inhaled route, offering direct delivery to the affected airways with the potential to restore functional CFTR. We received encouraging pre-IND feedback on our proposed non-clinical and clinical development program in January 2021. We anticipate filing a CTA for a first in human study in Q4 2021.</w:t>
      </w:r>
    </w:p>
    <w:p>
      <w:pPr>
        <w:spacing w:after="0" w:line="4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According to the NIH, cystic fibrosis is the most common rare disease in the world, with an estimated 30,000 diagnosed cases in the United States and 85,000 worldwide. Approximately 1,000 people are newly-diagnosed with cystic fibrosis each year. Cystic fibrosis is caused by one of 2,000 known mutations in the CFTR gene, which have been grouped into several different classes based on the mechanism of how they cause reduction in the production and/or function of the CFTR protein.</w:t>
      </w:r>
    </w:p>
    <w:p>
      <w:pPr>
        <w:spacing w:after="0" w:line="79"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The CFTR protein is a cAMP-activated transmembrane protein that controls chloride and bicarbonate flow and is critical for lung homeostasis. When CFTR is not present in the membrane or does not function properly, there is a deficit in the release of chloride and bicarbonate anions into the airways, and an associated increase of sodium uptake by the cells, thus dehydrating the airway surfaces and causing accumulation of a thick mucus layer. This mucus causes clogging of the airways, a negative impact on breathing quality, and decreases the clearance of pathogens which accumulate in the airways, causing chronic infections, exaggerated inflammation, structural airway damage, and other serious complications not only related to the lung but to other organs such as pancreas and liver. The median lifespan of CF patients in the United States is &lt;40 years, and the cause of death is usually lung-related.</w:t>
      </w:r>
    </w:p>
    <w:p>
      <w:pPr>
        <w:spacing w:after="0" w:line="87"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The daily standard-of-care for CF lung disease includes palliative treatments meant to treat existing lung disease and prevent the progression of the disease. These treatments include aerosolized mucolytics, antibiotics, and airway clearance techniques that are time-consuming and represent a significant treatment burden for people with CF. Many CF patients ultimately suffer from a critical decline in lung function and require lung transplants.</w:t>
      </w:r>
    </w:p>
    <w:p>
      <w:pPr>
        <w:spacing w:after="0" w:line="41"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The FDA has approved several CFTR modulator therapies (Kalydeco, Orkambi, Symdeko, and Trikafta) that assist the mutant CFTR protein to reach the cell membrane and/or increase functional ion channel activity. The CFTR modulators, while effective in some patients, are mutation-specific and therefore are not effective in all people with CF. Other treatments are required to target Class I mutations (no CFTR produced; approximately 10% of CF cases worldwide), and people who are intolerant or have poor response to CFTR modulator therapies. We are focusing our LUNAR-CF program on these groups of patients, as they currently have the highest unmet need for CF therapies.</w:t>
      </w:r>
    </w:p>
    <w:p>
      <w:pPr>
        <w:spacing w:after="0" w:line="68"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presented data that demonstrated the significant potential for LUNAR-CF as a disease-modifying treatment at The American Society for Gene and Cell Therapy Conference in May 2020, and the North American Cystic Fibrosis Conference in October 2020. The data presented demonstrated that (i) aerosolized LUNAR-mRNA formulation properties are optimal for lung therapeutics, (ii) codon optimized mRNAs produce a functional protein that can generate chloride channel activity in FRT cells, and can also restore chloride channel activity (measured by nasal potential difference) in a Class I CFTR-knockout mouse model, and (iii) aerosolized LUNAR can efficiently deliver mRNA to epithelial airways across species, including rodents and non-rodents (ferrets, non-human primates). Taken together, these data demonstrate the proof of principle to validate LUNAR-CF, as we continue investigating various aspects of LUNAR-CF in several disease models of CF.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u w:val="single" w:color="auto"/>
          <w:color w:val="auto"/>
        </w:rPr>
        <w:t>LUNAR construct with mRNA of CRE protein efficiently transduces epithelial airways in a non-rodent model (Ferret)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151765</wp:posOffset>
            </wp:positionV>
            <wp:extent cx="2785745" cy="1731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8574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ferret, a 0.6 mg/ml dose of a LUNAR construct loaded with mRNA of the CRE protein was delivered to the airways of the ROSA26TG model. Upon CRE-recombination, a robust conversion of the TdTomato (red) into EGFP (green) was observed by immunohistochemistry analysis of the ferret lungs. Panels A and B show large and small airways, respectively. Boxed area in EGFP (green) images show high magnification of the highly efficient delivery into ferret airways. DAPI is shown as counterstaining.</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Aerosolized LUNAR construct with Tdtomato mRNA efficiently delivers to epithelial airways in Non-human Primates (NPHs)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NHP, a 1 mg/ml dose of a LUNAR construct loaded with TdTomato mRNA was aerosolized using a face mask exposure system. A robust expression of TdTomato protein was observed by immunohistochemistry analysis of the NHP lungs. The panel shows detailed TdTomato staining in bronchial epithelial cells across different lung levels.</w:t>
      </w:r>
    </w:p>
    <w:p>
      <w:pPr>
        <w:spacing w:after="0" w:line="40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200" w:top="341" w:right="5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Platform Technology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Technologies and Limitations</w:t>
      </w:r>
    </w:p>
    <w:p>
      <w:pPr>
        <w:spacing w:after="0" w:line="11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mRNA therapeutics offer an attractive promise that other RNA medicines cannot provide – to increase the production of a protein in the body that is either defective or expressed at low levels to improve symptoms of a genetic disease without interacting with the patient’s genetic code. The promise of mRNA therapies is only beginning to be realized with the approval of the first two mRNA vaccine therapies in 2020. Developers of mRNA therapies should strive to improve ways to address the following hurdles:</w:t>
      </w:r>
    </w:p>
    <w:p>
      <w:pPr>
        <w:spacing w:after="0" w:line="79" w:lineRule="exact"/>
        <w:rPr>
          <w:sz w:val="20"/>
          <w:szCs w:val="20"/>
          <w:color w:val="auto"/>
        </w:rPr>
      </w:pPr>
    </w:p>
    <w:p>
      <w:pPr>
        <w:ind w:left="1160" w:right="14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of an intact mRNA, which is much larger than other RNA drugs (e.g., small interfering RNA, siRNA) to the target organ and cell type needed for a therapeutic effect;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inefficient translation into the therapeutic protein;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 duration of effect of the mRNA medicine;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tolerability issues associated with therapeutic RNAs.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first-generation lipid nanoparticle technology used to deliver mRNA therapeutics is also limited by their propensity to cause immune responses. This decreases the tolerability of the medicine. Many of these delivery systems biodegrade slowly, which causes accumulation of these lipids in cells upon repeat dosing. Each of these aspects of current lipid nanoparticle delivery systems is expected to ultimately limit the utility and therapeutic reach of the RNA therapies they deliver.</w:t>
      </w:r>
    </w:p>
    <w:p>
      <w:pPr>
        <w:spacing w:after="0" w:line="79"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Arcturus aims to mitigate the immune response and tolerability issues associated with the LNP mRNA delivery with the development of both less immunogenic mRNAs and more rapidly biodegradable lipids. The Company has developed processes for the scale up of LNP-mRNA therapeutics to support clinical development. As described below, Arcturus’ lipid-mediated delivery platform is designed to address many of the technical issues encountered to date for this very promising area of RNA medicines.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Delivery Solutions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Our LUNAR lipid-mediated delivery technology includes a diverse, growing library of over 200 proprietary lipids that we are rationally designing to be versatile, maximizing potential efficacy and improving tolerability of a diverse selection of nucleic acids, target cell types and routes of administration. A key feature of our LUNAR lipids is their biodegradability, decreasing the undesired effects caused by lipid accumulation that are associated with tolerability issues present in other lipid-mediated RNA medicine delivery platforms. Our experienced team continues to innovate in the area of producing LUNAR lipid formulated nucleic acid product candidates in a scalable and highly reproducible manner, reducing the costs of goods for the therapies in our pipeline.</w:t>
      </w:r>
    </w:p>
    <w:p>
      <w:pPr>
        <w:spacing w:after="0" w:line="84"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76"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has led to key innovations ensuring optimal characteristics of our LUNAR formulated drug product candidates are attained, which we believe sets us apart from other nucleic acid therapeutics and lipid-mediated delivery platforms. As such, we consider ourselves a leader in systemically administered mRNA therapeutics.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Attributes of Our LUNAR Lipid-Mediated Delivery Technology</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 See below for a graphic representation of our LUNAR formulation, where blue spheres represent polyethylene glycol lipids and the orange, darker orange, and yellow spheres represent the proprietary “ATX” lipid excipient and other structural components (phospholipid and cholesterol).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i w:val="1"/>
          <w:iCs w:val="1"/>
          <w:u w:val="single" w:color="auto"/>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151765</wp:posOffset>
            </wp:positionV>
            <wp:extent cx="1448435" cy="1354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843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 facilitating interaction with the negatively charged nucleic acid, thereby enabling LUNAR particle formation. At physiological pH (e.g., pH 7.4), LUNAR formulations are neutrally charged, reducing the toxicity often seen with permanently positively-charged lipid-mediated delivery technology. Upon uptake into a cell by endocytosis (a process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5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rapidly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Biodegradable, highly optimized for each cell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151765</wp:posOffset>
            </wp:positionV>
            <wp:extent cx="4037330" cy="1329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733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LUNAR-platform development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development of its LUNAR platform is focused on continuous innovation and advancement in the following areas:</w:t>
      </w:r>
    </w:p>
    <w:p>
      <w:pPr>
        <w:spacing w:after="0" w:line="117" w:lineRule="exact"/>
        <w:rPr>
          <w:sz w:val="20"/>
          <w:szCs w:val="20"/>
          <w:color w:val="auto"/>
        </w:rPr>
      </w:pPr>
    </w:p>
    <w:p>
      <w:pPr>
        <w:ind w:left="1160" w:right="10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and incorporate novel ATX lipids and formulations to enrich our library of proprietary ATX lipids for target cell/tissue specificity, improved tolerability and translatability to larger species;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 and improvise manufacturing processes for LUNAR formulations to ensure RNA encapsulation across compositions and scales;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stabilization strategies (e.g. lyophilized presentation) for LUNAR formulation to mitigate frozen storage;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6" w:name="page17"/>
    <w:bookmarkEnd w:id="16"/>
    <w:p>
      <w:pPr>
        <w:ind w:right="1080" w:firstLine="588"/>
        <w:spacing w:after="0" w:line="277" w:lineRule="auto"/>
        <w:tabs>
          <w:tab w:leader="none" w:pos="116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Continually assess and improvise LUNAR screening funnel to enable rigorous selection of ATX lipids for various programs. Through the above efforts, our versatile LUNAR platform continues to drive internal and partner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compatibility with nucleic acids of various size</w:t>
      </w:r>
    </w:p>
    <w:p>
      <w:pPr>
        <w:spacing w:after="0" w:line="117" w:lineRule="exact"/>
        <w:rPr>
          <w:sz w:val="20"/>
          <w:szCs w:val="20"/>
          <w:color w:val="auto"/>
        </w:rPr>
      </w:pPr>
    </w:p>
    <w:p>
      <w:pPr>
        <w:ind w:right="260" w:firstLine="589"/>
        <w:spacing w:after="0" w:line="296" w:lineRule="auto"/>
        <w:rPr>
          <w:sz w:val="20"/>
          <w:szCs w:val="20"/>
          <w:color w:val="auto"/>
        </w:rPr>
      </w:pPr>
      <w:r>
        <w:rPr>
          <w:rFonts w:ascii="Arial" w:cs="Arial" w:eastAsia="Arial" w:hAnsi="Arial"/>
          <w:sz w:val="16"/>
          <w:szCs w:val="16"/>
          <w:color w:val="auto"/>
        </w:rPr>
        <w:t>We have generated a growing library of over 200 proprietary ATX lipids. ATX lipids are rationally designed to fit the application and vary depending on the target cell type and route of administration. We perform extensive formulation screening for each nucleic acid therapeutic candidate to determine the optimal ATX lipid and LUNAR composition for the particular nucleic acid therapeutic candidate, the desired route of administration and target cell type. We have demonstrated high encapsulating efficiency when formulating a wide range of nucleic acid sizes, 20 to 12,000 nucleotides in length (figure below, left), and particle size was within the acceptable range to maximize targeting and efficacy (figure below,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111760</wp:posOffset>
            </wp:positionV>
            <wp:extent cx="5340350" cy="1654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035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Biodegradability</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 xml:space="preserve">Although all ATX lipids are designed with biodegradable ester bonds in their backbone, one of the key platform learnings is the understanding of the relationship between positioning of these ester bonds and their clearance profile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assays are utilized in our LUNAR screening cascade to enable ranking of ATX lipids based on their esterase susceptibility. These new assays have enabled a more rigorous selection of ATX lipids. New ATX lipids with optimal biodegradability and potency continue to be identified and further characterized for potential application to upcoming therapeutic and vaccines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128270</wp:posOffset>
            </wp:positionV>
            <wp:extent cx="5340350" cy="2177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03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 Scalability and Reproducibility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ind w:right="500" w:firstLine="589"/>
        <w:spacing w:after="0" w:line="277" w:lineRule="auto"/>
        <w:rPr>
          <w:sz w:val="20"/>
          <w:szCs w:val="20"/>
          <w:color w:val="auto"/>
        </w:rPr>
      </w:pPr>
      <w:r>
        <w:rPr>
          <w:rFonts w:ascii="Arial" w:cs="Arial" w:eastAsia="Arial" w:hAnsi="Arial"/>
          <w:sz w:val="18"/>
          <w:szCs w:val="18"/>
          <w:color w:val="auto"/>
        </w:rPr>
        <w:t>We have demonstrated scalability and reproducibility of LUNAR. Multiple non-GMP and GMP batches of mRNA drug substance have been successfully produced from 0.5 to 30 gram scales with equivalent yield and purity.</w:t>
      </w:r>
    </w:p>
    <w:p>
      <w:pPr>
        <w:spacing w:after="0" w:line="6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Additionally, we have demonstrated scalability of our LUNAR-mRNA platform from milligram to multigram scales. LUNAR-mRNA batches have been successfully produced at scales from 0.1 to 15 grams while retaining key physicochemical attributes of particles.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Lyophilization Process Advantages Over Conventional Frozen Liquid</w:t>
      </w:r>
    </w:p>
    <w:p>
      <w:pPr>
        <w:spacing w:after="0" w:line="117"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We have engaged in focused efforts to develop lyophilized LUNAR formulations, in order to mitigate challenges associated with cold chain logistics of a -70°C frozen product. A lyophilized product allows for simpler handling, such as no dry ice at point of care and lower risk of degradation from uncontrolled temperature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125730</wp:posOffset>
            </wp:positionV>
            <wp:extent cx="5340350" cy="2177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03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results of these efforts have yielded a lyophilized version of ARCT-021 that maintains key quality attributes of the frozen liquid equivalent. We are collecting stability data at -20°C, 2-8°C, and room temperature.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Targeting Capabilities</w:t>
      </w:r>
    </w:p>
    <w:p>
      <w:pPr>
        <w:spacing w:after="0" w:line="11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As proof of concept for augmenting LUNAR targeting capabilities for specific tissues and even cell types within those tissues, we are developing LUNAR formulations containing a propriety hepatocyte targeting agent. Traditional lipid nanoparticle mediated delivery to hepatocytes occurs via uptake via the low-density lipoprotein receptor (“LDLR”). To evaluate this targeting agent, we ran studies in a mouse model that is LDLR deficient. Only the LUNAR formulations with this targeting agent were able to deliver mRNA to the hepatocytes, as compared to LUNAR formulations that did not contain the targeting agent. Based on this promising data, we are expanding these platform development efforts.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Proprietary mRNA and Protein Design Technology</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mRNA programs in our pipeline are benefited by our in-house expertise in protein and mRNA design, which helps us address many of the known challenges that face the viability of mRNA therapeutics today. We have identified several design elements of mRNA compounds that provide improved translation (conversion from mRNA to protein) of our mRNA therapeutics, including untranslated regions derived from species that have not previously been combined with human mRNA sequences. This platform technology is applicable to many different human mRNA sequences that we are currently approaching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spacing w:after="0" w:line="69"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of a drug substance through optimization of mRNA sequences. The algorithms were developed in house through the integration of experimentally validated optimization processes. Through multi-layered in silico QC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Our STARR mRNA Technology</w:t>
      </w:r>
    </w:p>
    <w:p>
      <w:pPr>
        <w:spacing w:after="0" w:line="117"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STARR is designed to increase the amount and duration of protein antigen expression compared to conventional mRNA. This is achieved by constructing an RNA that encodes for a replicon and a pathogenic protein antigen. The replicon segment encodes for genes derived from an alpha-virus, specifically Venezuela Equine Encephalitis Virus, that is responsible for amplifying the production of the pathogenic protein antigen mRNA. These are non-structural viral proteins, meaning they are not included in any virus particle and are completely incapable of producing any virus. However, upon translation they produce multiple copies of the pathogenic protein antigen which increases production of the protein. In addition, during the course of protein antigen mRNA replication, a short-lived double-stranded RNA intermediate is produced which activates the innate immune system. This activation transitions to an adaptive immune response resulting in the specific programming of the immune system, both neutralizing antibody production and T lymphocyte activation, which are important in preventing pathogen infection. The activation of the innate immune system by the double-stranded RNA intermediate serves as a self-adjuvanting feature, thus eliminating the need for the addition of an adjuvant to the vaccine.</w:t>
      </w:r>
    </w:p>
    <w:p>
      <w:pPr>
        <w:spacing w:after="0" w:line="58"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An example of generating a protected immune response is shown in the graphic below. The self-replicating RNA-based therapeutic vaccine triggers rapid and prolonged antigen expression within host cells resulting in protective immunity against infectious pathogens. We believe the combination of LUNAR and STARR technology could provide lower dose requirements due to superior immune response and sustained protein expression as compared to non-self-replicating RNA-based vaccines. We believe this may enable us to simplify and increase the speed of vaccine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108585</wp:posOffset>
            </wp:positionV>
            <wp:extent cx="5340350" cy="2751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035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Unlocked Nucleic Acid (UNA) Oligomer Chemistry</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i w:val="1"/>
          <w:iCs w:val="1"/>
          <w:u w:val="single" w:color="auto"/>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83185</wp:posOffset>
            </wp:positionV>
            <wp:extent cx="3505835" cy="1671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583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UNAs can potentially improve the efficiency and specificity of siRNA-mediated protein suppression.</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siRNAs are short double-stranded RNA molecules. Once inside the cell, 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which improves specificity. Additionally, incorporation of UNA modifications can reduce susceptibility of the siRNA to nuclease degradation, which improves the efficiency of siRNA-mediated protein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5186045" cy="1089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8604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own a comprehensive suite of UNA technology patents for therapeutic and reagent use, enabling us to operate freely and to independently pursue nucleic acid therapeutic candidates incorporating this technology.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121"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We have built out robust manufacturing capabilities designed to meet global supply needs for clinical trials and future commercialization, with a network of established contract manufacturing organizations (“CMOs”) for producing critical raw materials, drug substance, and finished and packaged drug product. We have developed, and continue to dedicate resources to advance, our sophisticated manufacturing know-how, including with respect to formulation of lipid nanoparticles, which improves manufacturing efficiency and capacity. We are strategically exploring options to build our internal manufacturing capabilities for drug substance and finished drug product.</w:t>
      </w:r>
    </w:p>
    <w:p>
      <w:pPr>
        <w:spacing w:after="0" w:line="68"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To date, we have manufactured and supplied gram quantities of drug substance, scaled up finished drug products through our CMOs for preclinical and clinical studies. For the near future, we expect to continue to rely on third-party CMOs for the supply of drug substance and finished drug product for our current product candidates, including to support the launch of our first commercial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right="20" w:firstLine="589"/>
        <w:spacing w:after="0" w:line="259" w:lineRule="auto"/>
        <w:rPr>
          <w:sz w:val="20"/>
          <w:szCs w:val="20"/>
          <w:color w:val="auto"/>
        </w:rPr>
      </w:pPr>
      <w:r>
        <w:rPr>
          <w:rFonts w:ascii="Arial" w:cs="Arial" w:eastAsia="Arial" w:hAnsi="Arial"/>
          <w:sz w:val="18"/>
          <w:szCs w:val="18"/>
          <w:color w:val="auto"/>
        </w:rPr>
        <w:t>Our CMOs are compliant with cGMPs and other rules and regulations prescribed by foreign regulatory authorities. We believe we have established sufficient manufacturing capacity through our CMOs to meet our current internal research, development and potential commercial needs, as well as our obligations under existing agreements with our partners. Additionally, we continue to evaluate relationships with additional suppliers to increase overall capacity and diversify our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Arrangements</w:t>
      </w:r>
    </w:p>
    <w:p>
      <w:pPr>
        <w:spacing w:after="0" w:line="121"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color w:val="auto"/>
        </w:rPr>
        <w:t>In addition to our internal development programs, we have a number of development partnerships structured where we work to discover mRNA or siRNA therapeutic candidates formulated for our LUNAR lipid-mediated delivery system. Among other collaboration agreements,</w:t>
      </w:r>
    </w:p>
    <w:p>
      <w:pPr>
        <w:spacing w:after="0" w:line="38" w:lineRule="exact"/>
        <w:rPr>
          <w:sz w:val="20"/>
          <w:szCs w:val="20"/>
          <w:color w:val="auto"/>
        </w:rPr>
      </w:pPr>
    </w:p>
    <w:p>
      <w:pPr>
        <w:ind w:left="1160" w:right="32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partnering with Janssen to develop nucleic acid-based therapeutic candidates for the treatment of HBV, and potentially for other infectious or respiratory diseases;</w:t>
      </w:r>
    </w:p>
    <w:p>
      <w:pPr>
        <w:spacing w:after="0" w:line="62" w:lineRule="exact"/>
        <w:rPr>
          <w:rFonts w:ascii="Arial" w:cs="Arial" w:eastAsia="Arial" w:hAnsi="Arial"/>
          <w:sz w:val="18"/>
          <w:szCs w:val="18"/>
          <w:color w:val="auto"/>
        </w:rPr>
      </w:pPr>
    </w:p>
    <w:p>
      <w:pPr>
        <w:ind w:left="1160" w:right="84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partnering with Takeda to develop nucleic acid-based therapeutic candidates, primarily for the treatment of nonalcoholic steatohepatitis (“NASH”), as well as other gastrointestinal disorders;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partnering with Ultragenyx to develop mRNA therapeutic candidates for rare disease targets;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partnering with CureVac to develop mRNA therapeutic and vaccine candidates for various indications;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received funding from the CFF to support our LUNAR-CF development program; and</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partnering with the Singapore Economic Development Board and Duke-NUS Medical School to develop a potential vaccine for the Coronavirus outbreak.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On October 18, 2017, we entered into a Research Collaboration and License Agreement with Janssen (the “Janssen Agreement”) to collaborate on developing candidates for treating HBV with RNA therapeutics. Under the Janssen Agreement, Janssen and the Company will carry out their respective research obligations pursuant to agreed-upon joint research plans, and we may not engage in HBV-related research independent of the Janssen Agreement.</w:t>
      </w:r>
    </w:p>
    <w:p>
      <w:pPr>
        <w:spacing w:after="0" w:line="4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The Janssen Agreement provides that Janssen will develop the candidates licensed pursuant to the agreement, obtain certain regulatory approvals, and commercialize products containing the development candidates. Under the Janssen Agreement, both parties granted each other certain non-exclusive, royalty-free licenses to conduct the research covered by the agreement.</w:t>
      </w:r>
    </w:p>
    <w:p>
      <w:pPr>
        <w:spacing w:after="0" w:line="76"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Under the Janssen Agreement, Janssen paid us an upfront fee of $7.7 million. On a development candidate-by-development candidate basis, Janssen will pay us certain development milestone payments of up to $56.5 million for each of the first two products to treat HBV and in each indication for which Janssen exercises its option to license certain therapeutics from us. In addition, on a research program-by-research program basis, Janssen will pay us between $20 million and $40 million in multiple sales milestone payments if they achieve certain annual net sales milestones in the first calendar year in which such milestones are achieved. Janssen will also pay between $1 million and $5 million in option exercise fees, with the precise amount depending on when Janssen exercises its license option. In addition, Janssen will pay royalties on annual net sales of licensed products up to a mid-single digit percentage, subject to (i) reduction on a country-by-country and licensed-product-by-licensed-product basis and (ii) certain events, such as expiration of program patents.</w:t>
      </w:r>
    </w:p>
    <w:p>
      <w:pPr>
        <w:spacing w:after="0" w:line="84"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 Agreement</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On October 26, 2015, we entered into a Research Collaboration and License Agreement with Ultragenyx, which was later amended on October 17, 2017 and April 20, 2018 (as amended, the “Ultragenyx Agreement”). Ultragenyx initially selected two development targets, including Glycogen Storage Disease Type III, and the parties initially agreed to a list of eight additional reserved rare disease targets which Ultragenyx has an exclusive option to</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t>select for collaborative development. The Ultragenyx Agreement provides for an exclusivity period, during which Ultragenyx may substitute a reserved target for a selected target, in which case such reserved target will be deemed an additional target and will preclude an additional reserved target in place of the newly reserved target. Further, during the exclusivity period, Ultragenyx may replace a reserved target with a proposed new target, subject to certain conditions, including whether we have the ability to partner with respect to such new target.</w:t>
      </w:r>
    </w:p>
    <w:p>
      <w:pPr>
        <w:spacing w:after="0" w:line="79" w:lineRule="exact"/>
        <w:rPr>
          <w:sz w:val="20"/>
          <w:szCs w:val="20"/>
          <w:color w:val="auto"/>
        </w:rPr>
      </w:pPr>
    </w:p>
    <w:p>
      <w:pPr>
        <w:ind w:right="400" w:firstLine="589"/>
        <w:spacing w:after="0" w:line="259" w:lineRule="auto"/>
        <w:rPr>
          <w:sz w:val="20"/>
          <w:szCs w:val="20"/>
          <w:color w:val="auto"/>
        </w:rPr>
      </w:pPr>
      <w:r>
        <w:rPr>
          <w:rFonts w:ascii="Arial" w:cs="Arial" w:eastAsia="Arial" w:hAnsi="Arial"/>
          <w:sz w:val="18"/>
          <w:szCs w:val="18"/>
          <w:color w:val="auto"/>
        </w:rPr>
        <w:t>Under the Ultragenyx Agreement, we have granted Ultragenyx exclusivity (i) with respect to development targets, to the development and commercialization of products containing nucleic acid technology, and (ii) with respect to reserved targets and subject to the right of first negotiation described below, the development and commercialization of any product containing nucleic acid products or utilizing LUNAR lipid-mediated delivery technology.</w:t>
      </w:r>
    </w:p>
    <w:p>
      <w:pPr>
        <w:spacing w:after="0" w:line="79"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During the reserved target exclusivity period and with respect to reserved targets, Ultragenyx has a right of first negotiation for any nucleic acid product utilizing LUNAR lipid-delivery technology with respect to such reserved targets. These restrictions terminate upon expiration of the reserved target exclusivity period for each target, which may be extended on a reserved target-by-reserved target basis upon payment of an exclusivity extension fee.</w:t>
      </w:r>
    </w:p>
    <w:p>
      <w:pPr>
        <w:spacing w:after="0" w:line="4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Following the reserved target exclusivity period and on a reserved target-by-reserved target basis, Ultragenyx has an exclusive right of first negotiation to obtain an exclusive license to exploit RNA products with respect to such reserved target. If we have not entered into an agreement with Ultragenyx by the time its exclusive right of first negotiation expires, its rights with respect to such reserved target terminate and we may grant a license or enter into an arrangement with a third-party with respect to such reserved target.</w:t>
      </w:r>
    </w:p>
    <w:p>
      <w:pPr>
        <w:spacing w:after="0" w:line="79"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Under the Ultragenyx Agreement, we have granted Ultragenyx a co-exclusive, royalty-free, sublicensable license of our technology for conducting collaborative development of development targets, compounds and products. The license remains in effect for a specified option period based upon achievement of milestones with respect to development targets and reserved targets, and development of compounds and products with respect to such development targets and reserved targets. If Ultragenyx exercises its option with respect to a development target and we enter into a license with them, it will receive an exclusive, royalty bearing, sublicensable (subject to certain limitations) license to our technology to exploit compounds and products with respect to such development target.</w:t>
      </w:r>
    </w:p>
    <w:p>
      <w:pPr>
        <w:spacing w:after="0" w:line="84"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For development targets and reserved targets that revert to us (“Discontinued Targets”), Ultragenyx will grant us an exclusive, worldwide, perpetual license to all technology developed pursuant to the Ultragenyx Agreement with respect to such Discontinued Targets. We will pay Ultragenyx royalties on net sales related to Discontinued Targets on a country-by-country basis until the expiration of the last valid claim, product-specific patents or patent rights covering such Discontinued Targets that we have licensed from Ultragenyx. The amount of any such royalties will depend on the state of development of the subject Discontinued Target and will be a low-single digit percentage.</w:t>
      </w:r>
    </w:p>
    <w:p>
      <w:pPr>
        <w:spacing w:after="0" w:line="68"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In connection with the execution of the Ultragenyx Agreement, Ultragenyx paid us an upfront fee of $10 million. We are entitled to certain additional payments (i) for costs we incur in connection with our activities under agreed-upon collaborative development plans, and (ii) if Ultragenyx exercises its option to select additional reserved rare disease targets for collaborative development. For each development target for which Ultragenyx exercises this option, it will pay us a one-time option exercise fee, which will vary depending on the total number of development targets for which it has exercised such option. The option exercise fee is subject to reduction if a development target does not utilize certain of our patented RNA-delivery technology or nucleic acid chemistry technology.</w:t>
      </w:r>
    </w:p>
    <w:p>
      <w:pPr>
        <w:spacing w:after="0" w:line="84"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Ultragenyx will also pay us certain milestone payments with respect to clinical/regulatory development (not to exceed $49 million per development target), and commercialization (not to exceed $90 million per development target), in each case subject to reduction if the relevant development program does not utilize technology covered by certain of our patents.</w:t>
      </w:r>
    </w:p>
    <w:p>
      <w:pPr>
        <w:spacing w:after="0" w:line="76"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During the applicable royalty term, Ultragenyx will also pay royalties as a percentage of net sales (not to exceed 10%) on a product-by-product and country-by-country basis.</w:t>
      </w:r>
    </w:p>
    <w:p>
      <w:pPr>
        <w:spacing w:after="0" w:line="6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Ultragenyx Agreement provides that each party owns any intellectual property that it develops independently, and that any intellectual property developed jointly on behalf of both parties will be owned jointly, provided that (i) Ultragenyx will own all collaboration technology that specifically relates to (i) the composition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200"/>
        <w:spacing w:after="0" w:line="277" w:lineRule="auto"/>
        <w:rPr>
          <w:sz w:val="20"/>
          <w:szCs w:val="20"/>
          <w:color w:val="auto"/>
        </w:rPr>
      </w:pPr>
      <w:r>
        <w:rPr>
          <w:rFonts w:ascii="Arial" w:cs="Arial" w:eastAsia="Arial" w:hAnsi="Arial"/>
          <w:sz w:val="18"/>
          <w:szCs w:val="18"/>
          <w:color w:val="auto"/>
        </w:rPr>
        <w:t>formulation of a particular compound or product, or (ii) any method of using, making or administering a particular compound or product, and (ii) we will own all improvements to LUNAR lipid-mediated delivery technology and/or UNA oligomer chemistry.</w:t>
      </w:r>
    </w:p>
    <w:p>
      <w:pPr>
        <w:spacing w:after="0" w:line="6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Unless terminated earlier, the Ultragenyx Agreement expires upon the expiration of the last-to-expire royalty term for any product, on a development target-by-development target basis. Upon expiration with respect to a particular development target, our license of technology to Ultragenyx to exploit products with respect to the relevant development target will become fully paid-up, irrevocable and exclusive. On a target-by-target basis, Ultragenyx has the right to terminate for convenience upon 60 days’ written notice.</w:t>
      </w:r>
    </w:p>
    <w:p>
      <w:pPr>
        <w:spacing w:after="0" w:line="7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June 18, 2019, we expanded our collaboration with Ultragenyx and entered into a third amendment (the “Third Amendment”) to the Ultragenyx Agreement. Pursuant to the Third Amendment, the total number of targets was increased from 10 to 12, and we granted Ultragenyx exclusivity to development targets for four years at no additional cost. In connection with the Third Amendment, Ultragenyx purchased 2.4 million shares of our common stock for $24.0 million and made a one-time upfront payment of $6.0 million. Ultragenyx also received a two-year option to purchase an additional 600,000 shares of our common stock at a price of $16.00 per share.</w:t>
      </w:r>
    </w:p>
    <w:p>
      <w:pPr>
        <w:spacing w:after="0" w:line="80"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Additionally, until the later of (i) the first anniversary of the closing date or (ii) the date on which Ultragenyx beneficially owns less than 8.0% of the total voting power of the Company, at each annual shareholders’ meeting or any shareholders’ meeting at which board members are to be elected, we must nominate one director designated by Ultragenyx (the “Ultragenyx Designee”). Additionally, the Ultragenyx Designee is required to be appointed to all board committees (subject to applicable Nasdaq rules). Ultragenyx also has the right to have its designee attend board meetings as a non-voting observer. Karah Parschauer, the Executive Vice President and Corporate Counsel of Ultragenyx, joined the board in June 2019 as the Ultragenyx Designee.</w:t>
      </w:r>
    </w:p>
    <w:p>
      <w:pPr>
        <w:spacing w:after="0" w:line="53"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On June 18, 2019, we entered into an Equity Purchase Agreement with Ultragenyx. Pursuant to this agreement, we granted Ultragenyx a two-year option to purchase up to 600,000 additional shares of our common stock at a price of $16.00 per share. On May 20, 2020, Ultragenyx completed the exercise of this option to purchase an additional 600,000 shares of common stock in accordance with the terms of the agreement. The issuance of the additional 600,000 shares closed on May 20,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CureVac Agreement</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On January 1, 2018, we entered into a Development and Option Agreement with CureVac, which was amended on May 3, 2018 and later restated on September 28, 2018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The products subject to the Development and Option Agreement relate to certain targets to be identified during the term of the agreement. In consideration for the rights granted under the Development and Option Agreement, we received an upfront fee from CureVac.</w:t>
      </w:r>
    </w:p>
    <w:p>
      <w:pPr>
        <w:spacing w:after="0" w:line="70"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In connection with the Development and Option Agreement, we granted CureVac a worldwide, non-exclusive, sublicensable license to use the Arcturus LMD Technology for the purpose of conducting research and preclinical development activities, subject to certain limitations. In addition, CureVac granted to us a worldwide, non-exclusive license to its mRNA technology to the extent necessary for us to execute the activities contemplated by the Development and Option Agreement. Subject to certain restrictions, the Company and CureVac each have an undivided one-half interest in the patents and know-how developed jointly during the course of the Development and Option Agreement. The amended and restatement of the Development and Option Agreement provided for (i) an increase in the number of targets available to CureVac and (ii) agreed-upon license forms to be executed upon selection of targets by CureVac.</w:t>
      </w:r>
    </w:p>
    <w:p>
      <w:pPr>
        <w:spacing w:after="0" w:line="8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Subject to certain limitations, CureVac may designate certain targets as reserved targets. To the extent a reserved target is only available on a non-exclusive basis, CureVac may elect to enter into a non-exclusive license agreement on a pre-negotiated form to be executed upon identification of the relevant target. CureVac is required to pay us a fee for any license (exclusive or non-exclusive), the amount of which depends on whether the target involves a rare or non-rare disease. Each development program with CureVac is subject to the terms of a work plan, pursuant to which the Company and CureVac will work to develop certain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ind w:firstLine="589"/>
        <w:spacing w:after="0" w:line="288" w:lineRule="auto"/>
        <w:rPr>
          <w:sz w:val="20"/>
          <w:szCs w:val="20"/>
          <w:color w:val="auto"/>
        </w:rPr>
      </w:pPr>
      <w:r>
        <w:rPr>
          <w:rFonts w:ascii="Arial" w:cs="Arial" w:eastAsia="Arial" w:hAnsi="Arial"/>
          <w:sz w:val="16"/>
          <w:szCs w:val="16"/>
          <w:color w:val="auto"/>
        </w:rPr>
        <w:t>Pursuant to the form of license agreement, if CureVac achieves all development and commercialization milestones with respect to the licensed product developed for an identified target, it is required to (i) pay certain development and regulatory approval milestones, the amount of which depends on whether the target involves a rare or non-rare disease, and (ii) royalties in a low-single digit percentage on the net sales of each product subject to a license agreement on a country-by-country and product-by-product basis. Such royalties are subject to reduction for third-party payments with respect to licensed products or if there is no valid claim under the licensed patents, but may not fall below a specified percentage if the licensed product during the royalty term is not covered by a licensed patent. Further, if within 24 months after the license agreement effective date, CureVac grants a sublicense to a third party for the development and commercialization of the licensed products, then CureVac will pay us a single-digit percentage of the total sublicense income that it receives to the extent that such income exceeds (i) the fee paid by CureVac under the Development and Option Agreement to identify a target for such license agreement and (ii) the milestone payments paid by CureVac under such license agreement. The fees, milestones and royalty payments for a non-exclusive license are 50% of the corresponding payments for an exclusive license.</w:t>
      </w:r>
    </w:p>
    <w:p>
      <w:pPr>
        <w:spacing w:after="0" w:line="60"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The Development and Option Agreement had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of an annual non-refundable extension fee. CureVac has the right to terminate the agreement in full or on a program-by-program basis (i) upon a material breach by us that is not cured within a certain period, (ii) upon a change in control of Arcturus, or (iii) without cause upon 60 days’ notice to us. We have the right to terminate the agreement upon material breach by CureVac that is not cured within a certain period. Upon termination, all licenses granted under the Development and Option Agreement will terminate, but any license agreement entered into pursuant upon the identification of a target will remain in effect.</w:t>
      </w:r>
    </w:p>
    <w:p>
      <w:pPr>
        <w:spacing w:after="0" w:line="6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On February 11, 2019, we announced the termination of our obligations to CureVac for the preclinical development of ARCT-810, effective August 4, 2019, and the re-assumption of our worldwide rights thereto. On July 24, 2019, the Company and CureVac entered into an amendment to the Development and Option Agreement, pursuant to which we agreed to (i) shorten the time period during which CureVac may select potential targets to be licensed from the Company from eight years to four years, and (ii) reduce the overall number of maximum targets to be reserved and licensed to 10 targets. Additionally, we canceled our related Co-Development and Co-Commercialization agreement for developing and commercializing ARCT-810.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 Agreements</w:t>
      </w:r>
    </w:p>
    <w:p>
      <w:pPr>
        <w:spacing w:after="0" w:line="117"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 xml:space="preserve">On December 6, 2016, we entered into a Research Agreement (as amended, the “Takeda Agreement”) with Takeda. Under the Takeda Agreement, we conducted a joint research program (the “Research Program”) with Takeda to discover siRNA medicines for the treatment of NASH. The program involved development of siRNA compounds formulated in LUNAR lipid-mediated delivery technology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Pursuant to the Takeda Agreement, Takeda had a non-exclusive, worldwide sublicensable license to our technology until December 20, 2018 (the “Research Term”) for the purpose of conducting the Research Program. We also agreed not to engage in any research or development activities involving LUNAR and UNA oligomers for any NASH targets involved in the Research Program for two years after the Research Term.</w:t>
      </w:r>
    </w:p>
    <w:p>
      <w:pPr>
        <w:spacing w:after="0" w:line="70"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 xml:space="preserve">On March 8, 2019, we entered into a subsequent Research Agreement with Takeda, which was subsequently amended on June 3, 2019 (as amended, the “New Takeda Agreement”). Under the New Takeda Agreement, Takeda received a non-exclusive, worldwide, sublicensable license to certain of our technology, including mRNA compounds formulated for LUNAR lipid-mediated delivery technology, for the purpose of conducting a joint research program on additional targets in in vitro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of liver diseases (including NASH). Both Arcturus and Takeda have agreed not to participate in other research, internally or with a third party, on therapeutic mRNA molecules designed to express the selected targets. We also granted Takeda an exclusive option to negotiate a license to the product candidates determined to be of potential relevance as a result of the joint research program. The option lasts for a certain period of time following the delivery of the results of the research program. Funds remaining from the Takeda Agreement will be transferred to cover our activities under the New Takeda Agreement. If any remaining funds are unspent or uncommitted for expenditure upon completion of the current research program, then we will retain such funds.</w:t>
      </w:r>
    </w:p>
    <w:p>
      <w:pPr>
        <w:spacing w:after="0" w:line="73"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have a Research Collaboration and License Agreement with Providence Therapeutics Inc. (the “Providence Agreement”). The Providence Agreement provides for collaborative efforts to identify and optimize microRNA modulators or mimetics for the treatment of neoplastic diseases. In April 2017, the Providence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Agreement was amended to include mRNA for the treatment of neoplastic disease. In July 2018, the Providence Agreement was amended and restated to cover brain neoplasms, breast neoplasms and ovarian neoplasms.</w:t>
      </w:r>
    </w:p>
    <w:p>
      <w:pPr>
        <w:spacing w:after="0" w:line="62"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Additionally, we have a Research and Nonexclusive License Agreement with Synthetic Genomics, Inc. (“Synthetic Genomics”), pursuant to which we granted Synthetic Genomics a nonexclusive, worldwide license to use our LUNAR lipid-mediated delivery to research, develop, manufacture and commercialize vaccines, but expressly excluding diagnosis, prophylaxis and treatment of respiratory disease viruses other than influenza. During 2019 Synthetic Genomics exercised its right to sublicence the LUNAR technology subject to the license to certain third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Protiva Agreement</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On August 9, 2013, we entered into a Patent Assignment and License Agreement with Marina Biotech, Inc. (“Marina”), pursuant to which Marina assigned to us certain intellectual property, including patents, inventions and information related to UNA oligonucleotide therapeutics, as well as Marina’s rights and obligations under a License Agreement (the “Protiva Agreement”) with Protiva Biotherapeutics Inc. (“Protiva”), a wholly-owned subsidiary of Arbutus Biopharma Corporation. The intellectual property licensed from Marina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70"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Under the assigned Protiva Agreement, we granted Protiva a non-exclusive, irrevocable, perpetual, worldwide license with certain rights to sublicense (in connection with continuing research, development and/or commercialization) to exploit our patents, know-how and inventions relating to our technology for purposes of the development of human therapeutics. Upon achievement of certain development milestones with respect to each Protiva product directed to a specific gene target, Protiva will pay us milestone payments with an aggregate value of up to $3.25 million for each such product and target. If Protiva instead sublicenses the commercialization rights for a Protiva product, then it will pay us a percentage of sublicense revenues it receives from sublicensees, the amount of which payment depends on the development stage of such Protiva product at the time of sublicense. In addition, Protiva will pay us royalties on net sales of Protiva products during the royalty term. The royalties depend on the type of product and are on a country-by-country basis. For licensed Protiva products, royalties will be paid in a low single digit percentage on net sales for such product, subject to reduction on net sales in the event there is no patent coverage or generic products are introduced with respect to such product. A royalty reduction will apply if Protiva is required to license third party intellectual property to commercialize such product, subject to a cap on such reductions.</w:t>
      </w:r>
    </w:p>
    <w:p>
      <w:pPr>
        <w:spacing w:after="0" w:line="60"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The Protiva Agreement for a particular Protiva product in a particular country will expire on a country-by-country basis upon the earlier of (i) the expiration of the royalty term for such product in such country, or (ii) the end of the calendar quarter in which sales in such country of generic products exceed sales of Protiva products in such country by a certain amount. Unless earlier terminated by its terms, the Protiva Agreement will expire in its entirety upon expiration of the last royalty term for any of our patents with respect to which Protiva has a license under the agreement. Protiva may terminate the Protiva Agreement for convenience in its entirety, or for a particular country or countries, upon ninety days’ prior written notice to 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 License Agreement</w:t>
      </w:r>
    </w:p>
    <w:p>
      <w:pPr>
        <w:spacing w:after="0" w:line="117"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On February 17, 2021, we entered into an exclusive license agreement with Alexion Pharmaceuticals, Inc. (“Alexion”) pursuant to which Alexion granted to Arcturus Therapeutics, Inc. an exclusive, worldwide license to exploit certain specified Alexion patents. In accordance with the terms of the license agreement, and in exchange for the license, we issued 74,713 shares of our common stock to Alexion on February 19, 2021, which number of shares was based on a price of $66.92 per share. The price was determined based on the volume weighted average closing price of the Company’s common stock on The NASDAQ Global Market for the thirty trading days ending on February 17, 2021.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On May 16, 2017, pursuant to a Development Program Letter Agreement (the “CFF Agreement”), CFF awarded us approximately $3.1 million to fund a development program to identify lead CFTR mRNA sequences and LUNAR formulations, demonstrate tolerability of LUNAR CFTR mRNA, and demonstrate translatability of aerosolized LUNAR (the “CFF Agreement”). The award will be received according to a milestone schedule and unused funds will be retained by CFF. We will use commercially reasonable efforts to conduct the development program and develop the product thereafter. The award includes a grant of rights to CFF know-how to assist us to research, develop, commercialize, make or otherwise exploit a product.</w:t>
      </w:r>
    </w:p>
    <w:p>
      <w:pPr>
        <w:spacing w:after="0" w:line="53"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of transfer payments actually received by us or our shareholders (subject to a royalty cap).</w:t>
      </w:r>
    </w:p>
    <w:p>
      <w:pPr>
        <w:spacing w:after="0" w:line="63"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Pursuant to CFF’s interruption license right under the CFF Agreement, if we fail to use commercially reasonable efforts to develop a product for a certain time period before the first commercial sale of such product, CFF may, upon written notice and our failure to effectively deny or cure such interruption (as set forth in the CFF Agreement), exercise certain rights pursuant to procedures set forth in the CFF Agreement. CFF’s rights include, in certain cases, payments from us to CFF, or the grant of an exclusive (even as to us), worldwide license to CFF under our development program technology solely to the extent necessary to manufacture, have manufactured, license, use, sell, offer to sell, and support the product in the field of treatment of cystic fibrosis and other pulmonary diseases.</w:t>
      </w:r>
    </w:p>
    <w:p>
      <w:pPr>
        <w:spacing w:after="0" w:line="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All inventions, data, know-how, information, results, analyses and other intellectual property rights resulting from the development program will be owned by us, and subject to certain exceptions, CFF has assigned and transferred to us all of its right, title, and interest in and to all inventions and other intellectual property resulting from the development program.</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Either party may terminate the CFF Agreement for cause (e.g., material breach by the other party of its covenants or obligations).</w:t>
      </w:r>
    </w:p>
    <w:p>
      <w:pPr>
        <w:spacing w:after="0" w:line="117"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On August 1, 2019, the Company and CFF amended the CFF Agreement. Pursuant to the amendment, (i) CFF will increase the amount it will award to advance LUNAR-CF to $15.0 million from approximately $3.2 million, (ii) the Company will provide $5.0 million in matching funds for remaining budgeted costs, (iii) the related disbursement schedule from CFF to us will be modified such that (a) $4.0 million was disbursed upon execution of the amendment, (b) $2.0 million will be disbursed within 30 days of the first day of each of January, April, July and October 2020 upon us invoicing CFF to meet project goals, and (c) the last payment of $3.0 million less the prior award previously paid out (approximately $2.3 million) will be disbursed upon us invoicing CFF to meet good manufacturing practices and submitting an IND application. The funds received from CFF will be recognized as contra research and development expense in proportion to the percentage covered by CFF of the overall budget.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 Economic Development Board</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On March 4, 2020, we were awarded a grant from the EDB to support the co-development of ARCT-021 with Duke-NUS Medical School. In exchange for the grant, we agreed to supply ARCT-021 to the EDB for use within Singapore and we retained the right to sell and market ARCT-021 outside of Singapore. We have agreed to pay Duke-NUS Medical School a low single digit royalty based on annual net sales of the vaccine in markets or jurisdictions outside of Singapore.</w:t>
      </w:r>
    </w:p>
    <w:p>
      <w:pPr>
        <w:spacing w:after="0" w:line="79"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On October 2, 2020, we were awarded a grant from the EDB to support the further development of our LUNAR-COV19 vaccine candidate. The Grant provides for up to S$9.3 million (approximately US$6.7 million) to support the development of the vaccine candidate. The Grant is payable in two installments upon the achievement of certain milestones related to the progress of the development of the vaccine candidate. We received the first installment of approximately $3.6 million in the fourth quarter of 2020.</w:t>
      </w:r>
    </w:p>
    <w:p>
      <w:pPr>
        <w:spacing w:after="0" w:line="79" w:lineRule="exact"/>
        <w:rPr>
          <w:sz w:val="20"/>
          <w:szCs w:val="20"/>
          <w:color w:val="auto"/>
        </w:rPr>
      </w:pPr>
    </w:p>
    <w:p>
      <w:pPr>
        <w:ind w:right="420" w:firstLine="589"/>
        <w:spacing w:after="0" w:line="263" w:lineRule="auto"/>
        <w:rPr>
          <w:sz w:val="20"/>
          <w:szCs w:val="20"/>
          <w:color w:val="auto"/>
        </w:rPr>
      </w:pPr>
      <w:r>
        <w:rPr>
          <w:rFonts w:ascii="Arial" w:cs="Arial" w:eastAsia="Arial" w:hAnsi="Arial"/>
          <w:sz w:val="18"/>
          <w:szCs w:val="18"/>
          <w:color w:val="auto"/>
        </w:rPr>
        <w:t>On November 7, 2020, we entered into a Manufacturing Support Agreement (the “Support Agreement”) with the EDB pursuant to which they agreed to make a term loan of up to S$62.1 million (subject to adjustment based on exchange rates) to the Company, subject to the satisfaction of customary deliveries, to support the development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line="288" w:lineRule="auto"/>
        <w:rPr>
          <w:sz w:val="20"/>
          <w:szCs w:val="20"/>
          <w:color w:val="auto"/>
        </w:rPr>
      </w:pPr>
      <w:r>
        <w:rPr>
          <w:rFonts w:ascii="Arial" w:cs="Arial" w:eastAsia="Arial" w:hAnsi="Arial"/>
          <w:sz w:val="16"/>
          <w:szCs w:val="16"/>
          <w:color w:val="auto"/>
        </w:rPr>
        <w:t>the LUNAR-COV19 vaccine candidate (the “Singapore Loan”). We elected to borrow the full amount available under the Support Agreement of S$62.1 million, or $46.6 million as a result of applicable exchange rates, on January 29, 2021. Subject to certain exceptions, the Singapore Loan is a limited recourse loan that is intended to be repaid solely through a royalty payment on sales of the LUNAR-COV19 vaccine candidate, with a portion of the proceeds on all such vaccine sales being applied on a quarterly basis to prepay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and entered into a security agreement for the benefit of the EDB to provide that repayment of the Singapore Loan and related obligations are secured by a lien on the Specified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 Supply Agreement</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On August 17, 2020, our wholly owned subsidiary entered into a definitive Supply Agreement (the “Supply Agreement”) with the Israeli MOH which provides for the supply of LUNAR-COV19 to the MOH. The MOH has elected to reserve delivery by us of doses of LUNAR-COV19 for an initial 500,000 vaccinations (the “Initial Reserve Doses”). The Supply Agreement also provides the MOH with the right to elect, in its discretion, to purchase additional doses of LUNAR-COV19 upon notice to us prior to specified dates at specified purchase prices. On October 14, 2020, we received a non-refundable first reserve payment of $12.5 million from the MOH. This first reserve payment is associated with a specified clinical trial milestone and was provided after a data review process during which the MOH had access to material preclinical and clinical data for our LUNAR-COV19 vaccine candidate.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79"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 novel nucleic acid technology platforms and novel nucleic acid therapeutic candidates. We cannot guarantee that future applications will be issued.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Patent Portfolio</w:t>
      </w:r>
    </w:p>
    <w:p>
      <w:pPr>
        <w:spacing w:after="0" w:line="117"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As of March 1, 2021, we are the sole owner of over 209 patents and pending patent applications including 33 U.S. patents, 29 pending U.S. patent applications, 7 pending international applications under Patent Cooperation Treaty (“PCT”), 68 foreign patents and 72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acids, the use of UNA oligomers for therapeutics and reagents, the use of LNA oligomers for therapeutics, specific nucleic acid modalities for treating disease, as well as our proprietary technology regarding the design, manufacture, and purification of nucleic acids for use in therapy. Claims also cover the composition of matter, formulation, and use of our therapeutic candidates to prevent and/or treat target diseases including OTC deficiency, CF, HBV, and COVID-19. Our issued patents are expected to expire between 2028 and 2038, without taking into account any possible patent term extensions.</w:t>
      </w:r>
    </w:p>
    <w:p>
      <w:pPr>
        <w:spacing w:after="0" w:line="57"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Our patent portfolio includes the following patents and pending patent applications for LUNAR, UNA and the use of LNA in certain RNA medicines:</w:t>
      </w:r>
    </w:p>
    <w:p>
      <w:pPr>
        <w:spacing w:after="0" w:line="76" w:lineRule="exact"/>
        <w:rPr>
          <w:sz w:val="20"/>
          <w:szCs w:val="20"/>
          <w:color w:val="auto"/>
        </w:rPr>
      </w:pPr>
    </w:p>
    <w:p>
      <w:pPr>
        <w:ind w:left="1160" w:hanging="572"/>
        <w:spacing w:after="0" w:line="286"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LUNAR – As of March 1, 2021, we own 16 U.S. patents, 9 U.S. pending patent applications, 2 international patent application (“PCT”), 11 foreign granted patents, and 38 foreign pending patent applications covering the composition of matter, manufacture of lipid nanoparticles (including lyophilization), and use of our LUNAR technology for nucleic acid delivery and drug delivery.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ind w:left="1160" w:right="260" w:hanging="572"/>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 mRNA and LNA – As of March 1, 2021, we own 147 U.S. patents, 10 U.S. pending patent applications, 3 PCT applications, 57 foreign patents and 32 foreign pending patent applications covering methods and uses of LNA, UNA oligomer and mRNA therapeutics, and compositions of UNA oligomers or mRNA to treat specific target diseases.</w:t>
      </w:r>
    </w:p>
    <w:p>
      <w:pPr>
        <w:spacing w:after="0" w:line="89" w:lineRule="exact"/>
        <w:rPr>
          <w:rFonts w:ascii="Arial" w:cs="Arial" w:eastAsia="Arial" w:hAnsi="Arial"/>
          <w:sz w:val="18"/>
          <w:szCs w:val="18"/>
          <w:color w:val="auto"/>
        </w:rPr>
      </w:pPr>
    </w:p>
    <w:p>
      <w:pPr>
        <w:ind w:left="1160" w:right="40" w:hanging="572"/>
        <w:spacing w:after="0" w:line="271"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STARR – In 2019, we began to develop our STARR platform which combines our proprietary LUNAR delivery systems with technologies that enable self-transcribing and self-replicating RNA. As noted above, our robust LUNAR portfolio of over 60 patents and patent applications, provides protection for delivery vehicles that can enable specific and effective delivery of STARR drug substances. In particular, we own one pending U.S. patent application directed to the manufacture of compositions that can comprise STARR RNA in a lipid delivery vehicle. In addition, we have begun to develop our STARR patent portfolio, and as of March 1, 2021, we own one pending U.S. patent application directed to specially designed RNA constructs, specific nucleotide and amino acid sequences, and lipid formulations comprising the same under the STARR technology. We anticipate that patents covering these developments in our STARR platform will last until 2041, not including any patent term extensions.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62"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We intend to apply for patent term extensions where possible.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Secrets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spacing w:after="0" w:line="76" w:lineRule="exact"/>
        <w:rPr>
          <w:sz w:val="20"/>
          <w:szCs w:val="20"/>
          <w:color w:val="auto"/>
        </w:rPr>
      </w:pPr>
    </w:p>
    <w:p>
      <w:pPr>
        <w:ind w:right="100" w:firstLine="589"/>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success depends in part on our ability to:</w:t>
      </w:r>
    </w:p>
    <w:p>
      <w:pPr>
        <w:spacing w:after="0" w:line="117"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30"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30"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operate our business without infringing the patents and proprietary rights of third parties, both in the United States and internationally.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Risks to Intellectual Property</w:t>
      </w:r>
    </w:p>
    <w:p>
      <w:pPr>
        <w:spacing w:after="0" w:line="117"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Product Approval and Government Regulation</w:t>
      </w:r>
    </w:p>
    <w:p>
      <w:pPr>
        <w:spacing w:after="0" w:line="121"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approved by the FDA before it may be legally marketed in the United States and by the appropriate foreign regulatory agency before it may be legally marketed in foreign countries.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Drug Development Process</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In the United States, the development, manufacturing, and marketing of human drugs and vaccines are subject to extensive regulation. The FDA regulates drugs under the Federal Food, Drug and Cosmetic Act (“FDCA”) and implementing regulations, and biological products, including vaccines, under provisions of the FDCA and the Public Health Service Act. Drugs and vaccines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or biological product may be marketed in the United States generally involves the following:</w:t>
      </w:r>
    </w:p>
    <w:p>
      <w:pPr>
        <w:spacing w:after="0" w:line="60" w:lineRule="exact"/>
        <w:rPr>
          <w:sz w:val="20"/>
          <w:szCs w:val="20"/>
          <w:color w:val="auto"/>
        </w:rPr>
      </w:pPr>
    </w:p>
    <w:p>
      <w:pPr>
        <w:ind w:left="1160" w:right="44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and stability studies according to good laboratory practices (“GLP”) or other applicable regulations;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17" w:lineRule="exact"/>
        <w:rPr>
          <w:rFonts w:ascii="Arial" w:cs="Arial" w:eastAsia="Arial" w:hAnsi="Arial"/>
          <w:sz w:val="18"/>
          <w:szCs w:val="18"/>
          <w:color w:val="auto"/>
        </w:rPr>
      </w:pPr>
    </w:p>
    <w:p>
      <w:pPr>
        <w:ind w:left="1160" w:right="380" w:hanging="572"/>
        <w:spacing w:after="0" w:line="308"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the FDA’s regulations commonly referred to as current good clinical practices (“GCPs”) to establish the safety and efficacy of the proposed drug for its intended use;</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or biologics license application (“BLA”) for a new drug;</w:t>
      </w:r>
    </w:p>
    <w:p>
      <w:pPr>
        <w:spacing w:after="0" w:line="117" w:lineRule="exact"/>
        <w:rPr>
          <w:rFonts w:ascii="Arial" w:cs="Arial" w:eastAsia="Arial" w:hAnsi="Arial"/>
          <w:sz w:val="18"/>
          <w:szCs w:val="18"/>
          <w:color w:val="auto"/>
        </w:rPr>
      </w:pPr>
    </w:p>
    <w:p>
      <w:pPr>
        <w:ind w:left="1160" w:right="40" w:hanging="572"/>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current good manufacturing practice standards (“cGMP”), to assure that the facilities, methods and controls are adequate to preserve the drug’s identity, strength, quality and purity;</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or BLA;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117"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62"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cannot be sure that submission of an IND will result in the FDA allowing clinical trials to begin, or that, once begun, issues will not arise that suspend or terminate such trial.</w:t>
      </w:r>
    </w:p>
    <w:p>
      <w:pPr>
        <w:spacing w:after="0" w:line="62"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 oversight for the clinical trial until completed.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160" w:right="360" w:hanging="572"/>
        <w:spacing w:after="0" w:line="311"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40" w:lineRule="exact"/>
        <w:rPr>
          <w:rFonts w:ascii="Arial" w:cs="Arial" w:eastAsia="Arial" w:hAnsi="Arial"/>
          <w:sz w:val="16"/>
          <w:szCs w:val="16"/>
          <w:color w:val="auto"/>
        </w:rPr>
      </w:pPr>
    </w:p>
    <w:p>
      <w:pPr>
        <w:ind w:left="1160" w:right="80" w:hanging="572"/>
        <w:spacing w:after="0" w:line="342"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 and</w:t>
      </w:r>
    </w:p>
    <w:p>
      <w:pPr>
        <w:spacing w:after="0" w:line="15" w:lineRule="exact"/>
        <w:rPr>
          <w:rFonts w:ascii="Arial" w:cs="Arial" w:eastAsia="Arial" w:hAnsi="Arial"/>
          <w:sz w:val="16"/>
          <w:szCs w:val="16"/>
          <w:color w:val="auto"/>
        </w:rPr>
      </w:pPr>
    </w:p>
    <w:p>
      <w:pPr>
        <w:ind w:left="1160" w:right="60" w:hanging="572"/>
        <w:spacing w:after="0" w:line="259"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a well-controlled Phase 3 clinical trial is required by the FDA for approval of an NDA or BLA.</w:t>
      </w:r>
    </w:p>
    <w:p>
      <w:pPr>
        <w:spacing w:after="0" w:line="7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8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1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 waiver of such fees may be obtained under certain limited circumstances.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ind w:right="20" w:firstLine="589"/>
        <w:spacing w:after="0" w:line="279" w:lineRule="auto"/>
        <w:rPr>
          <w:sz w:val="20"/>
          <w:szCs w:val="20"/>
          <w:color w:val="auto"/>
        </w:rPr>
      </w:pPr>
      <w:r>
        <w:rPr>
          <w:rFonts w:ascii="Arial" w:cs="Arial" w:eastAsia="Arial" w:hAnsi="Arial"/>
          <w:sz w:val="17"/>
          <w:szCs w:val="17"/>
          <w:color w:val="auto"/>
        </w:rPr>
        <w:t>In addition, under the Pediatric Research Equity Act (“PREA”), an NDA or BLA or supplement to an NDA or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63"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FDA reviews all NDAs or BLAs submitted to determine if they are substantially complete before it accepts them for filing. If the FDA determines that an NDA or BLA is incomplete or is found to be non-navigable, the filing may be refused and must be re-submitted for consideration. Once the submission is accepted for filing, the FDA begins an in-depth review of the NDA or BLA. Under the goals and policies agreed to by the FDA under the Prescription Drug User Fee Act (“PDUFA”), the FDA has 10 months from acceptance of filing in which to complete its initial review of a standard NDA or BLA and respond to the applicant, and six months from acceptance of filing for a priority NDA or BLA. The FDA does not always meet its PDUFA goal dates. The review process and the PDUFA goal date may be extended by three months or longer if the FDA requests or the NDA or BLA sponsor otherwise provides additional information or clarification regarding information already provided in the submission before the PDUFA goal date.</w:t>
      </w:r>
    </w:p>
    <w:p>
      <w:pPr>
        <w:spacing w:after="0" w:line="5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After the NDA or BLA submission is accepted for filing, the FDA reviews the NDA or BLA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or BLA must submit a proposed REMS; the FDA will not approve the NDA or BLA without a REMS, if required.</w:t>
      </w:r>
    </w:p>
    <w:p>
      <w:pPr>
        <w:spacing w:after="0" w:line="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The FDA requires vaccine manufacturers to submit data supporting the demonstration of consistency between manufacturing batches, or lots. The FDA works together with vaccine manufacturers to develop a lot release protocol, the tests conducted on each lot of vaccine post-approval. Additionally, before approving an NDA or BLA,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84"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NDA or BLA review and approval process is lengthy and difficult and the FDA may refuse to approve an NDA or BLA if the applicable regulatory criteria are not satisfied or may require additional clinical data or other data and information. Even if such data and information is submitted, the FDA may ultimately decide that the NDA or BLA does not satisfy the criteria for approval. Data obtained from clinical trials are not always conclusive and the FDA may interpret data differently than we interpret the same data. The FDA will issue a complete response letter if the agency decides not to approve the NDA or BLA. The complete response letter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88"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t>clinical trials, which are designed to further assess a product’s safety and effectiveness and may require testing and surveillance programs to monitor the safety of approved products that have been commercialized.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EUA Approval</w:t>
      </w:r>
    </w:p>
    <w:p>
      <w:pPr>
        <w:spacing w:after="0" w:line="117"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The Commissioner of the FDA, under delegated authority from the Secretary of the U.S. Department of Health and Human Services (“DHHS”) may, under certain circumstances, issue an EUA that would permit the use of an unapproved drug product or unapproved use of an approved drug product. Before an EUA may be issued, the Secretary must declare an emergency based on one of the following grounds:</w:t>
      </w:r>
    </w:p>
    <w:p>
      <w:pPr>
        <w:spacing w:after="0" w:line="57" w:lineRule="exact"/>
        <w:rPr>
          <w:sz w:val="20"/>
          <w:szCs w:val="20"/>
          <w:color w:val="auto"/>
        </w:rPr>
      </w:pPr>
    </w:p>
    <w:p>
      <w:pPr>
        <w:jc w:val="both"/>
        <w:ind w:left="1160" w:right="100" w:hanging="572"/>
        <w:spacing w:after="0" w:line="291"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determination by the Secretary of the Department of Homeland Security that there is a domestic emergency, or a significant potential for a domestic emergency, involving a heightened risk of attack with a specified biological, chemical, radiological, or nuclear agent or agents;</w:t>
      </w:r>
    </w:p>
    <w:p>
      <w:pPr>
        <w:ind w:left="1160" w:right="20" w:hanging="572"/>
        <w:spacing w:after="0" w:line="250"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Secretary of the Department of Defense that there is a military emergency, or a significant potential for a military emergency, involving a heightened risk to U.S. military forces of attack with a specified biological, chemical, radiological, or nuclear agent or agents; or</w:t>
      </w:r>
    </w:p>
    <w:p>
      <w:pPr>
        <w:spacing w:after="0" w:line="1" w:lineRule="exact"/>
        <w:rPr>
          <w:rFonts w:ascii="Arial" w:cs="Arial" w:eastAsia="Arial" w:hAnsi="Arial"/>
          <w:sz w:val="18"/>
          <w:szCs w:val="18"/>
          <w:color w:val="auto"/>
        </w:rPr>
      </w:pPr>
    </w:p>
    <w:p>
      <w:pPr>
        <w:ind w:left="1160" w:right="60" w:hanging="572"/>
        <w:spacing w:after="0" w:line="255"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Secretary of the DHHS that a public health emergency that affects, or has the significant potential to affect, national security and that involves a specified biological, chemical, radiological, or nuclear agent or agents, or a specified disease or condition that may be attributable to such agent or agent.</w:t>
      </w:r>
    </w:p>
    <w:p>
      <w:pPr>
        <w:spacing w:after="0" w:line="82"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In order to be the subject of an EUA, the FDA Commissioner must conclude that, based on the totality of scientific evidence available, it is reasonable to believe that the product may be effective in diagnosing, treating or preventing a disease attributable to the agents described above, that the product’s potential benefits outweigh its potential risks and that there is no adequate approved alternative to the product.</w:t>
      </w:r>
    </w:p>
    <w:p>
      <w:pPr>
        <w:spacing w:after="0" w:line="5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Although an EUA cannot be issued until after an emergency has been declared by the Secretary of DHHS, the FDA strongly encourages an entity with a possible candidate product, particularly one at an advanced stage of development, to contact the FDA center responsible for the candidate product before a determination of actual or potential emergency. Such an entity may submit a request for consideration that includes data to demonstrate that, based on the totality of scientific evidence available, it is reasonable to believe that the product may be effective in diagnosing, treating, or preventing the serious or life-threatening disease or condition. This is called a pre-EUA submission and its purpose is to allow FDA review considering that during an emergency, the time available for the submission and review of an EUA request may be severely limited.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Any drug or biological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57" w:lineRule="exact"/>
        <w:rPr>
          <w:sz w:val="20"/>
          <w:szCs w:val="20"/>
          <w:color w:val="auto"/>
        </w:rPr>
      </w:pPr>
    </w:p>
    <w:p>
      <w:pPr>
        <w:ind w:right="160" w:firstLine="589"/>
        <w:spacing w:after="0" w:line="271" w:lineRule="auto"/>
        <w:rPr>
          <w:sz w:val="20"/>
          <w:szCs w:val="20"/>
          <w:color w:val="auto"/>
        </w:rPr>
      </w:pPr>
      <w:r>
        <w:rPr>
          <w:rFonts w:ascii="Arial" w:cs="Arial" w:eastAsia="Arial" w:hAnsi="Arial"/>
          <w:sz w:val="17"/>
          <w:szCs w:val="17"/>
          <w:color w:val="auto"/>
        </w:rPr>
        <w:t>Manufacturers of our product candidates are required to comply with applicable FDA manufacturing requirements contained in the FDA’s cGMP regulations. cGMP regulations require among other things, quality control and quality assurance as well as the corresponding maintenance of records and documentation. Following approval, the FDA continues to monitor vaccine quality through real-time monitoring of lots by requiring manufacturers to submit certain information for each vaccine lot. Vaccine manufacturers may only distribute a lot following release by the FDA.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2" w:name="page33"/>
    <w:bookmarkEnd w:id="32"/>
    <w:p>
      <w:pPr>
        <w:jc w:val="both"/>
        <w:ind w:right="80"/>
        <w:spacing w:after="0" w:line="286" w:lineRule="auto"/>
        <w:rPr>
          <w:sz w:val="20"/>
          <w:szCs w:val="20"/>
          <w:color w:val="auto"/>
        </w:rPr>
      </w:pPr>
      <w:r>
        <w:rPr>
          <w:rFonts w:ascii="Arial" w:cs="Arial" w:eastAsia="Arial" w:hAnsi="Arial"/>
          <w:sz w:val="17"/>
          <w:szCs w:val="17"/>
          <w:color w:val="auto"/>
        </w:rPr>
        <w:t>restrictions on a product, manufacturer, or holder of an approved NDA or BLA,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Europe and Other Regions</w:t>
      </w:r>
    </w:p>
    <w:p>
      <w:pPr>
        <w:spacing w:after="0" w:line="11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6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53"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76"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76"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in General</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69"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Our success will be based in part upon our ability to identify, develop and manage a portfolio of product candidates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4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Below we have included what we believe to be the competitive landscape for certain of the medicines that we currently have in development.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3" w:name="page34"/>
    <w:bookmarkEnd w:id="33"/>
    <w:p>
      <w:pPr>
        <w:ind w:left="880"/>
        <w:spacing w:after="0"/>
        <w:rPr>
          <w:sz w:val="20"/>
          <w:szCs w:val="20"/>
          <w:color w:val="auto"/>
        </w:rPr>
      </w:pPr>
      <w:r>
        <w:rPr>
          <w:rFonts w:ascii="Arial" w:cs="Arial" w:eastAsia="Arial" w:hAnsi="Arial"/>
          <w:sz w:val="18"/>
          <w:szCs w:val="18"/>
          <w:i w:val="1"/>
          <w:iCs w:val="1"/>
          <w:color w:val="auto"/>
        </w:rPr>
        <w:t>ARCT-021 (LUNAR-COV19 Vaccine)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5"/>
          </w:tcPr>
          <w:p>
            <w:pPr>
              <w:spacing w:after="0"/>
              <w:rPr>
                <w:sz w:val="20"/>
                <w:szCs w:val="20"/>
                <w:color w:val="auto"/>
              </w:rPr>
            </w:pPr>
            <w:r>
              <w:rPr>
                <w:rFonts w:ascii="Arial" w:cs="Arial" w:eastAsia="Arial" w:hAnsi="Arial"/>
                <w:sz w:val="18"/>
                <w:szCs w:val="18"/>
                <w:color w:val="auto"/>
              </w:rPr>
              <w:t>We consider the following medicines as competitors or future competitors to ARCT-021.</w:t>
            </w:r>
          </w:p>
        </w:tc>
        <w:tc>
          <w:tcPr>
            <w:tcW w:w="20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200" w:type="dxa"/>
            <w:vAlign w:val="bottom"/>
            <w:tcBorders>
              <w:right w:val="single" w:sz="8" w:color="5B9BD5"/>
            </w:tcBorders>
          </w:tcPr>
          <w:p>
            <w:pPr>
              <w:spacing w:after="0"/>
              <w:rPr>
                <w:sz w:val="19"/>
                <w:szCs w:val="19"/>
                <w:color w:val="auto"/>
              </w:rPr>
            </w:pPr>
          </w:p>
        </w:tc>
        <w:tc>
          <w:tcPr>
            <w:tcW w:w="1780" w:type="dxa"/>
            <w:vAlign w:val="bottom"/>
            <w:tcBorders>
              <w:bottom w:val="single" w:sz="8" w:color="5B9BD5"/>
              <w:right w:val="single" w:sz="8" w:color="5B9BD5"/>
            </w:tcBorders>
            <w:shd w:val="clear" w:color="auto" w:fill="5B9BD5"/>
          </w:tcPr>
          <w:p>
            <w:pPr>
              <w:ind w:left="680"/>
              <w:spacing w:after="0"/>
              <w:rPr>
                <w:sz w:val="20"/>
                <w:szCs w:val="20"/>
                <w:color w:val="auto"/>
              </w:rPr>
            </w:pPr>
            <w:r>
              <w:rPr>
                <w:rFonts w:ascii="Arial" w:cs="Arial" w:eastAsia="Arial" w:hAnsi="Arial"/>
                <w:sz w:val="18"/>
                <w:szCs w:val="18"/>
                <w:b w:val="1"/>
                <w:bCs w:val="1"/>
                <w:color w:val="FFFFFF"/>
              </w:rPr>
              <w:t>Drug</w:t>
            </w:r>
          </w:p>
        </w:tc>
        <w:tc>
          <w:tcPr>
            <w:tcW w:w="1780" w:type="dxa"/>
            <w:vAlign w:val="bottom"/>
            <w:tcBorders>
              <w:bottom w:val="single" w:sz="8" w:color="5B9BD5"/>
              <w:right w:val="single" w:sz="8" w:color="5B9BD5"/>
            </w:tcBorders>
            <w:shd w:val="clear" w:color="auto" w:fill="5B9BD5"/>
          </w:tcPr>
          <w:p>
            <w:pPr>
              <w:ind w:left="480"/>
              <w:spacing w:after="0"/>
              <w:rPr>
                <w:sz w:val="20"/>
                <w:szCs w:val="20"/>
                <w:color w:val="auto"/>
              </w:rPr>
            </w:pPr>
            <w:r>
              <w:rPr>
                <w:rFonts w:ascii="Arial" w:cs="Arial" w:eastAsia="Arial" w:hAnsi="Arial"/>
                <w:sz w:val="18"/>
                <w:szCs w:val="18"/>
                <w:b w:val="1"/>
                <w:bCs w:val="1"/>
                <w:color w:val="FFFFFF"/>
              </w:rPr>
              <w:t>Company</w:t>
            </w:r>
          </w:p>
        </w:tc>
        <w:tc>
          <w:tcPr>
            <w:tcW w:w="1760" w:type="dxa"/>
            <w:vAlign w:val="bottom"/>
            <w:tcBorders>
              <w:bottom w:val="single" w:sz="8" w:color="5B9BD5"/>
              <w:right w:val="single" w:sz="8" w:color="5B9BD5"/>
            </w:tcBorders>
            <w:shd w:val="clear" w:color="auto" w:fill="5B9BD5"/>
          </w:tcPr>
          <w:p>
            <w:pPr>
              <w:ind w:left="180"/>
              <w:spacing w:after="0"/>
              <w:rPr>
                <w:sz w:val="20"/>
                <w:szCs w:val="20"/>
                <w:color w:val="auto"/>
              </w:rPr>
            </w:pPr>
            <w:r>
              <w:rPr>
                <w:rFonts w:ascii="Arial" w:cs="Arial" w:eastAsia="Arial" w:hAnsi="Arial"/>
                <w:sz w:val="18"/>
                <w:szCs w:val="18"/>
                <w:b w:val="1"/>
                <w:bCs w:val="1"/>
                <w:color w:val="FFFFFF"/>
              </w:rPr>
              <w:t>Drug Description</w:t>
            </w:r>
          </w:p>
        </w:tc>
        <w:tc>
          <w:tcPr>
            <w:tcW w:w="1780" w:type="dxa"/>
            <w:vAlign w:val="bottom"/>
            <w:tcBorders>
              <w:bottom w:val="single" w:sz="8" w:color="5B9BD5"/>
              <w:right w:val="single" w:sz="8" w:color="5B9BD5"/>
            </w:tcBorders>
            <w:shd w:val="clear" w:color="auto" w:fill="5B9BD5"/>
          </w:tcPr>
          <w:p>
            <w:pPr>
              <w:ind w:left="640"/>
              <w:spacing w:after="0"/>
              <w:rPr>
                <w:sz w:val="20"/>
                <w:szCs w:val="20"/>
                <w:color w:val="auto"/>
              </w:rPr>
            </w:pPr>
            <w:r>
              <w:rPr>
                <w:rFonts w:ascii="Arial" w:cs="Arial" w:eastAsia="Arial" w:hAnsi="Arial"/>
                <w:sz w:val="18"/>
                <w:szCs w:val="18"/>
                <w:b w:val="1"/>
                <w:bCs w:val="1"/>
                <w:color w:val="FFFFFF"/>
              </w:rPr>
              <w:t>Phase</w:t>
            </w:r>
          </w:p>
        </w:tc>
        <w:tc>
          <w:tcPr>
            <w:tcW w:w="2000" w:type="dxa"/>
            <w:vAlign w:val="bottom"/>
            <w:tcBorders>
              <w:bottom w:val="single" w:sz="8" w:color="5B9BD5"/>
              <w:right w:val="single" w:sz="8" w:color="5B9BD5"/>
            </w:tcBorders>
            <w:shd w:val="clear" w:color="auto" w:fill="5B9BD5"/>
          </w:tcPr>
          <w:p>
            <w:pPr>
              <w:jc w:val="center"/>
              <w:spacing w:after="0"/>
              <w:rPr>
                <w:sz w:val="20"/>
                <w:szCs w:val="20"/>
                <w:color w:val="auto"/>
              </w:rPr>
            </w:pPr>
            <w:r>
              <w:rPr>
                <w:rFonts w:ascii="Arial" w:cs="Arial" w:eastAsia="Arial" w:hAnsi="Arial"/>
                <w:sz w:val="18"/>
                <w:szCs w:val="18"/>
                <w:b w:val="1"/>
                <w:bCs w:val="1"/>
                <w:color w:val="FFFFFF"/>
                <w:w w:val="90"/>
              </w:rPr>
              <w:t>Administration/Dosing</w:t>
            </w:r>
          </w:p>
        </w:tc>
        <w:tc>
          <w:tcPr>
            <w:tcW w:w="1780" w:type="dxa"/>
            <w:vAlign w:val="bottom"/>
            <w:tcBorders>
              <w:bottom w:val="single" w:sz="8" w:color="5B9BD5"/>
              <w:right w:val="single" w:sz="8" w:color="5B9BD5"/>
            </w:tcBorders>
            <w:shd w:val="clear" w:color="auto" w:fill="5B9BD5"/>
          </w:tcPr>
          <w:p>
            <w:pPr>
              <w:ind w:left="220"/>
              <w:spacing w:after="0"/>
              <w:rPr>
                <w:sz w:val="20"/>
                <w:szCs w:val="20"/>
                <w:color w:val="auto"/>
              </w:rPr>
            </w:pPr>
            <w:r>
              <w:rPr>
                <w:rFonts w:ascii="Arial" w:cs="Arial" w:eastAsia="Arial" w:hAnsi="Arial"/>
                <w:sz w:val="18"/>
                <w:szCs w:val="18"/>
                <w:b w:val="1"/>
                <w:bCs w:val="1"/>
                <w:color w:val="FFFFFF"/>
              </w:rPr>
              <w:t>Number of Doses</w:t>
            </w:r>
          </w:p>
        </w:tc>
      </w:tr>
      <w:tr>
        <w:trPr>
          <w:trHeight w:val="191"/>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b w:val="1"/>
                <w:bCs w:val="1"/>
                <w:color w:val="auto"/>
              </w:rPr>
              <w:t>Comirnaty</w:t>
            </w: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Pfizer, BioNTech,</w:t>
            </w:r>
          </w:p>
        </w:tc>
        <w:tc>
          <w:tcPr>
            <w:tcW w:w="176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mRNA-based</w:t>
            </w: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Phase 3 and EUA</w:t>
            </w:r>
          </w:p>
        </w:tc>
        <w:tc>
          <w:tcPr>
            <w:tcW w:w="2000" w:type="dxa"/>
            <w:vAlign w:val="bottom"/>
            <w:tcBorders>
              <w:right w:val="single" w:sz="8" w:color="9CC2E5"/>
            </w:tcBorders>
            <w:shd w:val="clear" w:color="auto" w:fill="DEEAF6"/>
          </w:tcPr>
          <w:p>
            <w:pPr>
              <w:jc w:val="center"/>
              <w:spacing w:after="0" w:line="191"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shd w:val="clear" w:color="auto" w:fill="DEEAF6"/>
          </w:tcPr>
          <w:p>
            <w:pPr>
              <w:jc w:val="center"/>
              <w:spacing w:after="0" w:line="191" w:lineRule="exact"/>
              <w:rPr>
                <w:sz w:val="20"/>
                <w:szCs w:val="20"/>
                <w:color w:val="auto"/>
              </w:rPr>
            </w:pPr>
            <w:r>
              <w:rPr>
                <w:rFonts w:ascii="Arial" w:cs="Arial" w:eastAsia="Arial" w:hAnsi="Arial"/>
                <w:sz w:val="18"/>
                <w:szCs w:val="18"/>
                <w:color w:val="auto"/>
                <w:w w:val="91"/>
              </w:rPr>
              <w:t>2</w:t>
            </w:r>
            <w:r>
              <w:rPr>
                <w:rFonts w:ascii="Arial" w:cs="Arial" w:eastAsia="Arial" w:hAnsi="Arial"/>
                <w:sz w:val="15"/>
                <w:szCs w:val="15"/>
                <w:color w:val="auto"/>
                <w:w w:val="91"/>
              </w:rPr>
              <w:t>(1)</w:t>
            </w:r>
          </w:p>
        </w:tc>
      </w:tr>
      <w:tr>
        <w:trPr>
          <w:trHeight w:val="234"/>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18"/>
                <w:szCs w:val="18"/>
                <w:b w:val="1"/>
                <w:bCs w:val="1"/>
                <w:color w:val="auto"/>
              </w:rPr>
              <w:t>(BNT162b2)</w:t>
            </w:r>
          </w:p>
        </w:tc>
        <w:tc>
          <w:tcPr>
            <w:tcW w:w="178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Fosun Pharma</w:t>
            </w:r>
          </w:p>
        </w:tc>
        <w:tc>
          <w:tcPr>
            <w:tcW w:w="176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Vaccine</w:t>
            </w: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200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r>
      <w:tr>
        <w:trPr>
          <w:trHeight w:val="195"/>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b w:val="1"/>
                <w:bCs w:val="1"/>
                <w:color w:val="auto"/>
              </w:rPr>
              <w:t>mRNA-1273</w:t>
            </w:r>
          </w:p>
        </w:tc>
        <w:tc>
          <w:tcPr>
            <w:tcW w:w="178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color w:val="auto"/>
              </w:rPr>
              <w:t>Moderna</w:t>
            </w:r>
          </w:p>
        </w:tc>
        <w:tc>
          <w:tcPr>
            <w:tcW w:w="176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color w:val="auto"/>
              </w:rPr>
              <w:t>mRNA-based</w:t>
            </w:r>
          </w:p>
        </w:tc>
        <w:tc>
          <w:tcPr>
            <w:tcW w:w="178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color w:val="auto"/>
              </w:rPr>
              <w:t>Phase 3 and EUA</w:t>
            </w:r>
          </w:p>
        </w:tc>
        <w:tc>
          <w:tcPr>
            <w:tcW w:w="2000" w:type="dxa"/>
            <w:vAlign w:val="bottom"/>
            <w:tcBorders>
              <w:right w:val="single" w:sz="8" w:color="9CC2E5"/>
            </w:tcBorders>
          </w:tcPr>
          <w:p>
            <w:pPr>
              <w:jc w:val="center"/>
              <w:spacing w:after="0" w:line="195"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tcPr>
          <w:p>
            <w:pPr>
              <w:jc w:val="center"/>
              <w:spacing w:after="0" w:line="195" w:lineRule="exact"/>
              <w:rPr>
                <w:sz w:val="20"/>
                <w:szCs w:val="20"/>
                <w:color w:val="auto"/>
              </w:rPr>
            </w:pPr>
            <w:r>
              <w:rPr>
                <w:rFonts w:ascii="Arial" w:cs="Arial" w:eastAsia="Arial" w:hAnsi="Arial"/>
                <w:sz w:val="18"/>
                <w:szCs w:val="18"/>
                <w:color w:val="auto"/>
                <w:w w:val="91"/>
              </w:rPr>
              <w:t>2</w:t>
            </w:r>
            <w:r>
              <w:rPr>
                <w:rFonts w:ascii="Arial" w:cs="Arial" w:eastAsia="Arial" w:hAnsi="Arial"/>
                <w:sz w:val="15"/>
                <w:szCs w:val="15"/>
                <w:color w:val="auto"/>
                <w:w w:val="91"/>
              </w:rPr>
              <w:t>(1)</w:t>
            </w:r>
          </w:p>
        </w:tc>
      </w:tr>
      <w:tr>
        <w:trPr>
          <w:trHeight w:val="230"/>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c>
          <w:tcPr>
            <w:tcW w:w="176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18"/>
                <w:szCs w:val="18"/>
                <w:color w:val="auto"/>
              </w:rPr>
              <w:t>Vaccine</w:t>
            </w:r>
          </w:p>
        </w:tc>
        <w:tc>
          <w:tcPr>
            <w:tcW w:w="1780" w:type="dxa"/>
            <w:vAlign w:val="bottom"/>
            <w:tcBorders>
              <w:bottom w:val="single" w:sz="8" w:color="9CC2E5"/>
              <w:right w:val="single" w:sz="8" w:color="9CC2E5"/>
            </w:tcBorders>
          </w:tcPr>
          <w:p>
            <w:pPr>
              <w:spacing w:after="0"/>
              <w:rPr>
                <w:sz w:val="20"/>
                <w:szCs w:val="20"/>
                <w:color w:val="auto"/>
              </w:rPr>
            </w:pPr>
          </w:p>
        </w:tc>
        <w:tc>
          <w:tcPr>
            <w:tcW w:w="200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r>
      <w:tr>
        <w:trPr>
          <w:trHeight w:val="191"/>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b w:val="1"/>
                <w:bCs w:val="1"/>
                <w:color w:val="auto"/>
              </w:rPr>
              <w:t>Covishield</w:t>
            </w: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AstraZeneca</w:t>
            </w:r>
          </w:p>
        </w:tc>
        <w:tc>
          <w:tcPr>
            <w:tcW w:w="176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Non-replicating</w:t>
            </w: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Phase 3 and EUA</w:t>
            </w:r>
          </w:p>
        </w:tc>
        <w:tc>
          <w:tcPr>
            <w:tcW w:w="2000" w:type="dxa"/>
            <w:vAlign w:val="bottom"/>
            <w:tcBorders>
              <w:right w:val="single" w:sz="8" w:color="9CC2E5"/>
            </w:tcBorders>
            <w:shd w:val="clear" w:color="auto" w:fill="DEEAF6"/>
          </w:tcPr>
          <w:p>
            <w:pPr>
              <w:jc w:val="center"/>
              <w:spacing w:after="0" w:line="191"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shd w:val="clear" w:color="auto" w:fill="DEEAF6"/>
          </w:tcPr>
          <w:p>
            <w:pPr>
              <w:jc w:val="center"/>
              <w:spacing w:after="0" w:line="191" w:lineRule="exact"/>
              <w:rPr>
                <w:sz w:val="20"/>
                <w:szCs w:val="20"/>
                <w:color w:val="auto"/>
              </w:rPr>
            </w:pPr>
            <w:r>
              <w:rPr>
                <w:rFonts w:ascii="Arial" w:cs="Arial" w:eastAsia="Arial" w:hAnsi="Arial"/>
                <w:sz w:val="18"/>
                <w:szCs w:val="18"/>
                <w:color w:val="auto"/>
                <w:w w:val="99"/>
              </w:rPr>
              <w:t>2</w:t>
            </w:r>
          </w:p>
        </w:tc>
      </w:tr>
      <w:tr>
        <w:trPr>
          <w:trHeight w:val="220"/>
        </w:trPr>
        <w:tc>
          <w:tcPr>
            <w:tcW w:w="200" w:type="dxa"/>
            <w:vAlign w:val="bottom"/>
            <w:tcBorders>
              <w:right w:val="single" w:sz="8" w:color="9CC2E5"/>
            </w:tcBorders>
          </w:tcPr>
          <w:p>
            <w:pPr>
              <w:spacing w:after="0"/>
              <w:rPr>
                <w:sz w:val="19"/>
                <w:szCs w:val="19"/>
                <w:color w:val="auto"/>
              </w:rPr>
            </w:pPr>
          </w:p>
        </w:tc>
        <w:tc>
          <w:tcPr>
            <w:tcW w:w="1780" w:type="dxa"/>
            <w:vAlign w:val="bottom"/>
            <w:tcBorders>
              <w:right w:val="single" w:sz="8" w:color="9CC2E5"/>
            </w:tcBorders>
            <w:shd w:val="clear" w:color="auto" w:fill="DEEAF6"/>
          </w:tcPr>
          <w:p>
            <w:pPr>
              <w:ind w:left="80"/>
              <w:spacing w:after="0"/>
              <w:rPr>
                <w:sz w:val="20"/>
                <w:szCs w:val="20"/>
                <w:color w:val="auto"/>
              </w:rPr>
            </w:pPr>
            <w:r>
              <w:rPr>
                <w:rFonts w:ascii="Arial" w:cs="Arial" w:eastAsia="Arial" w:hAnsi="Arial"/>
                <w:sz w:val="18"/>
                <w:szCs w:val="18"/>
                <w:b w:val="1"/>
                <w:bCs w:val="1"/>
                <w:color w:val="auto"/>
              </w:rPr>
              <w:t>(AZD1222)</w:t>
            </w:r>
          </w:p>
        </w:tc>
        <w:tc>
          <w:tcPr>
            <w:tcW w:w="1780" w:type="dxa"/>
            <w:vAlign w:val="bottom"/>
            <w:tcBorders>
              <w:right w:val="single" w:sz="8" w:color="9CC2E5"/>
            </w:tcBorders>
            <w:shd w:val="clear" w:color="auto" w:fill="DEEAF6"/>
          </w:tcPr>
          <w:p>
            <w:pPr>
              <w:spacing w:after="0"/>
              <w:rPr>
                <w:sz w:val="19"/>
                <w:szCs w:val="19"/>
                <w:color w:val="auto"/>
              </w:rPr>
            </w:pPr>
          </w:p>
        </w:tc>
        <w:tc>
          <w:tcPr>
            <w:tcW w:w="1760" w:type="dxa"/>
            <w:vAlign w:val="bottom"/>
            <w:tcBorders>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Chimpanzee</w:t>
            </w:r>
          </w:p>
        </w:tc>
        <w:tc>
          <w:tcPr>
            <w:tcW w:w="1780" w:type="dxa"/>
            <w:vAlign w:val="bottom"/>
            <w:tcBorders>
              <w:right w:val="single" w:sz="8" w:color="9CC2E5"/>
            </w:tcBorders>
            <w:shd w:val="clear" w:color="auto" w:fill="DEEAF6"/>
          </w:tcPr>
          <w:p>
            <w:pPr>
              <w:spacing w:after="0"/>
              <w:rPr>
                <w:sz w:val="19"/>
                <w:szCs w:val="19"/>
                <w:color w:val="auto"/>
              </w:rPr>
            </w:pPr>
          </w:p>
        </w:tc>
        <w:tc>
          <w:tcPr>
            <w:tcW w:w="2000" w:type="dxa"/>
            <w:vAlign w:val="bottom"/>
            <w:tcBorders>
              <w:right w:val="single" w:sz="8" w:color="9CC2E5"/>
            </w:tcBorders>
            <w:shd w:val="clear" w:color="auto" w:fill="DEEAF6"/>
          </w:tcPr>
          <w:p>
            <w:pPr>
              <w:spacing w:after="0"/>
              <w:rPr>
                <w:sz w:val="19"/>
                <w:szCs w:val="19"/>
                <w:color w:val="auto"/>
              </w:rPr>
            </w:pPr>
          </w:p>
        </w:tc>
        <w:tc>
          <w:tcPr>
            <w:tcW w:w="1780" w:type="dxa"/>
            <w:vAlign w:val="bottom"/>
            <w:tcBorders>
              <w:right w:val="single" w:sz="8" w:color="9CC2E5"/>
            </w:tcBorders>
            <w:shd w:val="clear" w:color="auto" w:fill="DEEAF6"/>
          </w:tcPr>
          <w:p>
            <w:pPr>
              <w:spacing w:after="0"/>
              <w:rPr>
                <w:sz w:val="19"/>
                <w:szCs w:val="19"/>
                <w:color w:val="auto"/>
              </w:rPr>
            </w:pPr>
          </w:p>
        </w:tc>
      </w:tr>
      <w:tr>
        <w:trPr>
          <w:trHeight w:val="230"/>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176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Adenovirus vaccine</w:t>
            </w: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200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r>
      <w:tr>
        <w:trPr>
          <w:trHeight w:val="191"/>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b w:val="1"/>
                <w:bCs w:val="1"/>
                <w:color w:val="333333"/>
                <w:highlight w:val="white"/>
              </w:rPr>
              <w:t>JNJ-78436735 or</w:t>
            </w: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JNJ/Janssen</w:t>
            </w:r>
          </w:p>
        </w:tc>
        <w:tc>
          <w:tcPr>
            <w:tcW w:w="176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Non-replicating</w:t>
            </w:r>
          </w:p>
        </w:tc>
        <w:tc>
          <w:tcPr>
            <w:tcW w:w="1780" w:type="dxa"/>
            <w:vAlign w:val="bottom"/>
            <w:tcBorders>
              <w:right w:val="single" w:sz="8" w:color="9CC2E5"/>
            </w:tcBorders>
            <w:shd w:val="clear" w:color="auto" w:fill="DEEAF6"/>
          </w:tcPr>
          <w:p>
            <w:pPr>
              <w:ind w:left="80"/>
              <w:spacing w:after="0" w:line="191" w:lineRule="exact"/>
              <w:rPr>
                <w:sz w:val="20"/>
                <w:szCs w:val="20"/>
                <w:color w:val="auto"/>
              </w:rPr>
            </w:pPr>
            <w:r>
              <w:rPr>
                <w:rFonts w:ascii="Arial" w:cs="Arial" w:eastAsia="Arial" w:hAnsi="Arial"/>
                <w:sz w:val="18"/>
                <w:szCs w:val="18"/>
                <w:color w:val="auto"/>
              </w:rPr>
              <w:t>Phase 3</w:t>
            </w:r>
          </w:p>
        </w:tc>
        <w:tc>
          <w:tcPr>
            <w:tcW w:w="2000" w:type="dxa"/>
            <w:vAlign w:val="bottom"/>
            <w:tcBorders>
              <w:right w:val="single" w:sz="8" w:color="9CC2E5"/>
            </w:tcBorders>
            <w:shd w:val="clear" w:color="auto" w:fill="DEEAF6"/>
          </w:tcPr>
          <w:p>
            <w:pPr>
              <w:jc w:val="center"/>
              <w:spacing w:after="0" w:line="191"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shd w:val="clear" w:color="auto" w:fill="DEEAF6"/>
          </w:tcPr>
          <w:p>
            <w:pPr>
              <w:jc w:val="center"/>
              <w:spacing w:after="0" w:line="191" w:lineRule="exact"/>
              <w:rPr>
                <w:sz w:val="20"/>
                <w:szCs w:val="20"/>
                <w:color w:val="auto"/>
              </w:rPr>
            </w:pPr>
            <w:r>
              <w:rPr>
                <w:rFonts w:ascii="Arial" w:cs="Arial" w:eastAsia="Arial" w:hAnsi="Arial"/>
                <w:sz w:val="18"/>
                <w:szCs w:val="18"/>
                <w:color w:val="auto"/>
                <w:w w:val="99"/>
              </w:rPr>
              <w:t>1</w:t>
            </w:r>
          </w:p>
        </w:tc>
      </w:tr>
      <w:tr>
        <w:trPr>
          <w:trHeight w:val="220"/>
        </w:trPr>
        <w:tc>
          <w:tcPr>
            <w:tcW w:w="200" w:type="dxa"/>
            <w:vAlign w:val="bottom"/>
            <w:tcBorders>
              <w:right w:val="single" w:sz="8" w:color="9CC2E5"/>
            </w:tcBorders>
          </w:tcPr>
          <w:p>
            <w:pPr>
              <w:spacing w:after="0"/>
              <w:rPr>
                <w:sz w:val="19"/>
                <w:szCs w:val="19"/>
                <w:color w:val="auto"/>
              </w:rPr>
            </w:pPr>
          </w:p>
        </w:tc>
        <w:tc>
          <w:tcPr>
            <w:tcW w:w="1780" w:type="dxa"/>
            <w:vAlign w:val="bottom"/>
            <w:tcBorders>
              <w:right w:val="single" w:sz="8" w:color="9CC2E5"/>
            </w:tcBorders>
            <w:shd w:val="clear" w:color="auto" w:fill="DEEAF6"/>
          </w:tcPr>
          <w:p>
            <w:pPr>
              <w:ind w:left="80"/>
              <w:spacing w:after="0"/>
              <w:rPr>
                <w:sz w:val="20"/>
                <w:szCs w:val="20"/>
                <w:color w:val="auto"/>
              </w:rPr>
            </w:pPr>
            <w:r>
              <w:rPr>
                <w:rFonts w:ascii="Arial" w:cs="Arial" w:eastAsia="Arial" w:hAnsi="Arial"/>
                <w:sz w:val="18"/>
                <w:szCs w:val="18"/>
                <w:b w:val="1"/>
                <w:bCs w:val="1"/>
                <w:color w:val="333333"/>
                <w:highlight w:val="white"/>
              </w:rPr>
              <w:t>Ad26.COV2.S</w:t>
            </w:r>
          </w:p>
        </w:tc>
        <w:tc>
          <w:tcPr>
            <w:tcW w:w="1780" w:type="dxa"/>
            <w:vAlign w:val="bottom"/>
            <w:tcBorders>
              <w:right w:val="single" w:sz="8" w:color="9CC2E5"/>
            </w:tcBorders>
            <w:shd w:val="clear" w:color="auto" w:fill="DEEAF6"/>
          </w:tcPr>
          <w:p>
            <w:pPr>
              <w:spacing w:after="0"/>
              <w:rPr>
                <w:sz w:val="19"/>
                <w:szCs w:val="19"/>
                <w:color w:val="auto"/>
              </w:rPr>
            </w:pPr>
          </w:p>
        </w:tc>
        <w:tc>
          <w:tcPr>
            <w:tcW w:w="1760" w:type="dxa"/>
            <w:vAlign w:val="bottom"/>
            <w:tcBorders>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Adenoviral vector-</w:t>
            </w:r>
          </w:p>
        </w:tc>
        <w:tc>
          <w:tcPr>
            <w:tcW w:w="1780" w:type="dxa"/>
            <w:vAlign w:val="bottom"/>
            <w:tcBorders>
              <w:right w:val="single" w:sz="8" w:color="9CC2E5"/>
            </w:tcBorders>
            <w:shd w:val="clear" w:color="auto" w:fill="DEEAF6"/>
          </w:tcPr>
          <w:p>
            <w:pPr>
              <w:spacing w:after="0"/>
              <w:rPr>
                <w:sz w:val="19"/>
                <w:szCs w:val="19"/>
                <w:color w:val="auto"/>
              </w:rPr>
            </w:pPr>
          </w:p>
        </w:tc>
        <w:tc>
          <w:tcPr>
            <w:tcW w:w="2000" w:type="dxa"/>
            <w:vAlign w:val="bottom"/>
            <w:tcBorders>
              <w:right w:val="single" w:sz="8" w:color="9CC2E5"/>
            </w:tcBorders>
            <w:shd w:val="clear" w:color="auto" w:fill="DEEAF6"/>
          </w:tcPr>
          <w:p>
            <w:pPr>
              <w:spacing w:after="0"/>
              <w:rPr>
                <w:sz w:val="19"/>
                <w:szCs w:val="19"/>
                <w:color w:val="auto"/>
              </w:rPr>
            </w:pPr>
          </w:p>
        </w:tc>
        <w:tc>
          <w:tcPr>
            <w:tcW w:w="1780" w:type="dxa"/>
            <w:vAlign w:val="bottom"/>
            <w:tcBorders>
              <w:right w:val="single" w:sz="8" w:color="9CC2E5"/>
            </w:tcBorders>
            <w:shd w:val="clear" w:color="auto" w:fill="DEEAF6"/>
          </w:tcPr>
          <w:p>
            <w:pPr>
              <w:spacing w:after="0"/>
              <w:rPr>
                <w:sz w:val="19"/>
                <w:szCs w:val="19"/>
                <w:color w:val="auto"/>
              </w:rPr>
            </w:pPr>
          </w:p>
        </w:tc>
      </w:tr>
      <w:tr>
        <w:trPr>
          <w:trHeight w:val="230"/>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176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Ad26</w:t>
            </w: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200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r>
      <w:tr>
        <w:trPr>
          <w:trHeight w:val="191"/>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tcPr>
          <w:p>
            <w:pPr>
              <w:ind w:left="80"/>
              <w:spacing w:after="0" w:line="191" w:lineRule="exact"/>
              <w:rPr>
                <w:sz w:val="20"/>
                <w:szCs w:val="20"/>
                <w:color w:val="auto"/>
              </w:rPr>
            </w:pPr>
            <w:r>
              <w:rPr>
                <w:rFonts w:ascii="Arial" w:cs="Arial" w:eastAsia="Arial" w:hAnsi="Arial"/>
                <w:sz w:val="18"/>
                <w:szCs w:val="18"/>
                <w:b w:val="1"/>
                <w:bCs w:val="1"/>
                <w:color w:val="auto"/>
              </w:rPr>
              <w:t>Sputnik V (Gam-</w:t>
            </w:r>
          </w:p>
        </w:tc>
        <w:tc>
          <w:tcPr>
            <w:tcW w:w="1780" w:type="dxa"/>
            <w:vAlign w:val="bottom"/>
            <w:tcBorders>
              <w:right w:val="single" w:sz="8" w:color="9CC2E5"/>
            </w:tcBorders>
          </w:tcPr>
          <w:p>
            <w:pPr>
              <w:ind w:left="80"/>
              <w:spacing w:after="0" w:line="191" w:lineRule="exact"/>
              <w:rPr>
                <w:sz w:val="20"/>
                <w:szCs w:val="20"/>
                <w:color w:val="auto"/>
              </w:rPr>
            </w:pPr>
            <w:r>
              <w:rPr>
                <w:rFonts w:ascii="Arial" w:cs="Arial" w:eastAsia="Arial" w:hAnsi="Arial"/>
                <w:sz w:val="18"/>
                <w:szCs w:val="18"/>
                <w:color w:val="auto"/>
              </w:rPr>
              <w:t>Russian (Gamaleya</w:t>
            </w:r>
          </w:p>
        </w:tc>
        <w:tc>
          <w:tcPr>
            <w:tcW w:w="1760" w:type="dxa"/>
            <w:vAlign w:val="bottom"/>
            <w:tcBorders>
              <w:right w:val="single" w:sz="8" w:color="9CC2E5"/>
            </w:tcBorders>
          </w:tcPr>
          <w:p>
            <w:pPr>
              <w:ind w:left="80"/>
              <w:spacing w:after="0" w:line="191" w:lineRule="exact"/>
              <w:rPr>
                <w:sz w:val="20"/>
                <w:szCs w:val="20"/>
                <w:color w:val="auto"/>
              </w:rPr>
            </w:pPr>
            <w:r>
              <w:rPr>
                <w:rFonts w:ascii="Arial" w:cs="Arial" w:eastAsia="Arial" w:hAnsi="Arial"/>
                <w:sz w:val="18"/>
                <w:szCs w:val="18"/>
                <w:color w:val="auto"/>
              </w:rPr>
              <w:t>Heterologous non-</w:t>
            </w:r>
          </w:p>
        </w:tc>
        <w:tc>
          <w:tcPr>
            <w:tcW w:w="1780" w:type="dxa"/>
            <w:vAlign w:val="bottom"/>
            <w:tcBorders>
              <w:right w:val="single" w:sz="8" w:color="9CC2E5"/>
            </w:tcBorders>
          </w:tcPr>
          <w:p>
            <w:pPr>
              <w:ind w:left="80"/>
              <w:spacing w:after="0" w:line="191" w:lineRule="exact"/>
              <w:rPr>
                <w:sz w:val="20"/>
                <w:szCs w:val="20"/>
                <w:color w:val="auto"/>
              </w:rPr>
            </w:pPr>
            <w:r>
              <w:rPr>
                <w:rFonts w:ascii="Arial" w:cs="Arial" w:eastAsia="Arial" w:hAnsi="Arial"/>
                <w:sz w:val="18"/>
                <w:szCs w:val="18"/>
                <w:color w:val="auto"/>
              </w:rPr>
              <w:t>Phase 3 and EU</w:t>
            </w:r>
          </w:p>
        </w:tc>
        <w:tc>
          <w:tcPr>
            <w:tcW w:w="2000" w:type="dxa"/>
            <w:vAlign w:val="bottom"/>
            <w:tcBorders>
              <w:right w:val="single" w:sz="8" w:color="9CC2E5"/>
            </w:tcBorders>
          </w:tcPr>
          <w:p>
            <w:pPr>
              <w:jc w:val="center"/>
              <w:spacing w:after="0" w:line="191"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tcPr>
          <w:p>
            <w:pPr>
              <w:jc w:val="center"/>
              <w:spacing w:after="0" w:line="191" w:lineRule="exact"/>
              <w:rPr>
                <w:sz w:val="20"/>
                <w:szCs w:val="20"/>
                <w:color w:val="auto"/>
              </w:rPr>
            </w:pPr>
            <w:r>
              <w:rPr>
                <w:rFonts w:ascii="Arial" w:cs="Arial" w:eastAsia="Arial" w:hAnsi="Arial"/>
                <w:sz w:val="18"/>
                <w:szCs w:val="18"/>
                <w:color w:val="auto"/>
                <w:w w:val="99"/>
              </w:rPr>
              <w:t>2</w:t>
            </w:r>
          </w:p>
        </w:tc>
      </w:tr>
      <w:tr>
        <w:trPr>
          <w:trHeight w:val="220"/>
        </w:trPr>
        <w:tc>
          <w:tcPr>
            <w:tcW w:w="200" w:type="dxa"/>
            <w:vAlign w:val="bottom"/>
            <w:tcBorders>
              <w:right w:val="single" w:sz="8" w:color="9CC2E5"/>
            </w:tcBorders>
          </w:tcPr>
          <w:p>
            <w:pPr>
              <w:spacing w:after="0"/>
              <w:rPr>
                <w:sz w:val="19"/>
                <w:szCs w:val="19"/>
                <w:color w:val="auto"/>
              </w:rPr>
            </w:pPr>
          </w:p>
        </w:tc>
        <w:tc>
          <w:tcPr>
            <w:tcW w:w="1780" w:type="dxa"/>
            <w:vAlign w:val="bottom"/>
            <w:tcBorders>
              <w:right w:val="single" w:sz="8" w:color="9CC2E5"/>
            </w:tcBorders>
          </w:tcPr>
          <w:p>
            <w:pPr>
              <w:ind w:left="80"/>
              <w:spacing w:after="0"/>
              <w:rPr>
                <w:sz w:val="20"/>
                <w:szCs w:val="20"/>
                <w:color w:val="auto"/>
              </w:rPr>
            </w:pPr>
            <w:r>
              <w:rPr>
                <w:rFonts w:ascii="Arial" w:cs="Arial" w:eastAsia="Arial" w:hAnsi="Arial"/>
                <w:sz w:val="18"/>
                <w:szCs w:val="18"/>
                <w:b w:val="1"/>
                <w:bCs w:val="1"/>
                <w:color w:val="auto"/>
              </w:rPr>
              <w:t>COVID-Vac)</w:t>
            </w:r>
          </w:p>
        </w:tc>
        <w:tc>
          <w:tcPr>
            <w:tcW w:w="178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National Research</w:t>
            </w:r>
          </w:p>
        </w:tc>
        <w:tc>
          <w:tcPr>
            <w:tcW w:w="176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replicating adeno</w:t>
            </w:r>
          </w:p>
        </w:tc>
        <w:tc>
          <w:tcPr>
            <w:tcW w:w="1780" w:type="dxa"/>
            <w:vAlign w:val="bottom"/>
            <w:tcBorders>
              <w:right w:val="single" w:sz="8" w:color="9CC2E5"/>
            </w:tcBorders>
          </w:tcPr>
          <w:p>
            <w:pPr>
              <w:spacing w:after="0"/>
              <w:rPr>
                <w:sz w:val="19"/>
                <w:szCs w:val="19"/>
                <w:color w:val="auto"/>
              </w:rPr>
            </w:pPr>
          </w:p>
        </w:tc>
        <w:tc>
          <w:tcPr>
            <w:tcW w:w="2000" w:type="dxa"/>
            <w:vAlign w:val="bottom"/>
            <w:tcBorders>
              <w:right w:val="single" w:sz="8" w:color="9CC2E5"/>
            </w:tcBorders>
          </w:tcPr>
          <w:p>
            <w:pPr>
              <w:spacing w:after="0"/>
              <w:rPr>
                <w:sz w:val="19"/>
                <w:szCs w:val="19"/>
                <w:color w:val="auto"/>
              </w:rPr>
            </w:pPr>
          </w:p>
        </w:tc>
        <w:tc>
          <w:tcPr>
            <w:tcW w:w="1780" w:type="dxa"/>
            <w:vAlign w:val="bottom"/>
            <w:tcBorders>
              <w:right w:val="single" w:sz="8" w:color="9CC2E5"/>
            </w:tcBorders>
          </w:tcPr>
          <w:p>
            <w:pPr>
              <w:spacing w:after="0"/>
              <w:rPr>
                <w:sz w:val="19"/>
                <w:szCs w:val="19"/>
                <w:color w:val="auto"/>
              </w:rPr>
            </w:pPr>
          </w:p>
        </w:tc>
      </w:tr>
      <w:tr>
        <w:trPr>
          <w:trHeight w:val="216"/>
        </w:trPr>
        <w:tc>
          <w:tcPr>
            <w:tcW w:w="2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Centre for</w:t>
            </w:r>
          </w:p>
        </w:tc>
        <w:tc>
          <w:tcPr>
            <w:tcW w:w="176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viral vectors Ad26</w:t>
            </w:r>
          </w:p>
        </w:tc>
        <w:tc>
          <w:tcPr>
            <w:tcW w:w="1780" w:type="dxa"/>
            <w:vAlign w:val="bottom"/>
            <w:tcBorders>
              <w:right w:val="single" w:sz="8" w:color="9CC2E5"/>
            </w:tcBorders>
          </w:tcPr>
          <w:p>
            <w:pPr>
              <w:spacing w:after="0"/>
              <w:rPr>
                <w:sz w:val="18"/>
                <w:szCs w:val="18"/>
                <w:color w:val="auto"/>
              </w:rPr>
            </w:pPr>
          </w:p>
        </w:tc>
        <w:tc>
          <w:tcPr>
            <w:tcW w:w="20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r>
      <w:tr>
        <w:trPr>
          <w:trHeight w:val="216"/>
        </w:trPr>
        <w:tc>
          <w:tcPr>
            <w:tcW w:w="2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Epidemiology and</w:t>
            </w:r>
          </w:p>
        </w:tc>
        <w:tc>
          <w:tcPr>
            <w:tcW w:w="176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prime/Ad5 boost</w:t>
            </w:r>
          </w:p>
        </w:tc>
        <w:tc>
          <w:tcPr>
            <w:tcW w:w="1780" w:type="dxa"/>
            <w:vAlign w:val="bottom"/>
            <w:tcBorders>
              <w:right w:val="single" w:sz="8" w:color="9CC2E5"/>
            </w:tcBorders>
          </w:tcPr>
          <w:p>
            <w:pPr>
              <w:spacing w:after="0"/>
              <w:rPr>
                <w:sz w:val="18"/>
                <w:szCs w:val="18"/>
                <w:color w:val="auto"/>
              </w:rPr>
            </w:pPr>
          </w:p>
        </w:tc>
        <w:tc>
          <w:tcPr>
            <w:tcW w:w="20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r>
      <w:tr>
        <w:trPr>
          <w:trHeight w:val="230"/>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18"/>
                <w:szCs w:val="18"/>
                <w:color w:val="auto"/>
              </w:rPr>
              <w:t>Microbiology)</w:t>
            </w:r>
          </w:p>
        </w:tc>
        <w:tc>
          <w:tcPr>
            <w:tcW w:w="176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c>
          <w:tcPr>
            <w:tcW w:w="200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r>
      <w:tr>
        <w:trPr>
          <w:trHeight w:val="195"/>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shd w:val="clear" w:color="auto" w:fill="DEEAF6"/>
          </w:tcPr>
          <w:p>
            <w:pPr>
              <w:ind w:left="80"/>
              <w:spacing w:after="0" w:line="195" w:lineRule="exact"/>
              <w:rPr>
                <w:sz w:val="20"/>
                <w:szCs w:val="20"/>
                <w:color w:val="auto"/>
              </w:rPr>
            </w:pPr>
            <w:r>
              <w:rPr>
                <w:rFonts w:ascii="Arial" w:cs="Arial" w:eastAsia="Arial" w:hAnsi="Arial"/>
                <w:sz w:val="18"/>
                <w:szCs w:val="18"/>
                <w:b w:val="1"/>
                <w:bCs w:val="1"/>
                <w:color w:val="auto"/>
              </w:rPr>
              <w:t>CoronaVac</w:t>
            </w:r>
          </w:p>
        </w:tc>
        <w:tc>
          <w:tcPr>
            <w:tcW w:w="1780" w:type="dxa"/>
            <w:vAlign w:val="bottom"/>
            <w:tcBorders>
              <w:right w:val="single" w:sz="8" w:color="9CC2E5"/>
            </w:tcBorders>
            <w:shd w:val="clear" w:color="auto" w:fill="DEEAF6"/>
          </w:tcPr>
          <w:p>
            <w:pPr>
              <w:ind w:left="80"/>
              <w:spacing w:after="0" w:line="195" w:lineRule="exact"/>
              <w:rPr>
                <w:sz w:val="20"/>
                <w:szCs w:val="20"/>
                <w:color w:val="auto"/>
              </w:rPr>
            </w:pPr>
            <w:r>
              <w:rPr>
                <w:rFonts w:ascii="Arial" w:cs="Arial" w:eastAsia="Arial" w:hAnsi="Arial"/>
                <w:sz w:val="18"/>
                <w:szCs w:val="18"/>
                <w:color w:val="auto"/>
              </w:rPr>
              <w:t>Sinovac</w:t>
            </w:r>
          </w:p>
        </w:tc>
        <w:tc>
          <w:tcPr>
            <w:tcW w:w="1760" w:type="dxa"/>
            <w:vAlign w:val="bottom"/>
            <w:tcBorders>
              <w:right w:val="single" w:sz="8" w:color="9CC2E5"/>
            </w:tcBorders>
            <w:shd w:val="clear" w:color="auto" w:fill="DEEAF6"/>
          </w:tcPr>
          <w:p>
            <w:pPr>
              <w:ind w:left="80"/>
              <w:spacing w:after="0" w:line="195" w:lineRule="exact"/>
              <w:rPr>
                <w:sz w:val="20"/>
                <w:szCs w:val="20"/>
                <w:color w:val="auto"/>
              </w:rPr>
            </w:pPr>
            <w:r>
              <w:rPr>
                <w:rFonts w:ascii="Arial" w:cs="Arial" w:eastAsia="Arial" w:hAnsi="Arial"/>
                <w:sz w:val="18"/>
                <w:szCs w:val="18"/>
                <w:color w:val="auto"/>
              </w:rPr>
              <w:t>Inactivated vaccine</w:t>
            </w:r>
          </w:p>
        </w:tc>
        <w:tc>
          <w:tcPr>
            <w:tcW w:w="1780" w:type="dxa"/>
            <w:vAlign w:val="bottom"/>
            <w:tcBorders>
              <w:right w:val="single" w:sz="8" w:color="9CC2E5"/>
            </w:tcBorders>
            <w:shd w:val="clear" w:color="auto" w:fill="DEEAF6"/>
          </w:tcPr>
          <w:p>
            <w:pPr>
              <w:ind w:left="80"/>
              <w:spacing w:after="0" w:line="195" w:lineRule="exact"/>
              <w:rPr>
                <w:sz w:val="20"/>
                <w:szCs w:val="20"/>
                <w:color w:val="auto"/>
              </w:rPr>
            </w:pPr>
            <w:r>
              <w:rPr>
                <w:rFonts w:ascii="Arial" w:cs="Arial" w:eastAsia="Arial" w:hAnsi="Arial"/>
                <w:sz w:val="18"/>
                <w:szCs w:val="18"/>
                <w:color w:val="auto"/>
              </w:rPr>
              <w:t>Approved in China,</w:t>
            </w:r>
          </w:p>
        </w:tc>
        <w:tc>
          <w:tcPr>
            <w:tcW w:w="2000" w:type="dxa"/>
            <w:vAlign w:val="bottom"/>
            <w:tcBorders>
              <w:right w:val="single" w:sz="8" w:color="9CC2E5"/>
            </w:tcBorders>
            <w:shd w:val="clear" w:color="auto" w:fill="DEEAF6"/>
          </w:tcPr>
          <w:p>
            <w:pPr>
              <w:jc w:val="center"/>
              <w:spacing w:after="0" w:line="195"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shd w:val="clear" w:color="auto" w:fill="DEEAF6"/>
          </w:tcPr>
          <w:p>
            <w:pPr>
              <w:jc w:val="center"/>
              <w:spacing w:after="0" w:line="195" w:lineRule="exact"/>
              <w:rPr>
                <w:sz w:val="20"/>
                <w:szCs w:val="20"/>
                <w:color w:val="auto"/>
              </w:rPr>
            </w:pPr>
            <w:r>
              <w:rPr>
                <w:rFonts w:ascii="Arial" w:cs="Arial" w:eastAsia="Arial" w:hAnsi="Arial"/>
                <w:sz w:val="18"/>
                <w:szCs w:val="18"/>
                <w:color w:val="auto"/>
                <w:w w:val="99"/>
              </w:rPr>
              <w:t>2</w:t>
            </w:r>
          </w:p>
        </w:tc>
      </w:tr>
      <w:tr>
        <w:trPr>
          <w:trHeight w:val="216"/>
        </w:trPr>
        <w:tc>
          <w:tcPr>
            <w:tcW w:w="2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shd w:val="clear" w:color="auto" w:fill="DEEAF6"/>
          </w:tcPr>
          <w:p>
            <w:pPr>
              <w:spacing w:after="0"/>
              <w:rPr>
                <w:sz w:val="18"/>
                <w:szCs w:val="18"/>
                <w:color w:val="auto"/>
              </w:rPr>
            </w:pPr>
          </w:p>
        </w:tc>
        <w:tc>
          <w:tcPr>
            <w:tcW w:w="1780" w:type="dxa"/>
            <w:vAlign w:val="bottom"/>
            <w:tcBorders>
              <w:right w:val="single" w:sz="8" w:color="9CC2E5"/>
            </w:tcBorders>
            <w:shd w:val="clear" w:color="auto" w:fill="DEEAF6"/>
          </w:tcPr>
          <w:p>
            <w:pPr>
              <w:spacing w:after="0"/>
              <w:rPr>
                <w:sz w:val="18"/>
                <w:szCs w:val="18"/>
                <w:color w:val="auto"/>
              </w:rPr>
            </w:pPr>
          </w:p>
        </w:tc>
        <w:tc>
          <w:tcPr>
            <w:tcW w:w="1760" w:type="dxa"/>
            <w:vAlign w:val="bottom"/>
            <w:tcBorders>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(formalin with alum</w:t>
            </w:r>
          </w:p>
        </w:tc>
        <w:tc>
          <w:tcPr>
            <w:tcW w:w="1780" w:type="dxa"/>
            <w:vAlign w:val="bottom"/>
            <w:tcBorders>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Phase 3, EUA</w:t>
            </w:r>
          </w:p>
        </w:tc>
        <w:tc>
          <w:tcPr>
            <w:tcW w:w="2000" w:type="dxa"/>
            <w:vAlign w:val="bottom"/>
            <w:tcBorders>
              <w:right w:val="single" w:sz="8" w:color="9CC2E5"/>
            </w:tcBorders>
            <w:shd w:val="clear" w:color="auto" w:fill="DEEAF6"/>
          </w:tcPr>
          <w:p>
            <w:pPr>
              <w:spacing w:after="0"/>
              <w:rPr>
                <w:sz w:val="18"/>
                <w:szCs w:val="18"/>
                <w:color w:val="auto"/>
              </w:rPr>
            </w:pPr>
          </w:p>
        </w:tc>
        <w:tc>
          <w:tcPr>
            <w:tcW w:w="1780" w:type="dxa"/>
            <w:vAlign w:val="bottom"/>
            <w:tcBorders>
              <w:right w:val="single" w:sz="8" w:color="9CC2E5"/>
            </w:tcBorders>
            <w:shd w:val="clear" w:color="auto" w:fill="DEEAF6"/>
          </w:tcPr>
          <w:p>
            <w:pPr>
              <w:spacing w:after="0"/>
              <w:rPr>
                <w:sz w:val="18"/>
                <w:szCs w:val="18"/>
                <w:color w:val="auto"/>
              </w:rPr>
            </w:pPr>
          </w:p>
        </w:tc>
      </w:tr>
      <w:tr>
        <w:trPr>
          <w:trHeight w:val="230"/>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176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18"/>
                <w:szCs w:val="18"/>
                <w:color w:val="auto"/>
              </w:rPr>
              <w:t>adjuvant)</w:t>
            </w: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c>
          <w:tcPr>
            <w:tcW w:w="2000" w:type="dxa"/>
            <w:vAlign w:val="bottom"/>
            <w:tcBorders>
              <w:bottom w:val="single" w:sz="8" w:color="9CC2E5"/>
              <w:right w:val="single" w:sz="8" w:color="9CC2E5"/>
            </w:tcBorders>
            <w:shd w:val="clear" w:color="auto" w:fill="DEEAF6"/>
          </w:tcPr>
          <w:p>
            <w:pPr>
              <w:spacing w:after="0"/>
              <w:rPr>
                <w:sz w:val="20"/>
                <w:szCs w:val="20"/>
                <w:color w:val="auto"/>
              </w:rPr>
            </w:pPr>
          </w:p>
        </w:tc>
        <w:tc>
          <w:tcPr>
            <w:tcW w:w="1780" w:type="dxa"/>
            <w:vAlign w:val="bottom"/>
            <w:tcBorders>
              <w:bottom w:val="single" w:sz="8" w:color="9CC2E5"/>
              <w:right w:val="single" w:sz="8" w:color="9CC2E5"/>
            </w:tcBorders>
            <w:shd w:val="clear" w:color="auto" w:fill="DEEAF6"/>
          </w:tcPr>
          <w:p>
            <w:pPr>
              <w:spacing w:after="0"/>
              <w:rPr>
                <w:sz w:val="20"/>
                <w:szCs w:val="20"/>
                <w:color w:val="auto"/>
              </w:rPr>
            </w:pPr>
          </w:p>
        </w:tc>
      </w:tr>
      <w:tr>
        <w:trPr>
          <w:trHeight w:val="195"/>
        </w:trPr>
        <w:tc>
          <w:tcPr>
            <w:tcW w:w="200" w:type="dxa"/>
            <w:vAlign w:val="bottom"/>
            <w:tcBorders>
              <w:right w:val="single" w:sz="8" w:color="9CC2E5"/>
            </w:tcBorders>
          </w:tcPr>
          <w:p>
            <w:pPr>
              <w:spacing w:after="0"/>
              <w:rPr>
                <w:sz w:val="16"/>
                <w:szCs w:val="16"/>
                <w:color w:val="auto"/>
              </w:rPr>
            </w:pPr>
          </w:p>
        </w:tc>
        <w:tc>
          <w:tcPr>
            <w:tcW w:w="178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b w:val="1"/>
                <w:bCs w:val="1"/>
                <w:color w:val="auto"/>
              </w:rPr>
              <w:t>NVX-CoV2373</w:t>
            </w:r>
          </w:p>
        </w:tc>
        <w:tc>
          <w:tcPr>
            <w:tcW w:w="178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color w:val="auto"/>
              </w:rPr>
              <w:t>Novavax</w:t>
            </w:r>
          </w:p>
        </w:tc>
        <w:tc>
          <w:tcPr>
            <w:tcW w:w="176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color w:val="auto"/>
              </w:rPr>
              <w:t>Recombinant</w:t>
            </w:r>
          </w:p>
        </w:tc>
        <w:tc>
          <w:tcPr>
            <w:tcW w:w="1780" w:type="dxa"/>
            <w:vAlign w:val="bottom"/>
            <w:tcBorders>
              <w:right w:val="single" w:sz="8" w:color="9CC2E5"/>
            </w:tcBorders>
          </w:tcPr>
          <w:p>
            <w:pPr>
              <w:ind w:left="80"/>
              <w:spacing w:after="0" w:line="195" w:lineRule="exact"/>
              <w:rPr>
                <w:sz w:val="20"/>
                <w:szCs w:val="20"/>
                <w:color w:val="auto"/>
              </w:rPr>
            </w:pPr>
            <w:r>
              <w:rPr>
                <w:rFonts w:ascii="Arial" w:cs="Arial" w:eastAsia="Arial" w:hAnsi="Arial"/>
                <w:sz w:val="18"/>
                <w:szCs w:val="18"/>
                <w:color w:val="auto"/>
              </w:rPr>
              <w:t>Phase 3</w:t>
            </w:r>
          </w:p>
        </w:tc>
        <w:tc>
          <w:tcPr>
            <w:tcW w:w="2000" w:type="dxa"/>
            <w:vAlign w:val="bottom"/>
            <w:tcBorders>
              <w:right w:val="single" w:sz="8" w:color="9CC2E5"/>
            </w:tcBorders>
          </w:tcPr>
          <w:p>
            <w:pPr>
              <w:jc w:val="center"/>
              <w:spacing w:after="0" w:line="195" w:lineRule="exact"/>
              <w:rPr>
                <w:sz w:val="20"/>
                <w:szCs w:val="20"/>
                <w:color w:val="auto"/>
              </w:rPr>
            </w:pPr>
            <w:r>
              <w:rPr>
                <w:rFonts w:ascii="Arial" w:cs="Arial" w:eastAsia="Arial" w:hAnsi="Arial"/>
                <w:sz w:val="18"/>
                <w:szCs w:val="18"/>
                <w:color w:val="auto"/>
                <w:w w:val="96"/>
              </w:rPr>
              <w:t>i.m.</w:t>
            </w:r>
          </w:p>
        </w:tc>
        <w:tc>
          <w:tcPr>
            <w:tcW w:w="1780" w:type="dxa"/>
            <w:vAlign w:val="bottom"/>
            <w:tcBorders>
              <w:right w:val="single" w:sz="8" w:color="9CC2E5"/>
            </w:tcBorders>
          </w:tcPr>
          <w:p>
            <w:pPr>
              <w:jc w:val="center"/>
              <w:spacing w:after="0" w:line="195" w:lineRule="exact"/>
              <w:rPr>
                <w:sz w:val="20"/>
                <w:szCs w:val="20"/>
                <w:color w:val="auto"/>
              </w:rPr>
            </w:pPr>
            <w:r>
              <w:rPr>
                <w:rFonts w:ascii="Arial" w:cs="Arial" w:eastAsia="Arial" w:hAnsi="Arial"/>
                <w:sz w:val="18"/>
                <w:szCs w:val="18"/>
                <w:color w:val="auto"/>
                <w:w w:val="99"/>
              </w:rPr>
              <w:t>2</w:t>
            </w:r>
          </w:p>
        </w:tc>
      </w:tr>
      <w:tr>
        <w:trPr>
          <w:trHeight w:val="216"/>
        </w:trPr>
        <w:tc>
          <w:tcPr>
            <w:tcW w:w="2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c>
          <w:tcPr>
            <w:tcW w:w="1760" w:type="dxa"/>
            <w:vAlign w:val="bottom"/>
            <w:tcBorders>
              <w:right w:val="single" w:sz="8" w:color="9CC2E5"/>
            </w:tcBorders>
          </w:tcPr>
          <w:p>
            <w:pPr>
              <w:ind w:left="80"/>
              <w:spacing w:after="0"/>
              <w:rPr>
                <w:sz w:val="20"/>
                <w:szCs w:val="20"/>
                <w:color w:val="auto"/>
              </w:rPr>
            </w:pPr>
            <w:r>
              <w:rPr>
                <w:rFonts w:ascii="Arial" w:cs="Arial" w:eastAsia="Arial" w:hAnsi="Arial"/>
                <w:sz w:val="18"/>
                <w:szCs w:val="18"/>
                <w:color w:val="auto"/>
              </w:rPr>
              <w:t>nanoparticle</w:t>
            </w:r>
          </w:p>
        </w:tc>
        <w:tc>
          <w:tcPr>
            <w:tcW w:w="1780" w:type="dxa"/>
            <w:vAlign w:val="bottom"/>
            <w:tcBorders>
              <w:right w:val="single" w:sz="8" w:color="9CC2E5"/>
            </w:tcBorders>
          </w:tcPr>
          <w:p>
            <w:pPr>
              <w:spacing w:after="0"/>
              <w:rPr>
                <w:sz w:val="18"/>
                <w:szCs w:val="18"/>
                <w:color w:val="auto"/>
              </w:rPr>
            </w:pPr>
          </w:p>
        </w:tc>
        <w:tc>
          <w:tcPr>
            <w:tcW w:w="2000" w:type="dxa"/>
            <w:vAlign w:val="bottom"/>
            <w:tcBorders>
              <w:right w:val="single" w:sz="8" w:color="9CC2E5"/>
            </w:tcBorders>
          </w:tcPr>
          <w:p>
            <w:pPr>
              <w:spacing w:after="0"/>
              <w:rPr>
                <w:sz w:val="18"/>
                <w:szCs w:val="18"/>
                <w:color w:val="auto"/>
              </w:rPr>
            </w:pPr>
          </w:p>
        </w:tc>
        <w:tc>
          <w:tcPr>
            <w:tcW w:w="1780" w:type="dxa"/>
            <w:vAlign w:val="bottom"/>
            <w:tcBorders>
              <w:right w:val="single" w:sz="8" w:color="9CC2E5"/>
            </w:tcBorders>
          </w:tcPr>
          <w:p>
            <w:pPr>
              <w:spacing w:after="0"/>
              <w:rPr>
                <w:sz w:val="18"/>
                <w:szCs w:val="18"/>
                <w:color w:val="auto"/>
              </w:rPr>
            </w:pPr>
          </w:p>
        </w:tc>
      </w:tr>
      <w:tr>
        <w:trPr>
          <w:trHeight w:val="230"/>
        </w:trPr>
        <w:tc>
          <w:tcPr>
            <w:tcW w:w="200" w:type="dxa"/>
            <w:vAlign w:val="bottom"/>
            <w:tcBorders>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c>
          <w:tcPr>
            <w:tcW w:w="176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18"/>
                <w:szCs w:val="18"/>
                <w:color w:val="auto"/>
              </w:rPr>
              <w:t>technology</w:t>
            </w:r>
          </w:p>
        </w:tc>
        <w:tc>
          <w:tcPr>
            <w:tcW w:w="1780" w:type="dxa"/>
            <w:vAlign w:val="bottom"/>
            <w:tcBorders>
              <w:bottom w:val="single" w:sz="8" w:color="9CC2E5"/>
              <w:right w:val="single" w:sz="8" w:color="9CC2E5"/>
            </w:tcBorders>
          </w:tcPr>
          <w:p>
            <w:pPr>
              <w:spacing w:after="0"/>
              <w:rPr>
                <w:sz w:val="20"/>
                <w:szCs w:val="20"/>
                <w:color w:val="auto"/>
              </w:rPr>
            </w:pPr>
          </w:p>
        </w:tc>
        <w:tc>
          <w:tcPr>
            <w:tcW w:w="2000" w:type="dxa"/>
            <w:vAlign w:val="bottom"/>
            <w:tcBorders>
              <w:bottom w:val="single" w:sz="8" w:color="9CC2E5"/>
              <w:right w:val="single" w:sz="8" w:color="9CC2E5"/>
            </w:tcBorders>
          </w:tcPr>
          <w:p>
            <w:pPr>
              <w:spacing w:after="0"/>
              <w:rPr>
                <w:sz w:val="20"/>
                <w:szCs w:val="20"/>
                <w:color w:val="auto"/>
              </w:rPr>
            </w:pPr>
          </w:p>
        </w:tc>
        <w:tc>
          <w:tcPr>
            <w:tcW w:w="1780" w:type="dxa"/>
            <w:vAlign w:val="bottom"/>
            <w:tcBorders>
              <w:bottom w:val="single" w:sz="8" w:color="9CC2E5"/>
              <w:right w:val="single" w:sz="8" w:color="9CC2E5"/>
            </w:tcBorders>
          </w:tcPr>
          <w:p>
            <w:pPr>
              <w:spacing w:after="0"/>
              <w:rPr>
                <w:sz w:val="20"/>
                <w:szCs w:val="20"/>
                <w:color w:val="auto"/>
              </w:rPr>
            </w:pPr>
          </w:p>
        </w:tc>
      </w:tr>
    </w:tbl>
    <w:p>
      <w:pPr>
        <w:spacing w:after="0" w:line="202" w:lineRule="exact"/>
        <w:rPr>
          <w:sz w:val="20"/>
          <w:szCs w:val="20"/>
          <w:color w:val="auto"/>
        </w:rPr>
      </w:pPr>
    </w:p>
    <w:p>
      <w:pPr>
        <w:ind w:left="880" w:hanging="408"/>
        <w:spacing w:after="0" w:line="263" w:lineRule="auto"/>
        <w:tabs>
          <w:tab w:leader="none" w:pos="8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Comirnaty (Pfizer, BioNTech, Fosun Pharma) is a two-dose regimen at 30 µg per dose. mRNA-1273 (Moderna) is a two-dose regimen at 100 µg per dose. In our current Phase 2 trial for ARCT-021, we are exploring the following doses and regimens: 5 µg ARCT-021, two dose regimen and 7.5 µg ARCT-021, as one- and two-dose regimens.</w:t>
      </w:r>
    </w:p>
    <w:p>
      <w:pPr>
        <w:spacing w:after="0" w:line="29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Despite the receipt of emergency use approval (EUA) by several of our competitors for their COVID-19 vaccine, we believe there are significant commercial opportunities globally.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ind w:left="880"/>
        <w:spacing w:after="0"/>
        <w:rPr>
          <w:sz w:val="20"/>
          <w:szCs w:val="20"/>
          <w:color w:val="auto"/>
        </w:rPr>
      </w:pPr>
      <w:r>
        <w:rPr>
          <w:rFonts w:ascii="Arial" w:cs="Arial" w:eastAsia="Arial" w:hAnsi="Arial"/>
          <w:sz w:val="18"/>
          <w:szCs w:val="18"/>
          <w:color w:val="auto"/>
        </w:rPr>
        <w:t>ARCT-810 (LUNAR-OTC)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consider the following medicines as competitors or future competitors to ARCT-810.</w:t>
      </w:r>
    </w:p>
    <w:p>
      <w:pPr>
        <w:spacing w:after="0" w:line="219" w:lineRule="exact"/>
        <w:rPr>
          <w:sz w:val="20"/>
          <w:szCs w:val="20"/>
          <w:color w:val="auto"/>
        </w:rPr>
      </w:pPr>
    </w:p>
    <w:tbl>
      <w:tblPr>
        <w:tblLayout w:type="fixed"/>
        <w:tblInd w:w="170" w:type="dxa"/>
        <w:tblCellMar>
          <w:top w:w="0" w:type="dxa"/>
          <w:left w:w="0" w:type="dxa"/>
          <w:bottom w:w="0" w:type="dxa"/>
          <w:right w:w="0" w:type="dxa"/>
        </w:tblCellMar>
      </w:tblPr>
      <w:tr>
        <w:trPr>
          <w:trHeight w:val="229"/>
        </w:trPr>
        <w:tc>
          <w:tcPr>
            <w:tcW w:w="2040" w:type="dxa"/>
            <w:vAlign w:val="bottom"/>
            <w:tcBorders>
              <w:top w:val="single" w:sz="8" w:color="5B9BD5"/>
              <w:left w:val="single" w:sz="8" w:color="DEEAF6"/>
              <w:bottom w:val="single" w:sz="8" w:color="5B9BD5"/>
              <w:right w:val="single" w:sz="8" w:color="9CC2E5"/>
            </w:tcBorders>
            <w:shd w:val="clear" w:color="auto" w:fill="DEEAF6"/>
          </w:tcPr>
          <w:p>
            <w:pPr>
              <w:ind w:left="820"/>
              <w:spacing w:after="0"/>
              <w:rPr>
                <w:sz w:val="20"/>
                <w:szCs w:val="20"/>
                <w:color w:val="auto"/>
              </w:rPr>
            </w:pPr>
            <w:r>
              <w:rPr>
                <w:rFonts w:ascii="Arial" w:cs="Arial" w:eastAsia="Arial" w:hAnsi="Arial"/>
                <w:sz w:val="18"/>
                <w:szCs w:val="18"/>
                <w:color w:val="auto"/>
              </w:rPr>
              <w:t>Drug</w:t>
            </w:r>
          </w:p>
        </w:tc>
        <w:tc>
          <w:tcPr>
            <w:tcW w:w="2140" w:type="dxa"/>
            <w:vAlign w:val="bottom"/>
            <w:tcBorders>
              <w:top w:val="single" w:sz="8" w:color="5B9BD5"/>
              <w:bottom w:val="single" w:sz="8" w:color="5B9BD5"/>
              <w:right w:val="single" w:sz="8" w:color="9CC2E5"/>
            </w:tcBorders>
            <w:shd w:val="clear" w:color="auto" w:fill="DEEAF6"/>
          </w:tcPr>
          <w:p>
            <w:pPr>
              <w:ind w:left="700"/>
              <w:spacing w:after="0"/>
              <w:rPr>
                <w:sz w:val="20"/>
                <w:szCs w:val="20"/>
                <w:color w:val="auto"/>
              </w:rPr>
            </w:pPr>
            <w:r>
              <w:rPr>
                <w:rFonts w:ascii="Arial" w:cs="Arial" w:eastAsia="Arial" w:hAnsi="Arial"/>
                <w:sz w:val="18"/>
                <w:szCs w:val="18"/>
                <w:color w:val="auto"/>
              </w:rPr>
              <w:t>Company</w:t>
            </w:r>
          </w:p>
        </w:tc>
        <w:tc>
          <w:tcPr>
            <w:tcW w:w="2080" w:type="dxa"/>
            <w:vAlign w:val="bottom"/>
            <w:tcBorders>
              <w:top w:val="single" w:sz="8" w:color="5B9BD5"/>
              <w:bottom w:val="single" w:sz="8" w:color="5B9BD5"/>
              <w:right w:val="single" w:sz="8" w:color="9CC2E5"/>
            </w:tcBorders>
            <w:shd w:val="clear" w:color="auto" w:fill="DEEAF6"/>
          </w:tcPr>
          <w:p>
            <w:pPr>
              <w:ind w:left="400"/>
              <w:spacing w:after="0"/>
              <w:rPr>
                <w:sz w:val="20"/>
                <w:szCs w:val="20"/>
                <w:color w:val="auto"/>
              </w:rPr>
            </w:pPr>
            <w:r>
              <w:rPr>
                <w:rFonts w:ascii="Arial" w:cs="Arial" w:eastAsia="Arial" w:hAnsi="Arial"/>
                <w:sz w:val="18"/>
                <w:szCs w:val="18"/>
                <w:color w:val="auto"/>
              </w:rPr>
              <w:t>Drug Description</w:t>
            </w:r>
          </w:p>
        </w:tc>
        <w:tc>
          <w:tcPr>
            <w:tcW w:w="2000" w:type="dxa"/>
            <w:vAlign w:val="bottom"/>
            <w:tcBorders>
              <w:top w:val="single" w:sz="8" w:color="5B9BD5"/>
              <w:bottom w:val="single" w:sz="8" w:color="5B9BD5"/>
              <w:right w:val="single" w:sz="8" w:color="9CC2E5"/>
            </w:tcBorders>
            <w:shd w:val="clear" w:color="auto" w:fill="DEEAF6"/>
          </w:tcPr>
          <w:p>
            <w:pPr>
              <w:ind w:left="760"/>
              <w:spacing w:after="0"/>
              <w:rPr>
                <w:sz w:val="20"/>
                <w:szCs w:val="20"/>
                <w:color w:val="auto"/>
              </w:rPr>
            </w:pPr>
            <w:r>
              <w:rPr>
                <w:rFonts w:ascii="Arial" w:cs="Arial" w:eastAsia="Arial" w:hAnsi="Arial"/>
                <w:sz w:val="18"/>
                <w:szCs w:val="18"/>
                <w:color w:val="auto"/>
              </w:rPr>
              <w:t>Phase</w:t>
            </w:r>
          </w:p>
        </w:tc>
        <w:tc>
          <w:tcPr>
            <w:tcW w:w="2700" w:type="dxa"/>
            <w:vAlign w:val="bottom"/>
            <w:tcBorders>
              <w:top w:val="single" w:sz="8" w:color="5B9BD5"/>
              <w:bottom w:val="single" w:sz="8" w:color="5B9BD5"/>
              <w:right w:val="single" w:sz="8" w:color="5B9BD5"/>
            </w:tcBorders>
            <w:shd w:val="clear" w:color="auto" w:fill="DEEAF6"/>
          </w:tcPr>
          <w:p>
            <w:pPr>
              <w:ind w:left="500"/>
              <w:spacing w:after="0"/>
              <w:rPr>
                <w:sz w:val="20"/>
                <w:szCs w:val="20"/>
                <w:color w:val="auto"/>
              </w:rPr>
            </w:pPr>
            <w:r>
              <w:rPr>
                <w:rFonts w:ascii="Arial" w:cs="Arial" w:eastAsia="Arial" w:hAnsi="Arial"/>
                <w:sz w:val="18"/>
                <w:szCs w:val="18"/>
                <w:color w:val="auto"/>
              </w:rPr>
              <w:t>Administration/Dosing</w:t>
            </w:r>
          </w:p>
        </w:tc>
      </w:tr>
      <w:tr>
        <w:trPr>
          <w:trHeight w:val="210"/>
        </w:trPr>
        <w:tc>
          <w:tcPr>
            <w:tcW w:w="204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DTX-301</w:t>
            </w:r>
          </w:p>
        </w:tc>
        <w:tc>
          <w:tcPr>
            <w:tcW w:w="214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w w:val="93"/>
              </w:rPr>
              <w:t>Ultragenyx Pharmaceuticals</w:t>
            </w:r>
          </w:p>
        </w:tc>
        <w:tc>
          <w:tcPr>
            <w:tcW w:w="208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w w:val="98"/>
              </w:rPr>
              <w:t>OTC gene in AAV8 vector</w:t>
            </w:r>
          </w:p>
        </w:tc>
        <w:tc>
          <w:tcPr>
            <w:tcW w:w="200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Phase 1/2</w:t>
            </w:r>
          </w:p>
        </w:tc>
        <w:tc>
          <w:tcPr>
            <w:tcW w:w="270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IV, single dose</w:t>
            </w:r>
          </w:p>
        </w:tc>
      </w:tr>
      <w:tr>
        <w:trPr>
          <w:trHeight w:val="425"/>
        </w:trPr>
        <w:tc>
          <w:tcPr>
            <w:tcW w:w="4180" w:type="dxa"/>
            <w:vAlign w:val="bottom"/>
            <w:gridSpan w:val="2"/>
          </w:tcPr>
          <w:p>
            <w:pPr>
              <w:ind w:left="720"/>
              <w:spacing w:after="0"/>
              <w:rPr>
                <w:sz w:val="20"/>
                <w:szCs w:val="20"/>
                <w:color w:val="auto"/>
              </w:rPr>
            </w:pPr>
            <w:r>
              <w:rPr>
                <w:rFonts w:ascii="Arial" w:cs="Arial" w:eastAsia="Arial" w:hAnsi="Arial"/>
                <w:sz w:val="18"/>
                <w:szCs w:val="18"/>
                <w:color w:val="auto"/>
              </w:rPr>
              <w:t>ARCT-032 (LUNAR-CF)</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8260" w:type="dxa"/>
            <w:vAlign w:val="bottom"/>
            <w:gridSpan w:val="4"/>
          </w:tcPr>
          <w:p>
            <w:pPr>
              <w:ind w:left="720"/>
              <w:spacing w:after="0"/>
              <w:rPr>
                <w:sz w:val="20"/>
                <w:szCs w:val="20"/>
                <w:color w:val="auto"/>
              </w:rPr>
            </w:pPr>
            <w:r>
              <w:rPr>
                <w:rFonts w:ascii="Arial" w:cs="Arial" w:eastAsia="Arial" w:hAnsi="Arial"/>
                <w:sz w:val="18"/>
                <w:szCs w:val="18"/>
                <w:color w:val="auto"/>
              </w:rPr>
              <w:t>We consider the following medicines as competitors or future competitors to ARCT-032.</w:t>
            </w:r>
          </w:p>
        </w:tc>
        <w:tc>
          <w:tcPr>
            <w:tcW w:w="2700" w:type="dxa"/>
            <w:vAlign w:val="bottom"/>
          </w:tcPr>
          <w:p>
            <w:pPr>
              <w:spacing w:after="0"/>
              <w:rPr>
                <w:sz w:val="24"/>
                <w:szCs w:val="24"/>
                <w:color w:val="auto"/>
              </w:rPr>
            </w:pPr>
          </w:p>
        </w:tc>
      </w:tr>
      <w:tr>
        <w:trPr>
          <w:trHeight w:val="209"/>
        </w:trPr>
        <w:tc>
          <w:tcPr>
            <w:tcW w:w="2040" w:type="dxa"/>
            <w:vAlign w:val="bottom"/>
            <w:tcBorders>
              <w:top w:val="single" w:sz="8" w:color="5B9BD5"/>
              <w:left w:val="single" w:sz="8" w:color="DEEAF6"/>
              <w:bottom w:val="single" w:sz="8" w:color="5B9BD5"/>
              <w:right w:val="single" w:sz="8" w:color="9CC2E5"/>
            </w:tcBorders>
            <w:shd w:val="clear" w:color="auto" w:fill="DEEAF6"/>
          </w:tcPr>
          <w:p>
            <w:pPr>
              <w:ind w:left="820"/>
              <w:spacing w:after="0"/>
              <w:rPr>
                <w:sz w:val="20"/>
                <w:szCs w:val="20"/>
                <w:color w:val="auto"/>
              </w:rPr>
            </w:pPr>
            <w:r>
              <w:rPr>
                <w:rFonts w:ascii="Arial" w:cs="Arial" w:eastAsia="Arial" w:hAnsi="Arial"/>
                <w:sz w:val="18"/>
                <w:szCs w:val="18"/>
                <w:color w:val="auto"/>
              </w:rPr>
              <w:t>Drug</w:t>
            </w:r>
          </w:p>
        </w:tc>
        <w:tc>
          <w:tcPr>
            <w:tcW w:w="2140" w:type="dxa"/>
            <w:vAlign w:val="bottom"/>
            <w:tcBorders>
              <w:top w:val="single" w:sz="8" w:color="5B9BD5"/>
              <w:bottom w:val="single" w:sz="8" w:color="5B9BD5"/>
              <w:right w:val="single" w:sz="8" w:color="9CC2E5"/>
            </w:tcBorders>
            <w:shd w:val="clear" w:color="auto" w:fill="DEEAF6"/>
          </w:tcPr>
          <w:p>
            <w:pPr>
              <w:ind w:left="700"/>
              <w:spacing w:after="0"/>
              <w:rPr>
                <w:sz w:val="20"/>
                <w:szCs w:val="20"/>
                <w:color w:val="auto"/>
              </w:rPr>
            </w:pPr>
            <w:r>
              <w:rPr>
                <w:rFonts w:ascii="Arial" w:cs="Arial" w:eastAsia="Arial" w:hAnsi="Arial"/>
                <w:sz w:val="18"/>
                <w:szCs w:val="18"/>
                <w:color w:val="auto"/>
              </w:rPr>
              <w:t>Company</w:t>
            </w:r>
          </w:p>
        </w:tc>
        <w:tc>
          <w:tcPr>
            <w:tcW w:w="2080" w:type="dxa"/>
            <w:vAlign w:val="bottom"/>
            <w:tcBorders>
              <w:top w:val="single" w:sz="8" w:color="5B9BD5"/>
              <w:bottom w:val="single" w:sz="8" w:color="5B9BD5"/>
              <w:right w:val="single" w:sz="8" w:color="9CC2E5"/>
            </w:tcBorders>
            <w:shd w:val="clear" w:color="auto" w:fill="DEEAF6"/>
          </w:tcPr>
          <w:p>
            <w:pPr>
              <w:ind w:left="400"/>
              <w:spacing w:after="0"/>
              <w:rPr>
                <w:sz w:val="20"/>
                <w:szCs w:val="20"/>
                <w:color w:val="auto"/>
              </w:rPr>
            </w:pPr>
            <w:r>
              <w:rPr>
                <w:rFonts w:ascii="Arial" w:cs="Arial" w:eastAsia="Arial" w:hAnsi="Arial"/>
                <w:sz w:val="18"/>
                <w:szCs w:val="18"/>
                <w:color w:val="auto"/>
              </w:rPr>
              <w:t>Drug Description</w:t>
            </w:r>
          </w:p>
        </w:tc>
        <w:tc>
          <w:tcPr>
            <w:tcW w:w="2000" w:type="dxa"/>
            <w:vAlign w:val="bottom"/>
            <w:tcBorders>
              <w:top w:val="single" w:sz="8" w:color="5B9BD5"/>
              <w:bottom w:val="single" w:sz="8" w:color="5B9BD5"/>
              <w:right w:val="single" w:sz="8" w:color="9CC2E5"/>
            </w:tcBorders>
            <w:shd w:val="clear" w:color="auto" w:fill="DEEAF6"/>
          </w:tcPr>
          <w:p>
            <w:pPr>
              <w:ind w:left="760"/>
              <w:spacing w:after="0"/>
              <w:rPr>
                <w:sz w:val="20"/>
                <w:szCs w:val="20"/>
                <w:color w:val="auto"/>
              </w:rPr>
            </w:pPr>
            <w:r>
              <w:rPr>
                <w:rFonts w:ascii="Arial" w:cs="Arial" w:eastAsia="Arial" w:hAnsi="Arial"/>
                <w:sz w:val="18"/>
                <w:szCs w:val="18"/>
                <w:color w:val="auto"/>
              </w:rPr>
              <w:t>Phase</w:t>
            </w:r>
          </w:p>
        </w:tc>
        <w:tc>
          <w:tcPr>
            <w:tcW w:w="2700" w:type="dxa"/>
            <w:vAlign w:val="bottom"/>
            <w:tcBorders>
              <w:top w:val="single" w:sz="8" w:color="5B9BD5"/>
              <w:bottom w:val="single" w:sz="8" w:color="5B9BD5"/>
              <w:right w:val="single" w:sz="8" w:color="5B9BD5"/>
            </w:tcBorders>
            <w:shd w:val="clear" w:color="auto" w:fill="DEEAF6"/>
          </w:tcPr>
          <w:p>
            <w:pPr>
              <w:ind w:left="500"/>
              <w:spacing w:after="0"/>
              <w:rPr>
                <w:sz w:val="20"/>
                <w:szCs w:val="20"/>
                <w:color w:val="auto"/>
              </w:rPr>
            </w:pPr>
            <w:r>
              <w:rPr>
                <w:rFonts w:ascii="Arial" w:cs="Arial" w:eastAsia="Arial" w:hAnsi="Arial"/>
                <w:sz w:val="18"/>
                <w:szCs w:val="18"/>
                <w:color w:val="auto"/>
              </w:rPr>
              <w:t>Administration/Dosing</w:t>
            </w:r>
          </w:p>
        </w:tc>
      </w:tr>
      <w:tr>
        <w:trPr>
          <w:trHeight w:val="210"/>
        </w:trPr>
        <w:tc>
          <w:tcPr>
            <w:tcW w:w="2040" w:type="dxa"/>
            <w:vAlign w:val="bottom"/>
            <w:tcBorders>
              <w:left w:val="single" w:sz="8" w:color="9CC2E5"/>
              <w:bottom w:val="single" w:sz="8" w:color="9CC2E5"/>
              <w:right w:val="single" w:sz="8" w:color="9CC2E5"/>
            </w:tcBorders>
          </w:tcPr>
          <w:p>
            <w:pPr>
              <w:ind w:left="20"/>
              <w:spacing w:after="0"/>
              <w:rPr>
                <w:sz w:val="20"/>
                <w:szCs w:val="20"/>
                <w:color w:val="auto"/>
              </w:rPr>
            </w:pPr>
            <w:r>
              <w:rPr>
                <w:rFonts w:ascii="Arial" w:cs="Arial" w:eastAsia="Arial" w:hAnsi="Arial"/>
                <w:sz w:val="18"/>
                <w:szCs w:val="18"/>
                <w:color w:val="auto"/>
              </w:rPr>
              <w:t>MRT5005</w:t>
            </w:r>
          </w:p>
        </w:tc>
        <w:tc>
          <w:tcPr>
            <w:tcW w:w="214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Translate Bio</w:t>
            </w:r>
          </w:p>
        </w:tc>
        <w:tc>
          <w:tcPr>
            <w:tcW w:w="208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CFTR-encoded mRNA</w:t>
            </w:r>
          </w:p>
        </w:tc>
        <w:tc>
          <w:tcPr>
            <w:tcW w:w="200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Phase 1/2</w:t>
            </w:r>
          </w:p>
        </w:tc>
        <w:tc>
          <w:tcPr>
            <w:tcW w:w="2700" w:type="dxa"/>
            <w:vAlign w:val="bottom"/>
            <w:tcBorders>
              <w:bottom w:val="single" w:sz="8" w:color="9CC2E5"/>
              <w:right w:val="single" w:sz="8" w:color="9CC2E5"/>
            </w:tcBorders>
          </w:tcPr>
          <w:p>
            <w:pPr>
              <w:spacing w:after="0"/>
              <w:rPr>
                <w:sz w:val="20"/>
                <w:szCs w:val="20"/>
                <w:color w:val="auto"/>
              </w:rPr>
            </w:pPr>
            <w:r>
              <w:rPr>
                <w:rFonts w:ascii="Arial" w:cs="Arial" w:eastAsia="Arial" w:hAnsi="Arial"/>
                <w:sz w:val="18"/>
                <w:szCs w:val="18"/>
                <w:color w:val="auto"/>
              </w:rPr>
              <w:t>Weekly or daily inhalation</w:t>
            </w:r>
          </w:p>
        </w:tc>
      </w:tr>
      <w:tr>
        <w:trPr>
          <w:trHeight w:val="195"/>
        </w:trPr>
        <w:tc>
          <w:tcPr>
            <w:tcW w:w="2040" w:type="dxa"/>
            <w:vAlign w:val="bottom"/>
            <w:tcBorders>
              <w:left w:val="single" w:sz="8" w:color="9CC2E5"/>
              <w:right w:val="single" w:sz="8" w:color="9CC2E5"/>
            </w:tcBorders>
            <w:shd w:val="clear" w:color="auto" w:fill="DEEAF6"/>
          </w:tcPr>
          <w:p>
            <w:pPr>
              <w:ind w:left="20"/>
              <w:spacing w:after="0" w:line="195" w:lineRule="exact"/>
              <w:rPr>
                <w:sz w:val="20"/>
                <w:szCs w:val="20"/>
                <w:color w:val="auto"/>
              </w:rPr>
            </w:pPr>
            <w:r>
              <w:rPr>
                <w:rFonts w:ascii="Arial" w:cs="Arial" w:eastAsia="Arial" w:hAnsi="Arial"/>
                <w:sz w:val="18"/>
                <w:szCs w:val="18"/>
                <w:color w:val="auto"/>
              </w:rPr>
              <w:t>ELX-02</w:t>
            </w:r>
          </w:p>
        </w:tc>
        <w:tc>
          <w:tcPr>
            <w:tcW w:w="2140" w:type="dxa"/>
            <w:vAlign w:val="bottom"/>
            <w:tcBorders>
              <w:right w:val="single" w:sz="8" w:color="9CC2E5"/>
            </w:tcBorders>
            <w:shd w:val="clear" w:color="auto" w:fill="DEEAF6"/>
          </w:tcPr>
          <w:p>
            <w:pPr>
              <w:spacing w:after="0" w:line="195" w:lineRule="exact"/>
              <w:rPr>
                <w:sz w:val="20"/>
                <w:szCs w:val="20"/>
                <w:color w:val="auto"/>
              </w:rPr>
            </w:pPr>
            <w:r>
              <w:rPr>
                <w:rFonts w:ascii="Arial" w:cs="Arial" w:eastAsia="Arial" w:hAnsi="Arial"/>
                <w:sz w:val="18"/>
                <w:szCs w:val="18"/>
                <w:color w:val="auto"/>
              </w:rPr>
              <w:t>Eloxx Pharmaceuticals</w:t>
            </w:r>
          </w:p>
        </w:tc>
        <w:tc>
          <w:tcPr>
            <w:tcW w:w="2080" w:type="dxa"/>
            <w:vAlign w:val="bottom"/>
            <w:tcBorders>
              <w:right w:val="single" w:sz="8" w:color="9CC2E5"/>
            </w:tcBorders>
            <w:shd w:val="clear" w:color="auto" w:fill="DEEAF6"/>
          </w:tcPr>
          <w:p>
            <w:pPr>
              <w:spacing w:after="0" w:line="195" w:lineRule="exact"/>
              <w:rPr>
                <w:sz w:val="20"/>
                <w:szCs w:val="20"/>
                <w:color w:val="auto"/>
              </w:rPr>
            </w:pPr>
            <w:r>
              <w:rPr>
                <w:rFonts w:ascii="Arial" w:cs="Arial" w:eastAsia="Arial" w:hAnsi="Arial"/>
                <w:sz w:val="18"/>
                <w:szCs w:val="18"/>
                <w:color w:val="auto"/>
              </w:rPr>
              <w:t>Readthrough agent for</w:t>
            </w:r>
          </w:p>
        </w:tc>
        <w:tc>
          <w:tcPr>
            <w:tcW w:w="2000" w:type="dxa"/>
            <w:vAlign w:val="bottom"/>
            <w:tcBorders>
              <w:right w:val="single" w:sz="8" w:color="9CC2E5"/>
            </w:tcBorders>
            <w:shd w:val="clear" w:color="auto" w:fill="DEEAF6"/>
          </w:tcPr>
          <w:p>
            <w:pPr>
              <w:spacing w:after="0" w:line="195" w:lineRule="exact"/>
              <w:rPr>
                <w:sz w:val="20"/>
                <w:szCs w:val="20"/>
                <w:color w:val="auto"/>
              </w:rPr>
            </w:pPr>
            <w:r>
              <w:rPr>
                <w:rFonts w:ascii="Arial" w:cs="Arial" w:eastAsia="Arial" w:hAnsi="Arial"/>
                <w:sz w:val="18"/>
                <w:szCs w:val="18"/>
                <w:color w:val="auto"/>
                <w:w w:val="95"/>
              </w:rPr>
              <w:t>Phase 2, G542X mutation</w:t>
            </w:r>
          </w:p>
        </w:tc>
        <w:tc>
          <w:tcPr>
            <w:tcW w:w="2700" w:type="dxa"/>
            <w:vAlign w:val="bottom"/>
            <w:tcBorders>
              <w:right w:val="single" w:sz="8" w:color="9CC2E5"/>
            </w:tcBorders>
            <w:shd w:val="clear" w:color="auto" w:fill="DEEAF6"/>
          </w:tcPr>
          <w:p>
            <w:pPr>
              <w:spacing w:after="0" w:line="195" w:lineRule="exact"/>
              <w:rPr>
                <w:sz w:val="20"/>
                <w:szCs w:val="20"/>
                <w:color w:val="auto"/>
              </w:rPr>
            </w:pPr>
            <w:r>
              <w:rPr>
                <w:rFonts w:ascii="Arial" w:cs="Arial" w:eastAsia="Arial" w:hAnsi="Arial"/>
                <w:sz w:val="18"/>
                <w:szCs w:val="18"/>
                <w:color w:val="auto"/>
              </w:rPr>
              <w:t>Daily SC</w:t>
            </w:r>
          </w:p>
        </w:tc>
      </w:tr>
      <w:tr>
        <w:trPr>
          <w:trHeight w:val="230"/>
        </w:trPr>
        <w:tc>
          <w:tcPr>
            <w:tcW w:w="2040" w:type="dxa"/>
            <w:vAlign w:val="bottom"/>
            <w:tcBorders>
              <w:left w:val="single" w:sz="8" w:color="9CC2E5"/>
              <w:bottom w:val="single" w:sz="8" w:color="9CC2E5"/>
              <w:right w:val="single" w:sz="8" w:color="9CC2E5"/>
            </w:tcBorders>
            <w:shd w:val="clear" w:color="auto" w:fill="DEEAF6"/>
          </w:tcPr>
          <w:p>
            <w:pPr>
              <w:spacing w:after="0"/>
              <w:rPr>
                <w:sz w:val="20"/>
                <w:szCs w:val="20"/>
                <w:color w:val="auto"/>
              </w:rPr>
            </w:pPr>
          </w:p>
        </w:tc>
        <w:tc>
          <w:tcPr>
            <w:tcW w:w="2140" w:type="dxa"/>
            <w:vAlign w:val="bottom"/>
            <w:tcBorders>
              <w:bottom w:val="single" w:sz="8" w:color="9CC2E5"/>
              <w:right w:val="single" w:sz="8" w:color="9CC2E5"/>
            </w:tcBorders>
            <w:shd w:val="clear" w:color="auto" w:fill="DEEAF6"/>
          </w:tcPr>
          <w:p>
            <w:pPr>
              <w:spacing w:after="0"/>
              <w:rPr>
                <w:sz w:val="20"/>
                <w:szCs w:val="20"/>
                <w:color w:val="auto"/>
              </w:rPr>
            </w:pPr>
          </w:p>
        </w:tc>
        <w:tc>
          <w:tcPr>
            <w:tcW w:w="2080" w:type="dxa"/>
            <w:vAlign w:val="bottom"/>
            <w:tcBorders>
              <w:bottom w:val="single" w:sz="8" w:color="9CC2E5"/>
              <w:right w:val="single" w:sz="8" w:color="9CC2E5"/>
            </w:tcBorders>
            <w:shd w:val="clear" w:color="auto" w:fill="DEEAF6"/>
          </w:tcPr>
          <w:p>
            <w:pPr>
              <w:spacing w:after="0"/>
              <w:rPr>
                <w:sz w:val="20"/>
                <w:szCs w:val="20"/>
                <w:color w:val="auto"/>
              </w:rPr>
            </w:pPr>
            <w:r>
              <w:rPr>
                <w:rFonts w:ascii="Arial" w:cs="Arial" w:eastAsia="Arial" w:hAnsi="Arial"/>
                <w:sz w:val="18"/>
                <w:szCs w:val="18"/>
                <w:color w:val="auto"/>
              </w:rPr>
              <w:t>premature stop codons</w:t>
            </w:r>
          </w:p>
        </w:tc>
        <w:tc>
          <w:tcPr>
            <w:tcW w:w="2000" w:type="dxa"/>
            <w:vAlign w:val="bottom"/>
            <w:tcBorders>
              <w:bottom w:val="single" w:sz="8" w:color="9CC2E5"/>
              <w:right w:val="single" w:sz="8" w:color="9CC2E5"/>
            </w:tcBorders>
            <w:shd w:val="clear" w:color="auto" w:fill="DEEAF6"/>
          </w:tcPr>
          <w:p>
            <w:pPr>
              <w:spacing w:after="0"/>
              <w:rPr>
                <w:sz w:val="20"/>
                <w:szCs w:val="20"/>
                <w:color w:val="auto"/>
              </w:rPr>
            </w:pPr>
          </w:p>
        </w:tc>
        <w:tc>
          <w:tcPr>
            <w:tcW w:w="2700" w:type="dxa"/>
            <w:vAlign w:val="bottom"/>
            <w:tcBorders>
              <w:bottom w:val="single" w:sz="8" w:color="9CC2E5"/>
              <w:right w:val="single" w:sz="8" w:color="9CC2E5"/>
            </w:tcBorders>
            <w:shd w:val="clear" w:color="auto" w:fill="DEEAF6"/>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December 31, 2020, we had 118 employees, all of which were full-time. None of our employees are represented by a labor union or covered by a collective bargaining agreement.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 electronically through the SEC website (www.sec.gov). The information contained on the SEC’s website is not incorporated by reference into this Annual Report on Form 10-K and should not be considered to be part thereof.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79"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following is a summary of certain important factors that may make an investment in our company speculative or risky. You should carefully consider the fuller risk factor disclosure set forth in this Annual Report, in addition to the other information herein, including the section of this report titled “Management’s Discussion and Analysis of Financial Condition and Results of Operations” and our financial statements and related notes.</w:t>
      </w:r>
    </w:p>
    <w:p>
      <w:pPr>
        <w:spacing w:after="0" w:line="41"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We have a limited operating history, have incurred significant losses since our inception and anticipate that we will continue to incur significant losses for the foreseeable future.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We have never generated any revenue from product sales, have generated only limited revenue since inception, and may never be profitable.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ind w:left="600"/>
        <w:spacing w:after="0"/>
        <w:rPr>
          <w:sz w:val="20"/>
          <w:szCs w:val="20"/>
          <w:color w:val="auto"/>
        </w:rPr>
      </w:pPr>
      <w:r>
        <w:rPr>
          <w:rFonts w:ascii="Arial" w:cs="Arial" w:eastAsia="Arial" w:hAnsi="Arial"/>
          <w:sz w:val="16"/>
          <w:szCs w:val="16"/>
          <w:i w:val="1"/>
          <w:iCs w:val="1"/>
          <w:color w:val="auto"/>
        </w:rPr>
        <w:t>The recent coronavirus outbreak has caused interruptions or delays of our business plan and may have a significant adverse effect on our business.</w:t>
      </w:r>
    </w:p>
    <w:p>
      <w:pPr>
        <w:spacing w:after="0" w:line="248"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i w:val="1"/>
          <w:iCs w:val="1"/>
          <w:color w:val="auto"/>
        </w:rPr>
        <w:t>We may need to seek and secure significant funding through financings or from other sources to complete Phase 3 studies of ARCT-021, our LUNAR-COV19 vaccine candidate.</w:t>
      </w:r>
    </w:p>
    <w:p>
      <w:pPr>
        <w:spacing w:after="0" w:line="170"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i w:val="1"/>
          <w:iCs w:val="1"/>
          <w:color w:val="auto"/>
        </w:rPr>
        <w:t>If we are unable to generate successful results in our Phase 2 clinical trial for ARCT-021, our LUNAR-COV19 vaccine candidate, or experience significant delays in doing so, or are unable to develop a vaccine that does not require a booster shot, we may be unable to market and sell a COVID-19 vaccine.</w:t>
      </w:r>
    </w:p>
    <w:p>
      <w:pPr>
        <w:spacing w:after="0" w:line="184"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i w:val="1"/>
          <w:iCs w:val="1"/>
          <w:color w:val="auto"/>
        </w:rPr>
        <w:t>There is significant competition in the development of a vaccine against COVID-19, and many of our competitors have substantially greater financial, scientific and other resources than us.</w:t>
      </w:r>
    </w:p>
    <w:p>
      <w:pPr>
        <w:spacing w:after="0" w:line="170"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i w:val="1"/>
          <w:iCs w:val="1"/>
          <w:color w:val="auto"/>
        </w:rPr>
        <w:t>We are relying on advance purchase commitments of ARCT-021, our LUNAR-COV19 vaccine candidate, from certain foreign governmental agencies.</w:t>
      </w:r>
    </w:p>
    <w:p>
      <w:pPr>
        <w:spacing w:after="0" w:line="17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i w:val="1"/>
          <w:iCs w:val="1"/>
          <w:color w:val="auto"/>
        </w:rPr>
        <w:t>Our ability to produce a successful vaccine may be curtailed by one or more government actions or interventions, which may be more likely during a global health crisis such as COVID-19.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Our business may be harmed if we are unable to generate successful and timely clinical trials for our product candidates.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The approach we are taking to discover and develop drugs is novel and may never lead to marketable products.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We may not be successful in our efforts to identify or discover potential product candidates.</w:t>
      </w:r>
    </w:p>
    <w:p>
      <w:pPr>
        <w:spacing w:after="0" w:line="22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i w:val="1"/>
          <w:iCs w:val="1"/>
          <w:color w:val="auto"/>
        </w:rPr>
        <w:t>We may incur additional costs or experience delays in completing, or ultimately be unable to complete, the development and commercialization of our product candidates if our clinical trials are not successful.</w:t>
      </w:r>
    </w:p>
    <w:p>
      <w:pPr>
        <w:spacing w:after="0" w:line="17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i w:val="1"/>
          <w:iCs w:val="1"/>
          <w:color w:val="auto"/>
        </w:rPr>
        <w:t>We may find it difficult to identify and enroll patients in our clinical studies due to the rollout of competing vaccines for COVID-19. In addition, the rollout of competing vaccines for COVID-19 may make it more difficult for us to achieve approval of certain clinical trial designs for our LUNAR-COV19 vaccine. Difficulty in enrolling patients, or in seeking approval for certain clinical trial designs could delay or prevent clinical studies of certain of our product candidates.</w:t>
      </w:r>
    </w:p>
    <w:p>
      <w:pPr>
        <w:spacing w:after="0" w:line="187"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17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i w:val="1"/>
          <w:iCs w:val="1"/>
          <w:color w:val="auto"/>
        </w:rPr>
        <w:t>Even if we complete the necessary preclinical studies and clinical trials, we cannot predict whether or when we will obtain regulatory approval to commercialize a product candidate.</w:t>
      </w:r>
    </w:p>
    <w:p>
      <w:pPr>
        <w:spacing w:after="0" w:line="170"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i w:val="1"/>
          <w:iCs w:val="1"/>
          <w:color w:val="auto"/>
        </w:rPr>
        <w:t>Even if we obtain regulatory approval for a product candidate, we will still face extensive regulatory requirements and our products may face future development and regulatory difficulties.</w:t>
      </w:r>
    </w:p>
    <w:p>
      <w:pPr>
        <w:spacing w:after="0" w:line="17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i w:val="1"/>
          <w:iCs w:val="1"/>
          <w:color w:val="auto"/>
        </w:rPr>
        <w:t>We may fail to capitalize on programs or product candidates that may be more profitable or for which there is a greater likelihood of success than a particular program where we allocate resources.</w:t>
      </w:r>
    </w:p>
    <w:p>
      <w:pPr>
        <w:spacing w:after="0" w:line="170"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i w:val="1"/>
          <w:iCs w:val="1"/>
          <w:color w:val="auto"/>
        </w:rPr>
        <w:t>If certain third-party alliances are unsuccessful or are terminated, we may be unable to commercialize certain product candidates and we may be unable to generate revenues from our development programs.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100" w:firstLine="589"/>
        <w:spacing w:after="0" w:line="277" w:lineRule="auto"/>
        <w:rPr>
          <w:sz w:val="20"/>
          <w:szCs w:val="20"/>
          <w:color w:val="auto"/>
        </w:rPr>
      </w:pPr>
      <w:r>
        <w:rPr>
          <w:rFonts w:ascii="Arial" w:cs="Arial" w:eastAsia="Arial" w:hAnsi="Arial"/>
          <w:sz w:val="18"/>
          <w:szCs w:val="18"/>
          <w:i w:val="1"/>
          <w:iCs w:val="1"/>
          <w:color w:val="auto"/>
        </w:rPr>
        <w:t>Certain agreements with our alliance partners may impair or prevent entirely our ability to generate revenues from the development, manufacture and commercialization of certain product candidates.</w:t>
      </w:r>
    </w:p>
    <w:p>
      <w:pPr>
        <w:spacing w:after="0" w:line="170"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i w:val="1"/>
          <w:iCs w:val="1"/>
          <w:color w:val="auto"/>
        </w:rPr>
        <w:t>We rely on third-party manufacturers to produce the supply of our product candidates, and we intend to rely on third parties to produce future clinical supplies of product candidates.</w:t>
      </w:r>
    </w:p>
    <w:p>
      <w:pPr>
        <w:spacing w:after="0" w:line="170"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Manufacturing issues may arise that could increase product and regulatory approval costs or delay commercialization.</w:t>
      </w:r>
    </w:p>
    <w:p>
      <w:pPr>
        <w:spacing w:after="0" w:line="225"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i w:val="1"/>
          <w:iCs w:val="1"/>
          <w:color w:val="auto"/>
        </w:rPr>
        <w:t>If we are unable to obtain or protect intellectual property rights related to our future products and product candidates, we may not be able to compete effectively in our markets.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Third-party claims of intellectual property infringement may prevent or delay our development and commercialization efforts.</w:t>
      </w:r>
    </w:p>
    <w:p>
      <w:pPr>
        <w:spacing w:after="0" w:line="225"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i w:val="1"/>
          <w:iCs w:val="1"/>
          <w:color w:val="auto"/>
        </w:rPr>
        <w:t>We could lose license rights that are important to our business for failure to comply with such agreements under which we license intellectual property.</w:t>
      </w:r>
    </w:p>
    <w:p>
      <w:pPr>
        <w:spacing w:after="0" w:line="170"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i w:val="1"/>
          <w:iCs w:val="1"/>
          <w:color w:val="auto"/>
        </w:rPr>
        <w:t>We may be involved in lawsuits to protect or enforce our patents or the patents of our licensees, which could be expensive, time consuming and unsuccessful.</w:t>
      </w:r>
    </w:p>
    <w:p>
      <w:pPr>
        <w:spacing w:after="0" w:line="170"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i w:val="1"/>
          <w:iCs w:val="1"/>
          <w:color w:val="auto"/>
        </w:rPr>
        <w:t>If our alliance partners are unable or unwilling to perform in accordance with the terms of our agreements, our potential to generate future revenue from these programs would be significantly reduced</w:t>
      </w:r>
    </w:p>
    <w:p>
      <w:pPr>
        <w:spacing w:after="0" w:line="170"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i w:val="1"/>
          <w:iCs w:val="1"/>
          <w:color w:val="auto"/>
        </w:rPr>
        <w:t>If we are unable to obtain regulatory approvals for a manufacturing facility for ARCT-021, our LUNAR-COV19 vaccine candidate, we may experience delays in product development, clinical trials, regulatory approval and commercial distribution.</w:t>
      </w:r>
    </w:p>
    <w:p>
      <w:pPr>
        <w:spacing w:after="0" w:line="170"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i w:val="1"/>
          <w:iCs w:val="1"/>
          <w:color w:val="auto"/>
        </w:rPr>
        <w:t>The commercial success of our product candidates will depend upon the acceptance of these product candidates by the medical community, including physicians, patients and healthcare payors.</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i w:val="1"/>
          <w:iCs w:val="1"/>
          <w:color w:val="auto"/>
        </w:rPr>
        <w:t>If we are unable to establish sales and marketing capabilities or enter into agreements with third parties to market and sell our product candidates, we may be unable to generate any revenues.</w:t>
      </w:r>
    </w:p>
    <w:p>
      <w:pPr>
        <w:spacing w:after="0" w:line="170"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Coverage and adequate reimbursement may not be available for our product candidates, if approved.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We face potential product liability, and, if successful claims are brought against us, we may incur substantial liability and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62"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We are a global clinical-stage messenger RNA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studies for our initial programs. We have not yet obtained regulatory approval for any product candidates. Consequently, any predictions about our future success or viability, or any evaluation of our business and prospects, may not be accurate.</w:t>
      </w:r>
    </w:p>
    <w:p>
      <w:pPr>
        <w:spacing w:after="0" w:line="4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$72.1 million and $26.0 million for the years ended December 31, 2020 and 2019, respectively. As of December 31, 2020, we had an accumulated deficit of $143.8 million.</w:t>
      </w:r>
    </w:p>
    <w:p>
      <w:pPr>
        <w:spacing w:after="0" w:line="6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and 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70" w:lineRule="exact"/>
        <w:rPr>
          <w:sz w:val="20"/>
          <w:szCs w:val="20"/>
          <w:color w:val="auto"/>
        </w:rPr>
      </w:pPr>
    </w:p>
    <w:p>
      <w:pPr>
        <w:ind w:right="560" w:firstLine="589"/>
        <w:spacing w:after="0" w:line="308"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2" w:lineRule="exact"/>
        <w:rPr>
          <w:sz w:val="20"/>
          <w:szCs w:val="20"/>
          <w:color w:val="auto"/>
        </w:rPr>
      </w:pPr>
    </w:p>
    <w:p>
      <w:pPr>
        <w:ind w:left="1180" w:hanging="582"/>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our research and development of our product candidates, both independently and under our strategic alliance agreements;</w:t>
      </w:r>
    </w:p>
    <w:p>
      <w:pPr>
        <w:spacing w:after="0" w:line="142" w:lineRule="exact"/>
        <w:rPr>
          <w:rFonts w:ascii="Arial" w:cs="Arial" w:eastAsia="Arial" w:hAnsi="Arial"/>
          <w:sz w:val="17"/>
          <w:szCs w:val="17"/>
          <w:color w:val="auto"/>
        </w:rPr>
      </w:pPr>
    </w:p>
    <w:p>
      <w:pPr>
        <w:ind w:left="1180" w:hanging="58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product candidates into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17" w:lineRule="exact"/>
        <w:rPr>
          <w:rFonts w:ascii="Arial" w:cs="Arial" w:eastAsia="Arial" w:hAnsi="Arial"/>
          <w:sz w:val="18"/>
          <w:szCs w:val="18"/>
          <w:color w:val="auto"/>
        </w:rPr>
      </w:pPr>
    </w:p>
    <w:p>
      <w:pPr>
        <w:ind w:left="1180" w:right="140" w:hanging="582"/>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14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Our ability to generate revenues from product sales depends heavily on our success in:</w:t>
      </w:r>
    </w:p>
    <w:p>
      <w:pPr>
        <w:spacing w:after="0" w:line="89" w:lineRule="exact"/>
        <w:rPr>
          <w:sz w:val="20"/>
          <w:szCs w:val="20"/>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our research and development of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 with favorable results;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obtaining, and maintaining marketing approvals for product candidates that successfully complete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w:t>
      </w:r>
    </w:p>
    <w:p>
      <w:pPr>
        <w:spacing w:after="0" w:line="130" w:lineRule="exact"/>
        <w:rPr>
          <w:rFonts w:ascii="Arial" w:cs="Arial" w:eastAsia="Arial" w:hAnsi="Arial"/>
          <w:sz w:val="18"/>
          <w:szCs w:val="18"/>
          <w:color w:val="auto"/>
        </w:rPr>
      </w:pPr>
    </w:p>
    <w:p>
      <w:pPr>
        <w:ind w:left="1180" w:right="240" w:hanging="582"/>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may obtain marketing approval, with an alliance partner or, if launched independently, successfully establishing a sales force, marketing and distribution infrastructure;</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520" w:firstLine="589"/>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FDA, or other foreign regulatory agencies to perform studies and trials in addition to those that we currently anticipate.</w:t>
      </w:r>
    </w:p>
    <w:p>
      <w:pPr>
        <w:spacing w:after="0" w:line="79"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recent coronavirus outbreak has caused interruptions or delays of our business plan and may have a significant adverse effect on our business.</w:t>
      </w:r>
    </w:p>
    <w:p>
      <w:pPr>
        <w:spacing w:after="0" w:line="152"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have been and will continue to be delayed and enrollment of patients in our study for ARCT-810 (LUNAR-OTC) and ARCT-021 (LUNAR-COV19 Vaccine)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73"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Government-imposed quarantines and restrictions may also require us to temporarily suspend or terminate activity at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continued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8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Notwithstanding the ongoing rollout of vaccines, it will still take a substantial amount of time to produce, distribute and administer the vaccines worldwide and, as a result, to achieve broad protection of the global population. It is also still unclear if the vaccines will enable adequate protection, as (i) some vaccinated individuals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ind w:right="580"/>
        <w:spacing w:after="0" w:line="263" w:lineRule="auto"/>
        <w:rPr>
          <w:sz w:val="20"/>
          <w:szCs w:val="20"/>
          <w:color w:val="auto"/>
        </w:rPr>
      </w:pPr>
      <w:r>
        <w:rPr>
          <w:rFonts w:ascii="Arial" w:cs="Arial" w:eastAsia="Arial" w:hAnsi="Arial"/>
          <w:sz w:val="18"/>
          <w:szCs w:val="18"/>
          <w:color w:val="auto"/>
        </w:rPr>
        <w:t>may still become ill or transmit the virus, (ii) there are individuals who may refuse to be vaccinated or who cannot be vaccinated due to pre-existing conditions, (iii) it is unclear how long the vaccine protection will last, and (iv) genetic mutations of the virus may have an impact on the efficacy of available vaccines.</w:t>
      </w:r>
    </w:p>
    <w:p>
      <w:pPr>
        <w:spacing w:after="0" w:line="7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our securities, or continue to slow down the overall economy.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we will need to raise additional capital, which may not be available on acceptable terms, or at all.</w:t>
      </w:r>
    </w:p>
    <w:p>
      <w:pPr>
        <w:spacing w:after="0" w:line="11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Developing pharmaceutical products, including conducting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2020, we had unrestricted cash and cash equivalents of $462.9 million. We cannot provide assurances that our plans will not change or that changed circumstances will not result in the depletion of our capital resources more rapidly than we currently anticipate. For example, our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60"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A significant portion of our current cash balance of $462.9 million along with the $46.6 million from the Singapore Loan is expected to be utilized during fiscal year 2021 to fund (i) the Phase 2 trial and anticipated Phase 3 trial of our current LUNAR-COV19 vaccine candidate, (ii) the continued Phase 1 trial and anticipated Phase 2 trial of ARCT-810, our LUNAR-OTC candidate, (iii) advancing our new LUNAR-FLU program toward submission of an IND, and (iv) other programs and administrative costs.</w:t>
      </w:r>
    </w:p>
    <w:p>
      <w:pPr>
        <w:spacing w:after="0" w:line="7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Phase 3 trial of our LUNAR-COV19 vaccine candidate is expected to be primarily or exclusively funded through our cash reserves. If we achieve EUA approval to market our LUNAR-COV19 vaccine candidate, we will need to raise additional funds through equity transactions, additional debt or prepayments from potential customers, among other options, to fund commercialization of LUNAR-COV19.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ind w:right="240" w:firstLine="589"/>
        <w:spacing w:after="0" w:line="286" w:lineRule="auto"/>
        <w:rPr>
          <w:sz w:val="20"/>
          <w:szCs w:val="20"/>
          <w:color w:val="auto"/>
        </w:rPr>
      </w:pPr>
      <w:r>
        <w:rPr>
          <w:rFonts w:ascii="Arial" w:cs="Arial" w:eastAsia="Arial" w:hAnsi="Arial"/>
          <w:sz w:val="17"/>
          <w:szCs w:val="17"/>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71" w:lineRule="exact"/>
        <w:rPr>
          <w:sz w:val="20"/>
          <w:szCs w:val="20"/>
          <w:color w:val="auto"/>
        </w:rPr>
      </w:pPr>
    </w:p>
    <w:p>
      <w:pPr>
        <w:ind w:left="1180" w:hanging="582"/>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130" w:lineRule="exact"/>
        <w:rPr>
          <w:rFonts w:ascii="Arial" w:cs="Arial" w:eastAsia="Arial" w:hAnsi="Arial"/>
          <w:sz w:val="18"/>
          <w:szCs w:val="18"/>
          <w:color w:val="auto"/>
        </w:rPr>
      </w:pPr>
    </w:p>
    <w:p>
      <w:pPr>
        <w:ind w:left="1180" w:right="240" w:hanging="582"/>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otherwise would be desirable or on terms that are less favorable than might otherwise be available; or</w:t>
      </w:r>
    </w:p>
    <w:p>
      <w:pPr>
        <w:spacing w:after="0" w:line="75" w:lineRule="exact"/>
        <w:rPr>
          <w:rFonts w:ascii="Arial" w:cs="Arial" w:eastAsia="Arial" w:hAnsi="Arial"/>
          <w:sz w:val="18"/>
          <w:szCs w:val="18"/>
          <w:color w:val="auto"/>
        </w:rPr>
      </w:pPr>
    </w:p>
    <w:p>
      <w:pPr>
        <w:ind w:left="1180" w:right="360" w:hanging="582"/>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will need to seek and secure significant funding through financings or from other sources to complete Phase 3 studies of ARCT-021, our LUNAR-COV19 vaccine candidate.</w:t>
      </w:r>
    </w:p>
    <w:p>
      <w:pPr>
        <w:spacing w:after="0" w:line="62"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As of December 31, 2020, we had approximately $463.0 million in cash and cash equivalents. We expect that our existing cash and cash equivalents will be sufficient to fund our current operations through at least the next twelve months. If we have encouraging results from our current trial, we will need to seek additional funds sooner than planned, through public or private equity or debt financings, structured financings, government or other third-party funding, sales of assets, marketing and distribution arrangements, other collaborations and licensing arrangements, or a combination of these approaches. We will require additional capital to obtain regulatory approval for, and to commercialize ARCT-021.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loan agreements.</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2020, we had $15.1 million outstanding under the Western Loan Agreement. If we were to experience a 10% adverse change in the prime rate referenced above, the annual effect such change would have on our statement of operations, based on the amount we had outstanding as of December 31, 2020, under the Western Loan Agreement, would be approximately $26,000.</w:t>
      </w:r>
    </w:p>
    <w:p>
      <w:pPr>
        <w:spacing w:after="0" w:line="70"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Additionally, on November 7, 2020, we entered into a Manufacturing Support Agreement with the EDB. Pursuant to the Manufacturing Support Agreement, the EDB agreed to make a term loan of up to S$62.1 million, subject to the satisfaction of customary deliveries, to support the manufacture of the LUNAR-COV19 vaccine candidate (the “Singapore Loan”). The Singapore Loan accrues interest at a rate of 4% per annum calculated on a daily basis. We elected to borrow the full amount available under the Support Agreement of S$62.1 million, or $46.6 million, as a result of applicable exchange rates, on January 29,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131" w:lineRule="exact"/>
        <w:rPr>
          <w:sz w:val="20"/>
          <w:szCs w:val="20"/>
          <w:color w:val="auto"/>
        </w:rPr>
      </w:pPr>
    </w:p>
    <w:p>
      <w:pPr>
        <w:ind w:left="1180" w:hanging="58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30" w:lineRule="exact"/>
        <w:rPr>
          <w:rFonts w:ascii="Arial" w:cs="Arial" w:eastAsia="Arial" w:hAnsi="Arial"/>
          <w:sz w:val="18"/>
          <w:szCs w:val="18"/>
          <w:color w:val="auto"/>
        </w:rPr>
      </w:pPr>
    </w:p>
    <w:p>
      <w:pPr>
        <w:ind w:left="1180" w:right="500" w:hanging="582"/>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w:t>
      </w:r>
    </w:p>
    <w:p>
      <w:pPr>
        <w:spacing w:after="0" w:line="75" w:lineRule="exact"/>
        <w:rPr>
          <w:rFonts w:ascii="Arial" w:cs="Arial" w:eastAsia="Arial" w:hAnsi="Arial"/>
          <w:sz w:val="18"/>
          <w:szCs w:val="18"/>
          <w:color w:val="auto"/>
        </w:rPr>
      </w:pPr>
    </w:p>
    <w:p>
      <w:pPr>
        <w:ind w:left="1180" w:right="400" w:hanging="582"/>
        <w:spacing w:after="0" w:line="342"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ind w:left="1180" w:hanging="582"/>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117"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12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Western Loan Agreement contains customary default clauses. In the event we were to default on our obligations under our debt and were unable to cure or obtain a waiver of such default, the repayment of our debt may be accelerated. If such acceleration were to occur, we would be required to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recently commenced a Phase 2 clinical trial for our COVID-19 vaccine candidate, ARCT-021. If we are unable to generate successful results, experience significant delays in doing so, or are unable to develop a vaccine that does not require a booster shot, we may be unable to market and sell a COVID-19 vaccine.</w:t>
      </w:r>
    </w:p>
    <w:p>
      <w:pPr>
        <w:spacing w:after="0" w:line="29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recently commenced a Phase 2 trial of ARCT-021 and expect to commence a Phase 3 trial in the second quarter of 2021. We anticipate that the Phase 3 trial will continue through 2021, and we plan to continue to monitor subjects in the Phase 3 trial into 2022 (whether or not we receive emergency use authorization for ARCT-021 during 2021). We will need to identify additional funding sources to continue the Phase 3 trial. The data received to date, although providing sufficient information to allow us to proceed further is not complete enough to provide conclusive evidence with respect to safety and potential efficacy of ARCT-021. Our IND application to proceed with our Phase 2 clinical study was accepted by the HSA in December 2020, and by the FDA in January 2021. We are positioned to manufacture finished doses of ARCT-021 in the first quarter of 2021 for stockpiling purposes. Clinical trial results are inherently uncertain, and a significant portion of our success and business prospects depend on the progress of this program. Our failure to demonstrate safety or obtain positive clinical trial results, inability to meet the expected timeline for release of data for this trial, or failure to successfully develop a single-dose vaccine that does not require a booster shot could have an adverse effect on our business operations and financial condition. Furthermore, we will not have a detailed understanding of the efficacy of ARCT-021 until infection of a sufficient number of subjects in the placebo group of a Phase 3 clinical trial, enrollment for which may be delayed by rollout of competing vaccines for COVID-19, competing clinical trials and the refusal of certain countries’ regulatory authorities to allow placebo-controlled trials for COVID-19 vaccine candidates. If our data is not positive or inconclusive, we may not be able to continue our studies or identify additional funding to continue the studies. No assurance can be given that the results of the trials will produce adequate results to allow us to commence or continue expected trials or that that adequate efficacy will be demonstrated such that ARCT-021 will be a viable commercial product.</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There is significant competition in the development of a vaccine against COVID-19, and many of our competitors have substantially greater financial, scientific and other resources than us, and are further along in the development of their COVID-19 vaccine candidates.</w:t>
      </w:r>
    </w:p>
    <w:p>
      <w:pPr>
        <w:spacing w:after="0" w:line="38"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A large number of vaccine manufacturers, academic institutions and other organizations currently have programs to develop COVID-19 vaccine candidates and may be further along in development of their vaccine candidates. While we are not aware of all of our competitors’ efforts, there are reports that Johnson &amp; Johnson/Janssen, Pfizer, GlaxoSmithKline, Moderna, Sanofi, Inovio, AstraZeneca and many other companies are all in various stages of developing vaccine candidates against COVID-19. In particular, Pfizer, Moderna and Johnson &amp; Johnson have received emergency use authorization from the FDA for their COVID-19 vaccines and are already commercializing them and have vaccinated millions of people.</w:t>
      </w:r>
    </w:p>
    <w:p>
      <w:pPr>
        <w:spacing w:after="0" w:line="53"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Despite funding provided to us to date, many of our competitors pursuing vaccine candidates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materially and adversely affected by our competitors commercialization of their vaccines before we complete development and seek approval for our vaccine candidate; if they develop and commercialize one or more COVID-19 vaccines that are safer, more effective, have fewer or less severe side effects, have broader market acceptance, are more convenient or are less expensive than any vaccine candidate that we may develop; or if we are unable to achieve a competitive advantage by successfully developing a single-dose vaccine that does not require a booster shot.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We are relying on advance purchase commitments of ARCT-021, our LUNAR-COV19 vaccine candidate, from certain foreign governmental agencies.</w:t>
      </w:r>
    </w:p>
    <w:p>
      <w:pPr>
        <w:spacing w:after="0" w:line="152"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Although we have previously raised capital to support the development and manufacture of our LUNAR-COV19 vaccine, we must also secure additional funding through contractual arrangements with third parties. We may be unable to enter into such arrangements on favorable terms, or at all, which would adversely affect our ability to develop, manufacture and distribute a potential vaccine.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ability to produce a successful vaccine may be curtailed by one or more government actions or interventions, which may be more likely during a global health crisis such as COVID-19.</w:t>
      </w:r>
    </w:p>
    <w:p>
      <w:pPr>
        <w:spacing w:after="0" w:line="62"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Given the significant global impact of the COVID-19 pandemic, it is possible that one or more government entities may take actions that directly or indirectly have the effect of diminishing some of our rights or opportunities with respect to LUNAR-COV19 and the economic value of a COVID-19 vaccine to us could be limited. In the United States, the Defense Production Act of 1950, as amended (the “Defense Production Act”) gives the U.S. government rights and authorities that may directly or indirectly diminish our own rights or opportunities with respect to LUNAR-COV19 and the economic value of a COVID-19 vaccine to us could be limited. Our third-party service providers may be impacted by government entities potentially invoking the Defense Production Act or other potential restrictions to all or a portion of services they might otherwise offer. Government entities imposing restrictions or limitations on our third-party service providers may require us to obtain alternative service sources for LUNAR-COV19. If we are unable to timely enter into alternative arrangements, or if such alternative arrangements are not available on satisfactory terms, we will experience delays in the development or production of LUNAR-COV19, increased expenses, and delays in potential distribution or commercialization of LUNAR-COV19, if approved.</w:t>
      </w:r>
    </w:p>
    <w:p>
      <w:pPr>
        <w:spacing w:after="0" w:line="1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16"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We have no products approved for commercial marketing and all of our product candidates are in preclinical or clinical development. Other than our LUNAR-COV19 vaccine candidate and LUNAR-OTC, none of our product candidates have ever been tested in a human subject.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studies and clinical trials to demonstrate the safety and efficacy of our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31" w:lineRule="exact"/>
        <w:rPr>
          <w:sz w:val="20"/>
          <w:szCs w:val="20"/>
          <w:color w:val="auto"/>
        </w:rPr>
      </w:pPr>
    </w:p>
    <w:p>
      <w:pPr>
        <w:ind w:left="1180" w:hanging="582"/>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and clinical studies with favorable results;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and maintaining manufacturing relationships with third parties or establishing our own manufacturing capability; and</w:t>
      </w:r>
    </w:p>
    <w:p>
      <w:pPr>
        <w:spacing w:after="0" w:line="142" w:lineRule="exact"/>
        <w:rPr>
          <w:rFonts w:ascii="Arial" w:cs="Arial" w:eastAsia="Arial" w:hAnsi="Arial"/>
          <w:sz w:val="17"/>
          <w:szCs w:val="17"/>
          <w:color w:val="auto"/>
        </w:rPr>
      </w:pPr>
    </w:p>
    <w:p>
      <w:pPr>
        <w:ind w:left="1180" w:right="540" w:hanging="582"/>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commercializing our products, if approved, including successfully establishing a sales force, marketing and distribution infrastructure, whether alone or in collaboration with others.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60" w:firstLine="589"/>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approach we are taking to discover and develop drugs is novel and may never lead to marketable products.</w:t>
      </w:r>
    </w:p>
    <w:p>
      <w:pPr>
        <w:spacing w:after="0" w:line="11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We have concentrated our therapeutic product research and development efforts on nucleic acid technology, and our future success depends on the successful development of this technology and products based on our nucleic acid product platform. Except for Moderna (CX-024414), Onpattro (patisiran), which is marketed by Alnylam; Kynamro (mipomersen), which was marketed by Kastle Therapeutics; Vitravene (fomivirsen), which Novartis withdrew from the US market in 2006; and Spinraza (nusinersen), which is marketed by Biogen Inc., neither we, nor any other company, has to our knowledge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common stock may decline.</w:t>
      </w:r>
    </w:p>
    <w:p>
      <w:pPr>
        <w:spacing w:after="0" w:line="70"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Further, our focus solely on nucleic acid technology for developing drugs as opposed to multiple, more proven technologies for drug development increases the risks associated with the ownership of our common stock.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messenger RNA medicines. Our research programs may initially show promise in identifying potential product candidates, yet fail to yield product candidates for clinical development for a number of reasons, including:</w:t>
      </w:r>
    </w:p>
    <w:p>
      <w:pPr>
        <w:spacing w:after="0" w:line="89" w:lineRule="exact"/>
        <w:rPr>
          <w:sz w:val="20"/>
          <w:szCs w:val="20"/>
          <w:color w:val="auto"/>
        </w:rPr>
      </w:pPr>
    </w:p>
    <w:p>
      <w:pPr>
        <w:ind w:left="1180" w:hanging="582"/>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142" w:lineRule="exact"/>
        <w:rPr>
          <w:rFonts w:ascii="Arial" w:cs="Arial" w:eastAsia="Arial" w:hAnsi="Arial"/>
          <w:sz w:val="17"/>
          <w:szCs w:val="17"/>
          <w:color w:val="auto"/>
        </w:rPr>
      </w:pPr>
    </w:p>
    <w:p>
      <w:pPr>
        <w:ind w:left="1180" w:right="440" w:hanging="582"/>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12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Furthermore, even if prior animal studies have demonstrated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color w:val="auto"/>
        </w:rPr>
        <w:t>potential safety and efficacy of our product candidates, there can be no guarantee that such results will be reproducible in preclinical studies and clinical trials involving human subjects.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225" w:lineRule="exact"/>
        <w:rPr>
          <w:sz w:val="20"/>
          <w:szCs w:val="20"/>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130" w:lineRule="exact"/>
        <w:rPr>
          <w:rFonts w:ascii="Arial" w:cs="Arial" w:eastAsia="Arial" w:hAnsi="Arial"/>
          <w:sz w:val="18"/>
          <w:szCs w:val="18"/>
          <w:color w:val="auto"/>
        </w:rPr>
      </w:pPr>
    </w:p>
    <w:p>
      <w:pPr>
        <w:ind w:left="1180" w:right="340" w:hanging="582"/>
        <w:spacing w:after="0" w:line="308"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submitting or acceptance of, an application for authorization to administer an investigational new drug product to humans through the submission or acceptance of an IND application to the FDA, or comparable foreign regulatory authority;</w:t>
      </w:r>
    </w:p>
    <w:p>
      <w:pPr>
        <w:spacing w:after="0" w:line="51" w:lineRule="exact"/>
        <w:rPr>
          <w:rFonts w:ascii="Arial" w:cs="Arial" w:eastAsia="Arial" w:hAnsi="Arial"/>
          <w:sz w:val="17"/>
          <w:szCs w:val="17"/>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(“CROs”) and clinical trial sites;</w:t>
      </w:r>
    </w:p>
    <w:p>
      <w:pPr>
        <w:spacing w:after="0" w:line="153" w:lineRule="exact"/>
        <w:rPr>
          <w:rFonts w:ascii="Arial" w:cs="Arial" w:eastAsia="Arial" w:hAnsi="Arial"/>
          <w:sz w:val="16"/>
          <w:szCs w:val="16"/>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 or CRO non-compliance with GCPs, GLPs, or other regulatory requirements;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failure of clinical trial sites to adhere to the clinical trial protocol;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 or an IRB suspending or terminating a trial;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53" w:lineRule="exact"/>
        <w:rPr>
          <w:rFonts w:ascii="Arial" w:cs="Arial" w:eastAsia="Arial" w:hAnsi="Arial"/>
          <w:sz w:val="16"/>
          <w:szCs w:val="16"/>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Accordingly, we cannot be certain the submission of an IND will be accepted by the FDA.</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233" w:right="619" w:bottom="1440" w:gutter="0" w:footer="0" w:header="0"/>
        </w:sectPr>
      </w:pPr>
    </w:p>
    <w:bookmarkStart w:id="46" w:name="page47"/>
    <w:bookmarkEnd w:id="46"/>
    <w:p>
      <w:pPr>
        <w:jc w:val="both"/>
        <w:ind w:right="40" w:firstLine="589"/>
        <w:spacing w:after="0" w:line="286" w:lineRule="auto"/>
        <w:rPr>
          <w:sz w:val="20"/>
          <w:szCs w:val="20"/>
          <w:color w:val="auto"/>
        </w:rPr>
      </w:pPr>
      <w:r>
        <w:rPr>
          <w:rFonts w:ascii="Arial" w:cs="Arial" w:eastAsia="Arial" w:hAnsi="Arial"/>
          <w:sz w:val="17"/>
          <w:szCs w:val="17"/>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spacing w:after="0" w:line="71" w:lineRule="exact"/>
        <w:rPr>
          <w:sz w:val="20"/>
          <w:szCs w:val="20"/>
          <w:color w:val="auto"/>
        </w:rPr>
      </w:pPr>
    </w:p>
    <w:p>
      <w:pPr>
        <w:ind w:left="1180" w:hanging="5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We do not know whether any clinical trials will begin as planned,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We may find it difficult to identify and enroll patients in our clinical studies due to the development and rollout of competing vaccines for COVID-19 and due to the limited number of patients who have the diseases for which certain of our product candidates are being studied. In addition, the rollout of competing vaccines for COVID-19 may make it more difficult for us to achieve approval of certain clinical trial designs for our LUNAR-COV19 vaccine. Difficulty in enrolling patients, or in seeking approval for certain clinical trial designs, could delay or prevent clinical studies of certain of our product candidates.</w:t>
      </w:r>
    </w:p>
    <w:p>
      <w:pPr>
        <w:spacing w:after="0" w:line="80"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76"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A number of preventative vaccines have recently been authorized for use in human populations by regulatory agencies in the U.S. and Europe and other countries. The rollout of these vaccines has resulted in slower than expected enrollment in the United States for the Phase 2 study of our LUNAR-COV19 vaccine candidate.</w:t>
      </w:r>
    </w:p>
    <w:p>
      <w:pPr>
        <w:spacing w:after="0" w:line="76"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Because of the aggressive roll-out of COVID-19 vaccines, we may find it challenging to enroll sufficient subjects in our LUNAR-COV19 trials who have not otherwise received a vaccine. Additionally, competing COVID-19 vaccine clinical trials may make it more difficult to enroll subjects in our LUNAR-COV19 trial. We may also find it more difficult to identify subjects willing to participate in our studies. The regulatory authorities of certain countries have restricted placebo-controlled trials in studies for COVID-19 vaccine candidates. Such restrictions may make it more difficult to seek approval to proceed with certain clinical trial designs, and for the ultimate likelihood of approval of such candidates.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ind w:firstLine="589"/>
        <w:spacing w:after="0" w:line="270" w:lineRule="auto"/>
        <w:rPr>
          <w:sz w:val="20"/>
          <w:szCs w:val="20"/>
          <w:color w:val="auto"/>
        </w:rPr>
      </w:pPr>
      <w:r>
        <w:rPr>
          <w:rFonts w:ascii="Arial" w:cs="Arial" w:eastAsia="Arial" w:hAnsi="Arial"/>
          <w:sz w:val="17"/>
          <w:szCs w:val="17"/>
          <w:color w:val="auto"/>
        </w:rPr>
        <w:t>In addition, certain conditions for which we plan to evaluate our current product candidates are rare genetic diseases, and have limited patient pools from which to draw for clinical studies. For example, we estimate that approximately 8,000 patients in the developed world suffer from late-onset OTC deficiency, for which LUNAR-OTC is being studied. 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w:t>
      </w:r>
    </w:p>
    <w:p>
      <w:pPr>
        <w:spacing w:after="0" w:line="73"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If we are unable to enroll an adequate number of patients in our studies for the foregoing or other reasons,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achieving approval to conduct and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spacing w:after="0" w:line="2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It is likely that there will be side effects associated with use of our product candidates.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spacing w:after="0" w:line="6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76"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If any of our product candidates receives marketing approval, and causes serious, unexpected, or undesired side effects, a number of potentially significant negative consequences could result, including:</w:t>
      </w:r>
    </w:p>
    <w:p>
      <w:pPr>
        <w:spacing w:after="0" w:line="76" w:lineRule="exact"/>
        <w:rPr>
          <w:sz w:val="20"/>
          <w:szCs w:val="20"/>
          <w:color w:val="auto"/>
        </w:rPr>
      </w:pPr>
    </w:p>
    <w:p>
      <w:pPr>
        <w:ind w:left="1180" w:right="80" w:hanging="582"/>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their approval of the product or impose restrictions on its distribution in the form of a modified risk evaluation and mitigation strategy;</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or conduct additional clinical trials or post-marketing surveillance;</w:t>
      </w:r>
    </w:p>
    <w:p>
      <w:pPr>
        <w:spacing w:after="0" w:line="142" w:lineRule="exact"/>
        <w:rPr>
          <w:rFonts w:ascii="Arial" w:cs="Arial" w:eastAsia="Arial" w:hAnsi="Arial"/>
          <w:sz w:val="17"/>
          <w:szCs w:val="17"/>
          <w:color w:val="auto"/>
        </w:rPr>
      </w:pPr>
    </w:p>
    <w:p>
      <w:pPr>
        <w:ind w:left="1180" w:hanging="582"/>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340" w:firstLine="589"/>
        <w:spacing w:after="0" w:line="263"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29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16"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Neither we nor our strategic alliance partners can commercialize a product until the appropriate regulatory authorities, such as the FDA, have reviewed and approved the product candidate. The regulatory authorities may not complete their review processes in a timely manner, or we may not be able to obtain regulatory approval for many reasons including:</w:t>
      </w:r>
    </w:p>
    <w:p>
      <w:pPr>
        <w:spacing w:after="0" w:line="89" w:lineRule="exact"/>
        <w:rPr>
          <w:sz w:val="20"/>
          <w:szCs w:val="20"/>
          <w:color w:val="auto"/>
        </w:rPr>
      </w:pPr>
    </w:p>
    <w:p>
      <w:pPr>
        <w:ind w:left="1180" w:hanging="582"/>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disagreeing with the design or implementation of our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30" w:lineRule="exact"/>
        <w:rPr>
          <w:rFonts w:ascii="Arial" w:cs="Arial" w:eastAsia="Arial" w:hAnsi="Arial"/>
          <w:sz w:val="18"/>
          <w:szCs w:val="18"/>
          <w:color w:val="auto"/>
        </w:rPr>
      </w:pPr>
    </w:p>
    <w:p>
      <w:pPr>
        <w:ind w:left="1180" w:right="80" w:hanging="582"/>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75" w:lineRule="exact"/>
        <w:rPr>
          <w:rFonts w:ascii="Arial" w:cs="Arial" w:eastAsia="Arial" w:hAnsi="Arial"/>
          <w:sz w:val="18"/>
          <w:szCs w:val="18"/>
          <w:color w:val="auto"/>
        </w:rPr>
      </w:pPr>
    </w:p>
    <w:p>
      <w:pPr>
        <w:ind w:left="1180" w:right="160" w:hanging="582"/>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or unclear results from our clinical trials or results that may not meet the level of statistical significance required by the FDA or comparable foreign regulatory agencies for approval;</w:t>
      </w:r>
    </w:p>
    <w:p>
      <w:pPr>
        <w:spacing w:after="0" w:line="75" w:lineRule="exact"/>
        <w:rPr>
          <w:rFonts w:ascii="Arial" w:cs="Arial" w:eastAsia="Arial" w:hAnsi="Arial"/>
          <w:sz w:val="18"/>
          <w:szCs w:val="18"/>
          <w:color w:val="auto"/>
        </w:rPr>
      </w:pPr>
    </w:p>
    <w:p>
      <w:pPr>
        <w:ind w:left="1180" w:right="240" w:hanging="582"/>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75" w:lineRule="exact"/>
        <w:rPr>
          <w:rFonts w:ascii="Arial" w:cs="Arial" w:eastAsia="Arial" w:hAnsi="Arial"/>
          <w:sz w:val="18"/>
          <w:szCs w:val="18"/>
          <w:color w:val="auto"/>
        </w:rPr>
      </w:pPr>
    </w:p>
    <w:p>
      <w:pPr>
        <w:ind w:left="1180" w:right="220" w:hanging="582"/>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180" w:right="20" w:hanging="582"/>
        <w:spacing w:after="0" w:line="263"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89" w:lineRule="exact"/>
        <w:rPr>
          <w:rFonts w:ascii="Arial" w:cs="Arial" w:eastAsia="Arial" w:hAnsi="Arial"/>
          <w:sz w:val="18"/>
          <w:szCs w:val="18"/>
          <w:color w:val="auto"/>
        </w:rPr>
      </w:pPr>
    </w:p>
    <w:p>
      <w:pPr>
        <w:ind w:left="1180" w:hanging="582"/>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130" w:lineRule="exact"/>
        <w:rPr>
          <w:rFonts w:ascii="Arial" w:cs="Arial" w:eastAsia="Arial" w:hAnsi="Arial"/>
          <w:sz w:val="18"/>
          <w:szCs w:val="18"/>
          <w:color w:val="auto"/>
        </w:rPr>
      </w:pPr>
    </w:p>
    <w:p>
      <w:pPr>
        <w:ind w:left="1180" w:right="80" w:hanging="582"/>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 or</w:t>
      </w:r>
    </w:p>
    <w:p>
      <w:pPr>
        <w:spacing w:after="0" w:line="75" w:lineRule="exact"/>
        <w:rPr>
          <w:rFonts w:ascii="Arial" w:cs="Arial" w:eastAsia="Arial" w:hAnsi="Arial"/>
          <w:sz w:val="18"/>
          <w:szCs w:val="18"/>
          <w:color w:val="auto"/>
        </w:rPr>
      </w:pPr>
    </w:p>
    <w:p>
      <w:pPr>
        <w:ind w:left="1180" w:hanging="582"/>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w:t>
      </w:r>
    </w:p>
    <w:p>
      <w:pPr>
        <w:spacing w:after="0" w:line="170"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6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(“AEs”) and other post-marketing information and reports, registration, as well as continued compliance with current good manufacturing practice, or cGMP, regulations.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ind w:right="160"/>
        <w:spacing w:after="0" w:line="301" w:lineRule="auto"/>
        <w:rPr>
          <w:sz w:val="20"/>
          <w:szCs w:val="20"/>
          <w:color w:val="auto"/>
        </w:rPr>
      </w:pPr>
      <w:r>
        <w:rPr>
          <w:rFonts w:ascii="Arial" w:cs="Arial" w:eastAsia="Arial" w:hAnsi="Arial"/>
          <w:sz w:val="16"/>
          <w:szCs w:val="16"/>
          <w:color w:val="auto"/>
        </w:rPr>
        <w:t>holder of an approved NDA must also submit new or supplemental applications and obtain FDA approval for certain changes to the approved product, product labeling or manufacturing process.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49"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If we or our partners fail to comply with applicable regulatory requirements following approval of any of our product candidates, a regulatory agency may:</w:t>
      </w:r>
    </w:p>
    <w:p>
      <w:pPr>
        <w:spacing w:after="0" w:line="76" w:lineRule="exact"/>
        <w:rPr>
          <w:sz w:val="20"/>
          <w:szCs w:val="20"/>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6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Currently, we have allocated significant resources to the testing and development of our LUNAR-COV19 and LUNAR-OTC vaccine candidates. Our spending on research and development programs and product candidates for COVID-19 or other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20" w:firstLine="589"/>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depend upon our third-party alliances with partners and contract organizations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5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 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ability to recognize revenues from successful strategic alliances may be impaired by several factors, including:</w:t>
      </w:r>
    </w:p>
    <w:p>
      <w:pPr>
        <w:spacing w:after="0" w:line="225" w:lineRule="exact"/>
        <w:rPr>
          <w:sz w:val="20"/>
          <w:szCs w:val="20"/>
          <w:color w:val="auto"/>
        </w:rPr>
      </w:pPr>
    </w:p>
    <w:p>
      <w:pPr>
        <w:ind w:left="1180" w:right="560" w:hanging="582"/>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business strategies, or a merger, acquisition, sale or downsizing of its company or business unit;</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130" w:lineRule="exact"/>
        <w:rPr>
          <w:rFonts w:ascii="Arial" w:cs="Arial" w:eastAsia="Arial" w:hAnsi="Arial"/>
          <w:sz w:val="18"/>
          <w:szCs w:val="18"/>
          <w:color w:val="auto"/>
        </w:rPr>
      </w:pPr>
    </w:p>
    <w:p>
      <w:pPr>
        <w:ind w:left="1180" w:right="420" w:hanging="582"/>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spacing w:after="0" w:line="75" w:lineRule="exact"/>
        <w:rPr>
          <w:rFonts w:ascii="Arial" w:cs="Arial" w:eastAsia="Arial" w:hAnsi="Arial"/>
          <w:sz w:val="18"/>
          <w:szCs w:val="18"/>
          <w:color w:val="auto"/>
        </w:rPr>
      </w:pPr>
    </w:p>
    <w:p>
      <w:pPr>
        <w:ind w:left="1180" w:right="220" w:hanging="582"/>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of milestones tied to such activities, thereby impacting our ability to fund our own activities;</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an alliance product;</w:t>
      </w:r>
    </w:p>
    <w:p>
      <w:pPr>
        <w:spacing w:after="0" w:line="130" w:lineRule="exact"/>
        <w:rPr>
          <w:rFonts w:ascii="Arial" w:cs="Arial" w:eastAsia="Arial" w:hAnsi="Arial"/>
          <w:sz w:val="18"/>
          <w:szCs w:val="18"/>
          <w:color w:val="auto"/>
        </w:rPr>
      </w:pPr>
    </w:p>
    <w:p>
      <w:pPr>
        <w:ind w:left="1180" w:right="800" w:hanging="582"/>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spacing w:after="0" w:line="75" w:lineRule="exact"/>
        <w:rPr>
          <w:rFonts w:ascii="Arial" w:cs="Arial" w:eastAsia="Arial" w:hAnsi="Arial"/>
          <w:sz w:val="18"/>
          <w:szCs w:val="18"/>
          <w:color w:val="auto"/>
        </w:rPr>
      </w:pPr>
    </w:p>
    <w:p>
      <w:pPr>
        <w:ind w:left="1180" w:right="100" w:hanging="582"/>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130" w:lineRule="exact"/>
        <w:rPr>
          <w:rFonts w:ascii="Arial" w:cs="Arial" w:eastAsia="Arial" w:hAnsi="Arial"/>
          <w:sz w:val="18"/>
          <w:szCs w:val="18"/>
          <w:color w:val="auto"/>
        </w:rPr>
      </w:pPr>
    </w:p>
    <w:p>
      <w:pPr>
        <w:ind w:left="1180" w:right="40" w:hanging="582"/>
        <w:spacing w:after="0" w:line="263"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89" w:lineRule="exact"/>
        <w:rPr>
          <w:rFonts w:ascii="Arial" w:cs="Arial" w:eastAsia="Arial" w:hAnsi="Arial"/>
          <w:sz w:val="18"/>
          <w:szCs w:val="18"/>
          <w:color w:val="auto"/>
        </w:rPr>
      </w:pPr>
    </w:p>
    <w:p>
      <w:pPr>
        <w:ind w:left="1180" w:right="20" w:hanging="582"/>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62"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76" w:lineRule="exact"/>
        <w:rPr>
          <w:sz w:val="20"/>
          <w:szCs w:val="20"/>
          <w:color w:val="auto"/>
        </w:rPr>
      </w:pPr>
    </w:p>
    <w:p>
      <w:pPr>
        <w:ind w:left="5540" w:right="3840" w:hanging="4942"/>
        <w:spacing w:after="0" w:line="668" w:lineRule="auto"/>
        <w:tabs>
          <w:tab w:leader="none" w:pos="1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candidates subject to our alliances may be terminated or significantly delayed;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both"/>
        <w:ind w:left="1180" w:right="60" w:hanging="582"/>
        <w:spacing w:after="0" w:line="342"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29" w:lineRule="exact"/>
        <w:rPr>
          <w:rFonts w:ascii="Arial" w:cs="Arial" w:eastAsia="Arial" w:hAnsi="Arial"/>
          <w:sz w:val="16"/>
          <w:szCs w:val="16"/>
          <w:color w:val="auto"/>
        </w:rPr>
      </w:pPr>
    </w:p>
    <w:p>
      <w:pPr>
        <w:ind w:left="1180" w:right="720" w:hanging="582"/>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75" w:lineRule="exact"/>
        <w:rPr>
          <w:rFonts w:ascii="Arial" w:cs="Arial" w:eastAsia="Arial" w:hAnsi="Arial"/>
          <w:sz w:val="18"/>
          <w:szCs w:val="18"/>
          <w:color w:val="auto"/>
        </w:rPr>
      </w:pPr>
    </w:p>
    <w:p>
      <w:pPr>
        <w:ind w:left="1180" w:right="120" w:hanging="582"/>
        <w:spacing w:after="0" w:line="259"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3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Certain agreements with our alliance partners may impair or prevent entirely our ability to generate revenues from the development, manufacture and commercialization of certain product candidates.</w:t>
      </w:r>
    </w:p>
    <w:p>
      <w:pPr>
        <w:spacing w:after="0" w:line="62"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Under the Development and Option Agreement with CureVac, as amended (the “CureVac Agreement”), CureVac may be entitled to trigger an option to license certain of our product candidates. CureVac may identify certain of our development candidates as targets under the CureVac Agreement and exercise an option to enter into an exclusive or non-exclusive license agreement with us with respect to these identified targets, subject to the limitations given in the CureVac Agreement. The exercise of this option by CureVac may impair or prevent entirely our ability to generate revenues from the commercialization of these development candidates, as the licensing agreement may give CureVac the right to receive some or all of the revenues from the development, manufacture and/or commercialization of these development candidates. Our inability to realize the benefits from developing, manufacturing or marketing our development candidates with our alliance partners, including with CureVac, may have a material adverse impact on our business, financial condition and prospects.</w:t>
      </w:r>
    </w:p>
    <w:p>
      <w:pPr>
        <w:spacing w:after="0" w:line="192"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some aspects of our compound formulation, research and studies, and those third parties may not perform satisfactorily, including failing to meet deadlines for the completion of such formulation, research or testing.</w:t>
      </w:r>
    </w:p>
    <w:p>
      <w:pPr>
        <w:spacing w:after="0" w:line="38"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do not expect to independently conduct all aspects of our drug discovery activities, compound formulation research or preclinical and clinical studies of product candidates. We currently rely and expect to continue to rely on third parties to conduct some aspects of our preclinical and clinical studies and formulation development.</w:t>
      </w:r>
    </w:p>
    <w:p>
      <w:pPr>
        <w:spacing w:after="0" w:line="76"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4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187"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rely on third-party manufacturers to produce the supply of our preclinical and clinical product candidates, and we intend to rely on third parties to produce future clinical supplies of product candidates that we advance into clinical trials and commercial supplies of any approved product candidates.</w:t>
      </w:r>
    </w:p>
    <w:p>
      <w:pPr>
        <w:spacing w:after="0" w:line="1"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Reliance on third-party manufacturers entails risks, including risks that we would not be subject to if we manufactured the product candidates ourselves, including:</w:t>
      </w:r>
    </w:p>
    <w:p>
      <w:pPr>
        <w:spacing w:after="0" w:line="76" w:lineRule="exact"/>
        <w:rPr>
          <w:sz w:val="20"/>
          <w:szCs w:val="20"/>
          <w:color w:val="auto"/>
        </w:rPr>
      </w:pPr>
    </w:p>
    <w:p>
      <w:pPr>
        <w:ind w:left="1180" w:hanging="582"/>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third parties under commercially reasonable terms;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ind w:left="1180" w:right="160" w:hanging="582"/>
        <w:spacing w:after="0" w:line="263"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89"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130" w:lineRule="exact"/>
        <w:rPr>
          <w:rFonts w:ascii="Arial" w:cs="Arial" w:eastAsia="Arial" w:hAnsi="Arial"/>
          <w:sz w:val="18"/>
          <w:szCs w:val="18"/>
          <w:color w:val="auto"/>
        </w:rPr>
      </w:pPr>
    </w:p>
    <w:p>
      <w:pPr>
        <w:ind w:left="1180" w:right="60" w:hanging="582"/>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Any of these events could lead to clinical study delays or failure to obtain regulatory approval, or impact our ability to successfully commercialize future products, if approved. Some of these events could be the basis for FDA action, including injunction, recall, seizure or total or partial suspension of production.</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62"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Our ability to obtain the necessary drug substance of product candidates could be adversely impacted by the coronavirus outbreak.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5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76"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8"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We currently have one supplier for two important components in our LUNAR-COV19 drug candidate, which supplier is located in China. Our dependence upon a single supplier located outside of the United States could place our commercialization efforts at risk.</w:t>
      </w:r>
    </w:p>
    <w:p>
      <w:pPr>
        <w:spacing w:after="0" w:line="16"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Currently, we have one supplier for two important components in our LUNAR-COV19 drug candidate, which supplier is located in China. This supplier may only have a limited supply of such essential materials, may encounter unexpected delays, possible shutdowns, or other impediments to production, resulting in delays to our ability to manufacture and commercialize LUNAR-COV19.Further, our dependence upon a single supplier located outside of the United States could place our commercialization efforts at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commercialization.</w:t>
      </w:r>
    </w:p>
    <w:p>
      <w:pPr>
        <w:spacing w:after="0" w:line="117"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6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or our strategic alliance partners intend to rely on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80"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We, our alliance partners and our CROs will be required to comply with the FDA’s or other regulatory agency’s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 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 and increase our costs.</w:t>
      </w:r>
    </w:p>
    <w:p>
      <w:pPr>
        <w:spacing w:after="0" w:line="77"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70"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6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right="20"/>
        <w:spacing w:after="0" w:line="289" w:lineRule="auto"/>
        <w:rPr>
          <w:sz w:val="20"/>
          <w:szCs w:val="20"/>
          <w:color w:val="auto"/>
        </w:rPr>
      </w:pPr>
      <w:r>
        <w:rPr>
          <w:rFonts w:ascii="Arial" w:cs="Arial" w:eastAsia="Arial" w:hAnsi="Arial"/>
          <w:sz w:val="16"/>
          <w:szCs w:val="16"/>
          <w:color w:val="auto"/>
        </w:rPr>
        <w:t>candidates, as well as our ability to preserve our trade secrets, to prevent third parties from infringing upon our proprietary rights and to operate without infringing upon the proprietary rights of others. As of February 15, 2021, we are the sole owner of over 209 patents and pending patent applications including 33 U.S. patents, 29 pending U.S. patent applications, 7 pending international applications under the PCT, 68 foreign patents and 72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58"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5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 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w:t>
      </w:r>
    </w:p>
    <w:p>
      <w:pPr>
        <w:spacing w:after="0" w:line="73"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79"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 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55" w:name="page56"/>
    <w:bookmarkEnd w:id="55"/>
    <w:p>
      <w:pPr>
        <w:ind w:right="80" w:firstLine="589"/>
        <w:spacing w:after="0" w:line="275"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84"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6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40" w:firstLine="589"/>
        <w:spacing w:after="0" w:line="286" w:lineRule="auto"/>
        <w:rPr>
          <w:sz w:val="20"/>
          <w:szCs w:val="20"/>
          <w:color w:val="auto"/>
        </w:rPr>
      </w:pPr>
      <w:r>
        <w:rPr>
          <w:rFonts w:ascii="Arial" w:cs="Arial" w:eastAsia="Arial" w:hAnsi="Arial"/>
          <w:sz w:val="17"/>
          <w:szCs w:val="17"/>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as described in “Other Material Agreements” and “Collaboration Agreements” under Part I, Item 1 and elsewhere in this annual report.</w:t>
      </w:r>
    </w:p>
    <w:p>
      <w:pPr>
        <w:spacing w:after="0" w:line="5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6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68"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76"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 OF PRODUCT CANDIDATES</w:t>
      </w:r>
    </w:p>
    <w:p>
      <w:pPr>
        <w:spacing w:after="0" w:line="229"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23"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If or when our strategic alliance partners elect to further pursue the development and commercialization of any of the product candidates that are subject to a strategic alliance agreement,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8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b w:val="1"/>
          <w:bCs w:val="1"/>
          <w:i w:val="1"/>
          <w:iCs w:val="1"/>
          <w:color w:val="auto"/>
        </w:rPr>
        <w:t>If we are unable to manufacture our vaccines in sufficient quantities, at sufficient yields or are unable to obtain regulatory approvals for a manufacturing facility for ARCT-021, our LUNAR-COV19 vaccine candidate, we may experience delays in product development, clinical trials, regulatory approval and commercial distribution.</w:t>
      </w:r>
    </w:p>
    <w:p>
      <w:pPr>
        <w:spacing w:after="0" w:line="76"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Completion of our clinical trials and commercialization of our vaccine candidates require access to, or development of, facilities to manufacture our LUNAR-COV19 vaccine candidate at sufficient yields and at commercial-scale. We have limited experience manufacturing our vaccine candidates in the volumes that will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ind w:right="80"/>
        <w:spacing w:after="0" w:line="263" w:lineRule="auto"/>
        <w:rPr>
          <w:sz w:val="20"/>
          <w:szCs w:val="20"/>
          <w:color w:val="auto"/>
        </w:rPr>
      </w:pPr>
      <w:r>
        <w:rPr>
          <w:rFonts w:ascii="Arial" w:cs="Arial" w:eastAsia="Arial" w:hAnsi="Arial"/>
          <w:sz w:val="18"/>
          <w:szCs w:val="18"/>
          <w:color w:val="auto"/>
        </w:rPr>
        <w:t>necessary to support large-scale clinical trials or commercial sales. Efforts to establish these capabilities may not meet initial expectations as to scheduling, scale-up, reproducibility, yield, purity, cost, stability, potency or quality. In addition, other companies, many with substantial resources, may compete with us for access to materials needed to manufacture our vaccines.</w:t>
      </w:r>
    </w:p>
    <w:p>
      <w:pPr>
        <w:spacing w:after="0" w:line="7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Manufacturing our LUNAR-COV19 vaccine candidate involves a complicated process with which we have limited experience. We are dependent on third-party organizations to conduct a portion of our vaccine manufacturing activities. If third-party manufacturing organizations are unable to manufacture our vaccine candidates in clinical quantities or, when necessary, in commercial quantities and at sufficient yields, then we will need to identify and reach supply arrangements with additional third parties. Third-party manufacturers must also be inspected by the FDA as part of the FDA’s review of our marketing application. Our LUNAR-COV19 vaccine candidate may be in competition with other products for access to these facilities and may be subject to delays in manufacture if third parties give other products higher priority. We may not be able to enter into any necessary additional third-party manufacturing arrangements on acceptable terms, or on a timely basis. In addition, we have to enter into technical transfer agreements and share our know-how with the third-party manufacturers, which can be time-consuming and may result in delays. Any delay in the manufacture or delivery of a vaccine could adversely affect our ability to sell the LUNAR-COV19 vaccine candidate, if approved.</w:t>
      </w:r>
    </w:p>
    <w:p>
      <w:pPr>
        <w:spacing w:after="0" w:line="73"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bulk vaccines on a commercial scale, replacement of a manufacturer may be expensive and time-consuming and may cause interruptions in the production of our vaccine. A third-party manufacturer may also encounter difficulties in production. These problems may include:</w:t>
      </w:r>
    </w:p>
    <w:p>
      <w:pPr>
        <w:spacing w:after="0" w:line="63"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with production costs, scale up and yields;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in developing a lyophilized formula of, or validating a lyophilization process for, LUNAR-COV19;</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in storage and cold chain distribution of LUNAR-COV19 (even with lyophilization);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products might be sold; and</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result, any delay or interruption could have a material adverse effect on our business, financial condition, and results of operations.</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58"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Other than our LUNAR-COV19 vaccine candidate and LUNAR-OTC, all of our programs are preclinical and targeted toward indications for which there are product candidates in clinical development. We will face competition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line="301" w:lineRule="auto"/>
        <w:rPr>
          <w:sz w:val="20"/>
          <w:szCs w:val="20"/>
          <w:color w:val="auto"/>
        </w:rPr>
      </w:pPr>
      <w:r>
        <w:rPr>
          <w:rFonts w:ascii="Arial" w:cs="Arial" w:eastAsia="Arial" w:hAnsi="Arial"/>
          <w:sz w:val="16"/>
          <w:szCs w:val="16"/>
          <w:color w:val="auto"/>
        </w:rPr>
        <w:t>from other drugs currently approved or that may be approved in the future for the same therapeutic indications as our product candidates. For example, both Synlogic and Ultragenyx are currently conducting clinical trials with therapies to treat OTC deficiency. Currently approved therapies for these patients include the small molecule nitrogen scavengers sodium benzoate, sodium phenylacetate, and sodium phenylbutyrate, and glycerol phenylbutyrate (brand name Ravicti). Our ability to compete successfully will depend largely on our ability to leverage our experience in drug discovery and development to:</w:t>
      </w:r>
    </w:p>
    <w:p>
      <w:pPr>
        <w:spacing w:after="0" w:line="63" w:lineRule="exact"/>
        <w:rPr>
          <w:sz w:val="20"/>
          <w:szCs w:val="20"/>
          <w:color w:val="auto"/>
        </w:rPr>
      </w:pPr>
    </w:p>
    <w:p>
      <w:pPr>
        <w:ind w:left="1180" w:hanging="582"/>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discover and develop therapeutics that are superior to other products in the market;</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nucleic acid product platform and future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therapeutics.</w:t>
      </w:r>
    </w:p>
    <w:p>
      <w:pPr>
        <w:spacing w:after="0" w:line="129"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80" w:lineRule="exact"/>
        <w:rPr>
          <w:sz w:val="20"/>
          <w:szCs w:val="20"/>
          <w:color w:val="auto"/>
        </w:rPr>
      </w:pPr>
    </w:p>
    <w:p>
      <w:pPr>
        <w:ind w:right="400" w:firstLine="589"/>
        <w:spacing w:after="0" w:line="275"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131" w:lineRule="exact"/>
        <w:rPr>
          <w:sz w:val="20"/>
          <w:szCs w:val="20"/>
          <w:color w:val="auto"/>
        </w:rPr>
      </w:pPr>
    </w:p>
    <w:p>
      <w:pPr>
        <w:ind w:left="1180" w:hanging="5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AEs;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hospital or payor formulary approval;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11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if approved,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8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spacing w:after="0" w:line="6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62"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170" w:lineRule="exact"/>
        <w:rPr>
          <w:sz w:val="20"/>
          <w:szCs w:val="20"/>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180" w:right="200" w:hanging="582"/>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180" w:right="760" w:hanging="582"/>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if approved, which could make it difficult for us to sell products profitably.</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 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spacing w:after="0" w:line="64"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76"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right="560"/>
        <w:spacing w:after="0" w:line="277" w:lineRule="auto"/>
        <w:rPr>
          <w:sz w:val="20"/>
          <w:szCs w:val="20"/>
          <w:color w:val="auto"/>
        </w:rPr>
      </w:pPr>
      <w:r>
        <w:rPr>
          <w:rFonts w:ascii="Arial" w:cs="Arial" w:eastAsia="Arial" w:hAnsi="Arial"/>
          <w:sz w:val="18"/>
          <w:szCs w:val="18"/>
          <w:color w:val="auto"/>
        </w:rPr>
        <w:t>to successfully secure and maintain reimbursement coverage for our future products or are significantly delayed in doing so, we will have difficulty achieving market acceptance of our future products and our business will be harmed.</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attract and retain key executives and to attract, retain and motivate qualified personnel.</w:t>
      </w:r>
    </w:p>
    <w:p>
      <w:pPr>
        <w:spacing w:after="0" w:line="129"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129" w:lineRule="exact"/>
        <w:rPr>
          <w:sz w:val="20"/>
          <w:szCs w:val="20"/>
          <w:color w:val="auto"/>
        </w:rPr>
      </w:pPr>
    </w:p>
    <w:p>
      <w:pPr>
        <w:ind w:right="200" w:firstLine="589"/>
        <w:spacing w:after="0" w:line="269" w:lineRule="auto"/>
        <w:rPr>
          <w:sz w:val="20"/>
          <w:szCs w:val="20"/>
          <w:color w:val="auto"/>
        </w:rPr>
      </w:pPr>
      <w:r>
        <w:rPr>
          <w:rFonts w:ascii="Arial" w:cs="Arial" w:eastAsia="Arial" w:hAnsi="Arial"/>
          <w:sz w:val="17"/>
          <w:szCs w:val="17"/>
          <w:color w:val="auto"/>
        </w:rPr>
        <w:t>As of December 31, 2020, we had 118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2" w:name="page63"/>
    <w:bookmarkEnd w:id="62"/>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spacing w:after="0" w:line="5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 Even if we are ultimately successful in defending any such action, we could be required to divert financial and managerial resources in doing so and adverse publicity could result, all of which could harm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ind w:right="40"/>
        <w:spacing w:after="0" w:line="259" w:lineRule="auto"/>
        <w:rPr>
          <w:sz w:val="20"/>
          <w:szCs w:val="20"/>
          <w:color w:val="auto"/>
        </w:rPr>
      </w:pPr>
      <w:r>
        <w:rPr>
          <w:rFonts w:ascii="Arial" w:cs="Arial" w:eastAsia="Arial" w:hAnsi="Arial"/>
          <w:sz w:val="18"/>
          <w:szCs w:val="18"/>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7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82" w:lineRule="exact"/>
        <w:rPr>
          <w:sz w:val="20"/>
          <w:szCs w:val="20"/>
          <w:color w:val="auto"/>
        </w:rPr>
      </w:pPr>
    </w:p>
    <w:p>
      <w:pPr>
        <w:ind w:left="1180" w:hanging="582"/>
        <w:spacing w:after="0" w:line="269"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Affordable Care Act amended the Social Security Act to provide that the U.S. government may assert that a claim including items or services resulting from a violation of the federal Anti-Kickback Statute constitutes a false or fraudulent claim for purposes of the federal civil False Claims Act penalties for which are described below.</w:t>
      </w:r>
    </w:p>
    <w:p>
      <w:pPr>
        <w:spacing w:after="0" w:line="84" w:lineRule="exact"/>
        <w:rPr>
          <w:rFonts w:ascii="Arial" w:cs="Arial" w:eastAsia="Arial" w:hAnsi="Arial"/>
          <w:sz w:val="17"/>
          <w:szCs w:val="17"/>
          <w:color w:val="auto"/>
        </w:rPr>
      </w:pPr>
    </w:p>
    <w:p>
      <w:pPr>
        <w:ind w:left="1180" w:right="220" w:hanging="582"/>
        <w:spacing w:after="0" w:line="273"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 $11,665 to $23,331 per false claim or statement.</w:t>
      </w:r>
    </w:p>
    <w:p>
      <w:pPr>
        <w:spacing w:after="0" w:line="83" w:lineRule="exact"/>
        <w:rPr>
          <w:rFonts w:ascii="Arial" w:cs="Arial" w:eastAsia="Arial" w:hAnsi="Arial"/>
          <w:sz w:val="17"/>
          <w:szCs w:val="17"/>
          <w:color w:val="auto"/>
        </w:rPr>
      </w:pPr>
    </w:p>
    <w:p>
      <w:pPr>
        <w:jc w:val="both"/>
        <w:ind w:left="1180" w:right="100" w:hanging="582"/>
        <w:spacing w:after="0" w:line="263"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spacing w:after="0" w:line="89" w:lineRule="exact"/>
        <w:rPr>
          <w:rFonts w:ascii="Arial" w:cs="Arial" w:eastAsia="Arial" w:hAnsi="Arial"/>
          <w:sz w:val="18"/>
          <w:szCs w:val="18"/>
          <w:color w:val="auto"/>
        </w:rPr>
      </w:pPr>
    </w:p>
    <w:p>
      <w:pPr>
        <w:ind w:left="1180" w:right="60" w:hanging="582"/>
        <w:spacing w:after="0" w:line="272"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ind w:left="1180" w:right="60" w:hanging="582"/>
        <w:spacing w:after="0" w:line="296"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66" w:lineRule="exact"/>
        <w:rPr>
          <w:rFonts w:ascii="Arial" w:cs="Arial" w:eastAsia="Arial" w:hAnsi="Arial"/>
          <w:sz w:val="16"/>
          <w:szCs w:val="16"/>
          <w:color w:val="auto"/>
        </w:rPr>
      </w:pPr>
    </w:p>
    <w:p>
      <w:pPr>
        <w:ind w:left="1180" w:right="20" w:hanging="582"/>
        <w:spacing w:after="0" w:line="271"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 and</w:t>
      </w:r>
    </w:p>
    <w:p>
      <w:pPr>
        <w:spacing w:after="0" w:line="83" w:lineRule="exact"/>
        <w:rPr>
          <w:rFonts w:ascii="Arial" w:cs="Arial" w:eastAsia="Arial" w:hAnsi="Arial"/>
          <w:sz w:val="17"/>
          <w:szCs w:val="17"/>
          <w:color w:val="auto"/>
        </w:rPr>
      </w:pPr>
    </w:p>
    <w:p>
      <w:pPr>
        <w:ind w:left="1180" w:hanging="582"/>
        <w:spacing w:after="0" w:line="291"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58"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addition, the European Union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84"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or laws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11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(the “ACA”) was enacted, which made a number of substantial changes in the way healthcare is financed by both governmental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ind w:right="360"/>
        <w:spacing w:after="0" w:line="259" w:lineRule="auto"/>
        <w:rPr>
          <w:sz w:val="20"/>
          <w:szCs w:val="20"/>
          <w:color w:val="auto"/>
        </w:rPr>
      </w:pPr>
      <w:r>
        <w:rPr>
          <w:rFonts w:ascii="Arial" w:cs="Arial" w:eastAsia="Arial" w:hAnsi="Arial"/>
          <w:sz w:val="18"/>
          <w:szCs w:val="18"/>
          <w:color w:val="auto"/>
        </w:rPr>
        <w:t>and private insurers. The ACA included a number of provisions that may reduce the profitability of drug products, including revising the rebate methodology for covered outpatient drugs under the Medicaid Drug Rebate Program, extending Medicaid rebates to individuals enrolled in Medicaid managed care plans, and requiring drug manufacturers to pay an annual fee based on their market share of prior year total sales of branded programs to certain federal health care programs.</w:t>
      </w:r>
    </w:p>
    <w:p>
      <w:pPr>
        <w:spacing w:after="0" w:line="7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There remain executive, legal and political challenges to certain aspects of the ACA. For example, in December 2017, Congress repealed the tax penalty for an individual’s failure to maintain ACA-mandated health insurance as part of the Tax Cuts and Jobs Act of 2017 (the “Tax Act”), effective January 1, 2019. On December 14, 2018, a Texas U.S. District Court Judge ruled that the ACA is unconstitutional in its entirety because the “individual mandate” was repealed by Congress as part of the Tax Act.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held oral arguments on November 10, 2020.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It is unclear how the U.S. Supreme Court ruling, other such litigation, and the healthcare reform measures of the Biden administration will impact the ACA and our operations.</w:t>
      </w:r>
    </w:p>
    <w:p>
      <w:pPr>
        <w:spacing w:after="0" w:line="74"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started in April 2013, and, due to subsequent legislative amendments, will remain in effect through 2030 unless additional Congressional action is taken, except for a temporary suspension from May 1, 2020 through March 31, 2021 due to the COVID-19 pandemic. On January 2, 2013, the American Taxpayer Relief Act of 2012 was signed into law, which, among other things, also reduced Medicare payments to several categories of healthcare providers. Additionally, the Bipartisan Budget Act of 2018, among other things, amended the ACA to increase from 50% to 70% the point-of-sale discount that is owed by pharmaceutical manufacturers who participate in Medicare Part D and to close the coverage gap in most Medicare drug plans, commonly referred to as the “donut hole.”</w:t>
      </w:r>
    </w:p>
    <w:p>
      <w:pPr>
        <w:spacing w:after="0" w:line="7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Congress and the Biden administration may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84" w:lineRule="exact"/>
        <w:rPr>
          <w:sz w:val="20"/>
          <w:szCs w:val="20"/>
          <w:color w:val="auto"/>
        </w:rPr>
      </w:pPr>
    </w:p>
    <w:p>
      <w:pPr>
        <w:ind w:right="680" w:firstLine="589"/>
        <w:spacing w:after="0" w:line="286" w:lineRule="auto"/>
        <w:rPr>
          <w:sz w:val="20"/>
          <w:szCs w:val="20"/>
          <w:color w:val="auto"/>
        </w:rPr>
      </w:pPr>
      <w:r>
        <w:rPr>
          <w:rFonts w:ascii="Arial" w:cs="Arial" w:eastAsia="Arial" w:hAnsi="Arial"/>
          <w:sz w:val="17"/>
          <w:szCs w:val="17"/>
          <w:color w:val="auto"/>
        </w:rPr>
        <w:t>We expect that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w:t>
      </w:r>
    </w:p>
    <w:p>
      <w:pPr>
        <w:spacing w:after="0" w:line="5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117"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67" w:lineRule="exact"/>
        <w:rPr>
          <w:sz w:val="20"/>
          <w:szCs w:val="20"/>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9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6"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117" w:lineRule="exact"/>
        <w:rPr>
          <w:sz w:val="20"/>
          <w:szCs w:val="20"/>
          <w:color w:val="auto"/>
        </w:rPr>
      </w:pPr>
    </w:p>
    <w:p>
      <w:pPr>
        <w:ind w:right="280" w:firstLine="589"/>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1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Under the Tax Cuts and Jobs Act, as modified by the Coronavirus Aid, Relief, and Economic Security Act, or CARES Act, U.S. federal net operating losses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6"/>
          <w:szCs w:val="16"/>
          <w:b w:val="1"/>
          <w:bCs w:val="1"/>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shares.</w:t>
      </w:r>
    </w:p>
    <w:p>
      <w:pPr>
        <w:spacing w:after="0" w:line="117" w:lineRule="exact"/>
        <w:rPr>
          <w:sz w:val="20"/>
          <w:szCs w:val="20"/>
          <w:color w:val="auto"/>
        </w:rPr>
      </w:pPr>
    </w:p>
    <w:p>
      <w:pPr>
        <w:ind w:right="540" w:firstLine="589"/>
        <w:spacing w:after="0" w:line="34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investors may not be able to resell shares at or above the price at which they purchase the shares.</w:t>
      </w:r>
    </w:p>
    <w:p>
      <w:pPr>
        <w:spacing w:after="0" w:line="62"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trading price of our common stock is likely to be volatile. Our share price could be subject to wide fluctuations in response to a variety of factors, including but not limited to the following factors:</w:t>
      </w:r>
    </w:p>
    <w:p>
      <w:pPr>
        <w:spacing w:after="0" w:line="76" w:lineRule="exact"/>
        <w:rPr>
          <w:sz w:val="20"/>
          <w:szCs w:val="20"/>
          <w:color w:val="auto"/>
        </w:rPr>
      </w:pPr>
    </w:p>
    <w:p>
      <w:pPr>
        <w:ind w:left="1180" w:hanging="582"/>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30" w:lineRule="exact"/>
        <w:rPr>
          <w:rFonts w:ascii="Arial" w:cs="Arial" w:eastAsia="Arial" w:hAnsi="Arial"/>
          <w:sz w:val="18"/>
          <w:szCs w:val="18"/>
          <w:color w:val="auto"/>
        </w:rPr>
      </w:pPr>
    </w:p>
    <w:p>
      <w:pPr>
        <w:ind w:left="1180" w:right="40" w:hanging="582"/>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130" w:lineRule="exact"/>
        <w:rPr>
          <w:rFonts w:ascii="Arial" w:cs="Arial" w:eastAsia="Arial" w:hAnsi="Arial"/>
          <w:sz w:val="18"/>
          <w:szCs w:val="18"/>
          <w:color w:val="auto"/>
        </w:rPr>
      </w:pPr>
    </w:p>
    <w:p>
      <w:pPr>
        <w:ind w:left="1180" w:right="340" w:hanging="582"/>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8" w:name="page69"/>
    <w:bookmarkEnd w:id="68"/>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142" w:lineRule="exact"/>
        <w:rPr>
          <w:rFonts w:ascii="Arial" w:cs="Arial" w:eastAsia="Arial" w:hAnsi="Arial"/>
          <w:sz w:val="17"/>
          <w:szCs w:val="17"/>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180" w:right="520" w:hanging="582"/>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spacing w:after="0" w:line="75" w:lineRule="exact"/>
        <w:rPr>
          <w:rFonts w:ascii="Arial" w:cs="Arial" w:eastAsia="Arial" w:hAnsi="Arial"/>
          <w:sz w:val="18"/>
          <w:szCs w:val="18"/>
          <w:color w:val="auto"/>
        </w:rPr>
      </w:pPr>
    </w:p>
    <w:p>
      <w:pPr>
        <w:ind w:left="1180" w:hanging="582"/>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shareholders in the future; and</w:t>
      </w:r>
    </w:p>
    <w:p>
      <w:pPr>
        <w:spacing w:after="0" w:line="130" w:lineRule="exact"/>
        <w:rPr>
          <w:rFonts w:ascii="Arial" w:cs="Arial" w:eastAsia="Arial" w:hAnsi="Arial"/>
          <w:sz w:val="18"/>
          <w:szCs w:val="18"/>
          <w:color w:val="auto"/>
        </w:rPr>
      </w:pPr>
    </w:p>
    <w:p>
      <w:pPr>
        <w:ind w:left="1180" w:hanging="582"/>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117"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ind w:firstLine="589"/>
        <w:spacing w:after="0" w:line="255" w:lineRule="auto"/>
        <w:rPr>
          <w:sz w:val="20"/>
          <w:szCs w:val="20"/>
          <w:color w:val="auto"/>
        </w:rPr>
      </w:pPr>
      <w:r>
        <w:rPr>
          <w:rFonts w:ascii="Arial" w:cs="Arial" w:eastAsia="Arial" w:hAnsi="Arial"/>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1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and product approvals. If we face such litigation, it could result in substantial costs, divert management’s attention and resources, or have a material adverse effect on our business, operating results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common stock in the public market by our existing shareholders could cause our share price to fall.</w:t>
      </w:r>
    </w:p>
    <w:p>
      <w:pPr>
        <w:spacing w:after="0" w:line="129"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If our existing shareholders sell, or indicate an intention to sell, substantial amounts of those common stock in the public market, the trading price of our common stock could decline. In particular, the former shareholders, warrant holders and noteholders of Arcturus Therapeutics, Inc. received an aggregate of 6,631,712 of our common stock pursuant to the merger with Alcobra Ltd. in an unregistered transaction, which shares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common stock is sold, or if it is perceived that it will be sold, in the public market, that could create downward pressure on the trading price of our common stock and cause the trading price to decline.</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spacing w:after="0" w:line="62"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2019 Omnibus Equity Incentive Plan, our management is authorized to grant options and other equity-based awards to our employees, directors and consultants. We may sell common stock,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117"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are delisted from Nasdaq and are not eligible for quotation or listing on another market or exchange, trading of our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ind w:right="40"/>
        <w:spacing w:after="0" w:line="259" w:lineRule="auto"/>
        <w:rPr>
          <w:sz w:val="20"/>
          <w:szCs w:val="20"/>
          <w:color w:val="auto"/>
        </w:rPr>
      </w:pPr>
      <w:r>
        <w:rPr>
          <w:rFonts w:ascii="Arial" w:cs="Arial" w:eastAsia="Arial" w:hAnsi="Arial"/>
          <w:sz w:val="18"/>
          <w:szCs w:val="18"/>
          <w:color w:val="auto"/>
        </w:rPr>
        <w:t>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We have three properties located in San Diego, California. Our principal place of business is located at 10628 Science Center Drive, Suite 250, and consists of approximately 24,700 square feet of office space and laboratory space leased through March 2025. We have the right to extend this lease for an additional five-year term.</w:t>
      </w:r>
    </w:p>
    <w:p>
      <w:pPr>
        <w:spacing w:after="0" w:line="76" w:lineRule="exact"/>
        <w:rPr>
          <w:sz w:val="20"/>
          <w:szCs w:val="20"/>
          <w:color w:val="auto"/>
        </w:rPr>
      </w:pPr>
    </w:p>
    <w:p>
      <w:pPr>
        <w:ind w:right="80" w:firstLine="589"/>
        <w:spacing w:after="0" w:line="308" w:lineRule="auto"/>
        <w:rPr>
          <w:sz w:val="20"/>
          <w:szCs w:val="20"/>
          <w:color w:val="auto"/>
        </w:rPr>
      </w:pPr>
      <w:r>
        <w:rPr>
          <w:rFonts w:ascii="Arial" w:cs="Arial" w:eastAsia="Arial" w:hAnsi="Arial"/>
          <w:sz w:val="17"/>
          <w:szCs w:val="17"/>
          <w:color w:val="auto"/>
        </w:rPr>
        <w:t>On February 16, 2020, we entered into a short-term lease for additional office and laboratory space located in close proximity to our main office at 10578 Science Center Drive, Suite 150. The additional space of approximately 11,750 square feet is leased through March 2025.</w:t>
      </w:r>
    </w:p>
    <w:p>
      <w:pPr>
        <w:spacing w:after="0" w:line="38"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On February 26, 2021, we entered into a short-term lease for additional office and laboratory space located in close proximity to our main office at 10240 Science Center Drive, Suite 100. The additional space of approximately 4,312 square feet is leased for a term of twelve months. We have the right to extend this lease for an additional twelve months.</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properties are suitable for the conduct of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On December 13, 2019, a former employee of the Company filed a complaint in San Diego County Superior Court, captioned Adonary Munoz v. Arcturus Therapeutics, Inc., et al, Case No. 37-2019-00066358-CU-PO-CTL. The lawsuit alleges sexual assault by an acquaintance of one of our employees and seeks to hold the Company liable on a number of causes of action. On January 17, 2020, a second amended complaint (“SAC”) was filed seeking $30 million in damages, including punitive damages and damages for emotional distress. The matter is scheduled for mediation on May 5, 2021. The Company believes the allegations of Ms. Munoz in her complaint are without merit, and intends to vigorously defend itself in the foregoing action. The Company is unable to estimate a potential loss or range of losses relating to this matter.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February 24, 2021, there were 18 holders of record of our common stock. As of such date, there were 26,280,275 shares of our common stock outstanding.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and Affiliated Purchaser - Purchases of Equity Securities</w:t>
      </w:r>
    </w:p>
    <w:p>
      <w:pPr>
        <w:spacing w:after="0" w:line="12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During the fiscal year 2018, we completed the sale of our intangible assets related to the ADAIR technology. Pursuant to the asset purchase agreement for ADAIR, we received a 30% ownership interest in the common stock of Vallon Pharmaceuticals, Inc. (“Vallon”) in consideration for the sale of the ADAIR technology. As of December 31, 2020, we held a 19% ownership interest due to the dilutive issuances of common stock by Vallon. Vallon completed an initial public offering and began trading on The Nasdaq Capital Market under the ticker “VLON” in February 2021. After this offering and other previous stock issuances of Vallon, Arcturus owns 843,750 shares of Vallon’s total post-IPO 6,811,122 outstanding shares, or approximately 12%.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Year Performance Graph</w:t>
      </w:r>
    </w:p>
    <w:p>
      <w:pPr>
        <w:spacing w:after="0" w:line="121"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The annual changes for the five-year period shown in the graph below are based on the assumption that $100 had been invested in Company common stock, the Nasdaq Composite Index, and the Nasdaq Biotechnology Index on December 31, 2015. With respect to “Market Information,” our common stock is listed on Nasdaq under the trading symbol “ARCT”.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125730</wp:posOffset>
            </wp:positionV>
            <wp:extent cx="5323205" cy="9601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2320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Company has elected to comply with Item 301 of Regulation S-K as amended effective February 10, 2021, and is omitting this disclosure in reliance thereon.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You should read the following discussion and analysis together with the consolidated financial statements and related notes included elsewhere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herein.</w:t>
      </w:r>
    </w:p>
    <w:p>
      <w:pPr>
        <w:spacing w:after="0" w:line="103"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Arcturus is a global clinical-stage messenger RNA medicines company focused on the development of infectious disease vaccines and significant opportunities within liver and respiratory rare diseases. In addition to our mRNA platform, our proprietary lipid nanoparticle delivery system, LUNAR, has the potential to enable multiple nucleic acid medicines, and our proprietary STARR technology has the potential to provide longer-lasting RNA and sustained protein expression.</w:t>
      </w:r>
    </w:p>
    <w:p>
      <w:pPr>
        <w:spacing w:after="0" w:line="79"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that the versatility of our platform to target multiple tissues, its compatibility with various nucleic acid therapeutics, and our expertise in developing scalable manufacturing processes put us in a good position to deliver on the next generation of nucleic medicines.</w:t>
      </w:r>
    </w:p>
    <w:p>
      <w:pPr>
        <w:spacing w:after="0" w:line="79" w:lineRule="exact"/>
        <w:rPr>
          <w:sz w:val="20"/>
          <w:szCs w:val="20"/>
          <w:color w:val="auto"/>
        </w:rPr>
      </w:pPr>
    </w:p>
    <w:p>
      <w:pPr>
        <w:ind w:right="40" w:firstLine="589"/>
        <w:spacing w:after="0" w:line="274" w:lineRule="auto"/>
        <w:rPr>
          <w:sz w:val="20"/>
          <w:szCs w:val="20"/>
          <w:color w:val="auto"/>
        </w:rPr>
      </w:pPr>
      <w:r>
        <w:rPr>
          <w:rFonts w:ascii="Arial" w:cs="Arial" w:eastAsia="Arial" w:hAnsi="Arial"/>
          <w:sz w:val="17"/>
          <w:szCs w:val="17"/>
          <w:color w:val="auto"/>
        </w:rPr>
        <w:t>In August 2020, we announced the dosing of all subjects in the first cohort of the Phase 1 clinical study of our LUNAR-COV19 vaccine candidate. The study was conducted with CTI Clinical Trial and Consulting Services, a global CRO, and in collaboration with Duke-NUS Medical</w:t>
      </w:r>
    </w:p>
    <w:p>
      <w:pPr>
        <w:ind w:right="100"/>
        <w:spacing w:after="0" w:line="260" w:lineRule="auto"/>
        <w:rPr>
          <w:sz w:val="20"/>
          <w:szCs w:val="20"/>
          <w:color w:val="auto"/>
        </w:rPr>
      </w:pPr>
      <w:r>
        <w:rPr>
          <w:rFonts w:ascii="Arial" w:cs="Arial" w:eastAsia="Arial" w:hAnsi="Arial"/>
          <w:sz w:val="18"/>
          <w:szCs w:val="18"/>
          <w:color w:val="auto"/>
        </w:rPr>
        <w:t>School in Singapore. In December 2020, we announced that we received approval from the Singapore HSA to proceed with a Phase 2 clinical study of the LUNAR-COV19 vaccine candidate.</w:t>
      </w:r>
    </w:p>
    <w:p>
      <w:pPr>
        <w:spacing w:after="0" w:line="7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Additionally, in October 2020, we announced the completion of the first three dose escalation cohorts in our ongoing Phase 1 study of ARCT-810, our messenger RNA-based therapeutic candidate for OTC deficiency.</w:t>
      </w:r>
    </w:p>
    <w:p>
      <w:pPr>
        <w:spacing w:after="0" w:line="62"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2020, we had an accumulated deficit of $143.8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0" w:firstLine="589"/>
        <w:spacing w:after="0" w:line="324" w:lineRule="auto"/>
        <w:rPr>
          <w:sz w:val="20"/>
          <w:szCs w:val="20"/>
          <w:color w:val="auto"/>
        </w:rPr>
      </w:pPr>
      <w:r>
        <w:rPr>
          <w:rFonts w:ascii="Arial" w:cs="Arial" w:eastAsia="Arial" w:hAnsi="Arial"/>
          <w:sz w:val="17"/>
          <w:szCs w:val="17"/>
          <w:color w:val="auto"/>
        </w:rPr>
        <w:t>Since our inception, we have funded our operations principally with proceeds from the sale of capital stock and revenues earned through collaborative agreements. At December 31, 2020, we had $462.9 million in unrestricted cash and cash equivalents.</w:t>
      </w:r>
    </w:p>
    <w:p>
      <w:pPr>
        <w:spacing w:after="0" w:line="26"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On October 12, 2018, we entered into a Loan and Security Agreement with Western Alliance Bank whereby we received gross proceeds of $10.0 million under a long-term debt agreement (the “Loan”).</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On October 30, 2019, we and the Bank entered into a Third Amendment (the “Third Amendment”) to the Loan and Security Agreement dated as of October 12, 2018 (as amended, the “Loan Agreement”).</w:t>
      </w:r>
    </w:p>
    <w:p>
      <w:pPr>
        <w:spacing w:after="0" w:line="62"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Pursuant to the Third Amendment, the Bank agreed to make a term loan to us on October 30, 2019, in the amount of $15.0 million (the “Term Loan”). The resulting net increase in the indebtedness of us was $5.0 million. The Term Loan bears interest at a floating rate ranging from 1.25% to 2.75% above the prime rate. The amendment further provides that the Term Loan has a maturity date of October 30, 2023. We shall make monthly payments of interest only until the interest-only end date of October 1, 2021 and thereafter shall make monthly payments of principal and interest during a 24-month amortization period. Upon maturity or prepayment, we will be required to pay a 2% fee as a result of the FDA’s approval to proceed with the Company’s LUNAR-OTC (ARCT-810) program based on its IND submission.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ind w:right="60" w:firstLine="589"/>
        <w:spacing w:after="0" w:line="288" w:lineRule="auto"/>
        <w:rPr>
          <w:sz w:val="20"/>
          <w:szCs w:val="20"/>
          <w:color w:val="auto"/>
        </w:rPr>
      </w:pPr>
      <w:r>
        <w:rPr>
          <w:rFonts w:ascii="Arial" w:cs="Arial" w:eastAsia="Arial" w:hAnsi="Arial"/>
          <w:sz w:val="16"/>
          <w:szCs w:val="16"/>
          <w:color w:val="auto"/>
        </w:rPr>
        <w:t>On March 4, 2020, we were awarded a grant (the “Grant”)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We entered into an amendment to the Grant on September 24, 2020 to update certain delivery and milestone timelines. The Grant has been paid in full by the EDB as a result of the achievement of certain milestones related to the progress of the development of the vaccine, as set forth in the award agreement. The funds received have been recognized as contra research and development expense in proportion to the percentage covered by the EDB of the overall budget. We are liable for certain expenses during the program and are also subject to certain conditions, including (i) completing an external audit within 183 days of the conclusion of the claim period on February 20, 2021, or August 22, 2021, and (ii) delivering 10 grams of LUNAR-COV19 vaccine candidate suitable for use in a phase 3 trial in two shipments with a partial shipment by June 30, 2021 and a remaining shipment by September 30, 2021. Additionally, we are required to pay an agreed upon royalty rate to Duke-NUS on future net sales of the LUNAR-COV19 vaccine candidate in markets or jurisdictions outside of Singapore.</w:t>
      </w:r>
    </w:p>
    <w:p>
      <w:pPr>
        <w:spacing w:after="0" w:line="60"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On October 2, 2020, we were awarded another grant from the Singapore EDB to support the further development of a potential COVID-19 vaccine. The grant provides for up to S$9.3 million (approximately US$6.7 million) to support the development of the vaccine candidate for costs incurred in Singapore subject to certain conditions including (i) completing an external audit within 183 days from March 31, 2021, or September 30, 2021, (ii) delivering 10 grams of LUNAR-COV19 vaccine candidate suitable for use in a phase 3 trial in two shipments with a partial shipment by June 30, 2021 and a remaining shipment by September 30, 2021 and (iii) creating an entity in Singapore which was completed during the fourth quarter of 2020. The grant will be paid in two installments upon the achievement of certain milestones related to the progress of the development of the vaccine candidate. We received the first installment of $3.6 million in the fourth quarter of 2020.</w:t>
      </w:r>
    </w:p>
    <w:p>
      <w:pPr>
        <w:spacing w:after="0" w:line="69"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On November 7, 2020, we entered into a Manufacturing Support Agreement (the “Support Agreement”) with the Economic Development Board of the Republic of Singapore (the “EDB”). Pursuant to the Support Agreement, the EDB agreed to make a term loan of up to S$62.1 million, subject to the satisfaction of customary deliveries, to support the manufacture of the LUNAR-COV19 vaccine candidate (the “Singapore Loan”). The Singapore Loan and the related side letter includes certain loan covenants requiring (i) unused funds as of June 30, 2021 to be subsequently returned within thirty days, subject to the agreed upon extension of the reconciliation date, (ii) us to provide a quarterly reconciliation report within forty-five days of each financial quarter end, (iii) an external audit to be completed by September 26, 2021, (iv) us to deliver 10 grams of the LUNAR-COV19 vaccine candidate suitable for use in a phase 3 trial in two shipments with a partial shipment by June 30, 2021 and a remaining shipment by September 30, 2021, and (v) us to provide EDB with a right of first refusal on GMP manufacturing slots of the LUNAR-COV19 vaccine candidate up to an agreed-upon maximum amount. We elected to borrow the full amount available under the Support Agreement of S$62.1 million, or $46.6 million, as a result of applicable exchange rates, on January 29, 2021.</w:t>
      </w:r>
    </w:p>
    <w:p>
      <w:pPr>
        <w:spacing w:after="0" w:line="8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Singapore Loan accrues interest at a rate of 4% per annum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the borrowing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If any portion of the Singapore Loan is required to be forgiven pursuant to the terms of the Support Agreement, the EDB has the right to take ownership of certain raw materials and equipment that were purchased by us with proceeds of the Singapore Loan (the “Specified Assets”). We entered into a security agreement (the “Security Agreement”) for the benefit of the EDB to provide that repayment of the Singapore Loan and related obligations are secured by a lien on the Specified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ind w:right="200" w:firstLine="589"/>
        <w:spacing w:after="0" w:line="263" w:lineRule="auto"/>
        <w:rPr>
          <w:sz w:val="20"/>
          <w:szCs w:val="20"/>
          <w:color w:val="auto"/>
        </w:rPr>
      </w:pPr>
      <w:r>
        <w:rPr>
          <w:rFonts w:ascii="Arial" w:cs="Arial" w:eastAsia="Arial" w:hAnsi="Arial"/>
          <w:sz w:val="18"/>
          <w:szCs w:val="18"/>
          <w:color w:val="auto"/>
        </w:rPr>
        <w:t>In connection with the entry into the Support Agreement, we entered into a consent agreement with Western Alliance Bank and an amendment to the Loan and Security Agreement, dated as of October 12, 2018, to exclude the Specified Assets from Western Alliance Bank’s lien on certain assets of Arcturus.</w:t>
      </w:r>
    </w:p>
    <w:p>
      <w:pPr>
        <w:spacing w:after="0" w:line="76"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A significant portion of our current cash balance of $462.9 million along with the $46.6 million from the Singapore Loan is expected to be utilized during fiscal year 2021 to fund (i) the Phase 2 trial and anticipated Phase 3 trial of our current LUNAR-COV19 vaccine candidate, (ii) the continued Phase 1 trial and anticipated Phase 2 trial of ARCT-810, our LUNAR-OTC candidate, (iii) advancing our new LUNAR-FLU program toward submission of an IND, (iv) and other programs and administrative costs.</w:t>
      </w:r>
    </w:p>
    <w:p>
      <w:pPr>
        <w:spacing w:after="0" w:line="7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Phase 3 trial of our LUNAR-COV19 vaccine candidate is expected to be funded primarily or exclusively through our cash reserves. If we achieve EUA approval to market our LUNAR-COV19 vaccine candidate, we will need to raise additional funds through equity transactions, additional debt or prepayments from potential customers, among other options, to fund commercialization of LUNAR-COV19.</w:t>
      </w:r>
    </w:p>
    <w:p>
      <w:pPr>
        <w:spacing w:after="0" w:line="7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 Our future capital requirements are difficult to forecast and will depend on many factors.</w:t>
      </w:r>
    </w:p>
    <w:p>
      <w:pPr>
        <w:spacing w:after="0" w:line="7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a summary of our cash flows for the year ended December 31, 2020, 2019 and 2018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Operating activities</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(42,861)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(6,445)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(20,760)</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(1,742)</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22,134</w:t>
            </w: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436,145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CFF0FC"/>
            </w:tcBorders>
          </w:tcPr>
          <w:p>
            <w:pPr>
              <w:spacing w:after="0"/>
              <w:rPr>
                <w:sz w:val="19"/>
                <w:szCs w:val="19"/>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391,542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firstLine="589"/>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and general and administrative expenditures. We have incurred significant expenses which have been partially offset by cash collected through our collaboration agreements. Cash collections under the collaboration agreements can vary from year to year depending on the terms of the agreement and work performed. These changes on cash flows primarily relate to the timing of cash receipts for upfront payments, reimbursable expenses and achievement of milestones under these collaborative agreements.</w:t>
      </w:r>
    </w:p>
    <w:p>
      <w:pPr>
        <w:spacing w:after="0" w:line="86"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Net cash used in operating activities was $42.9 million on a net loss of $72.1 million for 2020, $6.4 million on a net loss of $26.0 million for 2019 and $20.8 million on a net loss of $21.8 million for 2018. Adjustments for non-cash charges which includes share-based compensation expense and depreciation and amortization were $8.1 million for 2020, $3.6 million for 2019 and $2.2 million for 2018. Changes in working capital resulted in adjustments to operating net cash inflows of $21.2 million for 2020, net cash inflows of $16.0 million for 2019, and net cash outflows of $1.2 million for 2018. The significant adjustments to operating net cash inflows for 2020 were primarily due to the supply agreement with Israeli MOH signed in the third quarter of 2020 along with increased accounts payable and accrued liabilities from LUNAR-COV19 (ARCT-021) and LUNAR-OTC (ARCT-810) clinical trial activities, which expenses were incurred as discussed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ind w:left="6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Net cash used in investing activities of $1.7 million for 2020 and $0.8 million for 2019 reflected the acquisition of property and equipment. Net cash provided by investing activities of $22.1 million for 2018 reflected proceeds from the maturities of our short-term investments of $30.2 million, offset by purchases of short-term investments of $6.6 million, and cash used to purchase property and equipment of $1.5 million.</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Net cash provided by financing activities of $436.1 million for 2020 consisted of net proceeds from the issuance of common stock in three underwritten public offerings of $423.8 million, net proceeds of $9.6 million from the issuance of common stock to Ultragenyx upon exercise of its option and proceeds from the exercise of stock options of $2.7 million. Net cash provided by financing activities of $41.9 million for 2019 consisted of net proceeds from the issuance of common stock of $15.5 million to Ultragenyx, net proceeds from the issuance of common stock of $21.3 million related to public offerings, net proceeds from long-term debt of $4.9 million, and proceeds from the exercise of stock options of $0.1 million. Net cash provided by financing activities of $10.2 million for 2018 consisted of net proceeds from the exercise of stock options of $0.3 million and net proceeds from long-term debt of $9.9 million.</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continued funding from partners at anticipated levels and our payment obligations under our long-term credit facility referenced in Note 7 to our Consolidated Financial Statements continuing following the current maturity schedule.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development of ARCT-021, our LUNAR-COV19 vaccine candidate;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9,539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Collaboration revenue decreased by $11.3 million during the year ended December 31, 2020 as compared to the year ended December 31, 2019. The decrease in collaboration revenue primarily relates to (i) $5.6 million of decreased revenue from reduced reimbursements associated with the CureVac co-development agreement that terminated in the second quarter of 2019, (ii) a decrease in one-time sublicense revenue from Synthetic Genomics as we recognized sublicense revenue of $3.3 million during the second quarter of 2019, (iii) a reduction of $1.9 million in revenue recognized related to the Ultragenyx Agreement, as we recorded a large amount of upfront payment amortization upon the execution of the Ultragenyx Third Amendment during the second quarter of 2019 and also recognized fewer research and development expense reimbursements related to the Ultragenyx Agreement during 2020, and (iv) lower research and development expense reimbursements recognized in 2020 related to other collaboration agreements, including with Providence Therapeutics and Takeda. The decrease in collaboration revenue was partially offset by increased revenue recognition related to the Janssen agreement and other collaboration agreements.</w:t>
      </w:r>
    </w:p>
    <w:p>
      <w:pPr>
        <w:spacing w:after="0" w:line="73"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Collaboration revenue increased by $5.0 million during the year ended December 31, 2019 as compared to the year ended December 31, 2018. The increase in revenue during the year was caused by a ramp up in activities on the Janssen collaboration agreement which led to an increase in revenue of $1.7 million. Additionally, an increase of $2.2 million was due to settling the terminated co-development program with CureVac (as discussed in the following paragraph) along with an increase in amortized revenue that was previously deferred. Lastly, there was an increase in revenue from Synthetic Genomics Inc. of $2.1 million due to recognizing revenue related to a sublicense payment during the year. These increases were primarily offset by negligible decreases from various programs and decreased revenue of $0.9 million associated with Ultragenyx as the collaboration agreement had less activity compared to the prior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6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306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57,846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33,640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81,063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60" w:type="dxa"/>
            <w:vAlign w:val="bottom"/>
            <w:vMerge w:val="restart"/>
          </w:tcPr>
          <w:p>
            <w:pPr>
              <w:jc w:val="right"/>
              <w:ind w:right="75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ind w:left="60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External pipeline development expenses: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LUNAR-OTC (ARCT-810)</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13,008</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15,616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LUNAR-CF (ARCT-032), net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60"/>
              <w:spacing w:after="0"/>
              <w:rPr>
                <w:sz w:val="20"/>
                <w:szCs w:val="20"/>
                <w:color w:val="auto"/>
              </w:rPr>
            </w:pPr>
            <w:r>
              <w:rPr>
                <w:rFonts w:ascii="Arial" w:cs="Arial" w:eastAsia="Arial" w:hAnsi="Arial"/>
                <w:sz w:val="18"/>
                <w:szCs w:val="18"/>
                <w:color w:val="auto"/>
              </w:rPr>
              <w:t>LUNAR-COV19 (ARCT-021), net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Discovery technologies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External platform development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Partnered discovery technologies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development expenses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expenses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Facilities and equipment expenses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 net</w:t>
            </w:r>
          </w:p>
        </w:tc>
        <w:tc>
          <w:tcPr>
            <w:tcW w:w="4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57,846</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79"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IND for our LUNAR-OTC program was accepted by the FDA in April 2020. However, the ongoing pandemic has delayed patient enrollment, resulting in lower clinical costs. As a result, LUNAR-OTC expenses for the year ended December 31, 2020 decreased by $2.6 million as compared to the year ended December 31, 2019. LUNAR-OTC expenses for the year ended December 31, 2019 increased by $11.9 million as compared to the year ended December 31, 2018. The increase from 2018 to 2019 was due primarily to preparation for an IND application, which was submitted during the first quarter of 2020.</w:t>
      </w:r>
    </w:p>
    <w:p>
      <w:pPr>
        <w:spacing w:after="0" w:line="80"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LUNAR-CF expenses were $4.4 million in the year ended December 31, 2020, $0.8 million in the year ended December 31, 2019 and $0.3 million in the year ended December 31, 2018. The increase in LUNAR-CF expenses from 2018 to 2019 and from 2019 to 2020 was due primarily to the amendment to the CFF Agreement executed in July 2019, and we expect that our development efforts and associated costs will increase over the next several years as the LUNAR-CF program moves toward expected IND submission in 2022. These amounts are net of funds awarded by the CFF.</w:t>
      </w:r>
    </w:p>
    <w:p>
      <w:pPr>
        <w:spacing w:after="0" w:line="49"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In March 2020, we signed a contract for approximately $10.0 million (using the exchange rate at the time the grant contract was entered into) with the Singapore Economic Development Board that will fund a portion of the costs incurred in our LUNAR-COV19 program. In October 2020, we entered into an additional grant agreement for approximately $6.7 million (using the exchange rate at the time the grant contract was entered into). We expect that the program costs and pre-launch inventory costs will continue to increase as clinical trials progress and we advance program development. The research and development costs were $20.9 million for the year ended December 31, 2020. There were no comparable costs in 2019 or 2018.</w:t>
      </w:r>
    </w:p>
    <w:p>
      <w:pPr>
        <w:spacing w:after="0" w:line="53"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Discovery technologies represents our efforts to expand our product pipeline. Discovery technology expenses were $1.7 million in the year ended December 31, 2020, $3.9 million in the year ended December 31, 2019 and $2.9 million in the year ended December 31, 2018. The decrease in discovery technology expenses from 2019 to 2020 was due to focusing our efforts on the advancement of our LUNAR-OTC and LUNAR-COV19 programs. The increase in discovery technology expenses from 2018 to 2019 was due to additional efforts to add new capabilities necessary to expand our future platform technology and discovery of our next programs. These efforts have resulted in new programs such as STARR technology.</w:t>
      </w:r>
    </w:p>
    <w:p>
      <w:pPr>
        <w:spacing w:after="0" w:line="53"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Partnered discovery technologies expenses were $1.5 million in the year ended December 31, 2020, $1.9 million in the year ended December 31, 2019 and $2.0 million in the year ended December 31, 2018. The decrease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in partnered discovery technologies expenses from 2019 to 2020 was primarily caused by a decrease in activity relating to our collaboration with Takeda.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partnered discovery technologies expenses to fluctuate based on the needs of our collaboration partners.</w:t>
      </w:r>
    </w:p>
    <w:p>
      <w:pPr>
        <w:spacing w:after="0" w:line="103"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Personnel related expenses, net of funds received from CFF and the Singapore EDB, were $12.8 million in the year ended December 31, 2020, $9.0 million in the year ended December 31, 2019 and $6.5 million in the year ended December 31, 2018. The increase in personnel related expenses from 2019 to 2020 was primarily due to (i) increased headcount related to the addition of our LUNAR-COV19 program and (ii) increased share-based compensation expense resulting from our increased stock price in 2020. The increase in personnel related expenses from 2018 to 2019 was due primarily to increased headcount necessary to advance our external pipeline and platform efforts. We expect personnel related expenses to increase in 2021 as we expand our headcount to execute our business plan.</w:t>
      </w:r>
    </w:p>
    <w:p>
      <w:pPr>
        <w:spacing w:after="0" w:line="84"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Facilities and equipment expenses were $3.5 million in the year ended December 31, 2020, $2.4 million in the year ended December 31, 2019 and $1.5 million in the year ended December 31, 2018. The increase in facilities and equipment expenses from 2019 to 2020 was primarily due to the lease of a second building entered into in early 2020. The increase in facilities and equipment expenses from 2018 to 2019 was due primarily to higher rent and related costs associated with our headquarter lease.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89"/>
        <w:spacing w:after="0" w:line="308" w:lineRule="auto"/>
        <w:rPr>
          <w:sz w:val="20"/>
          <w:szCs w:val="20"/>
          <w:color w:val="auto"/>
        </w:rPr>
      </w:pPr>
      <w:r>
        <w:rPr>
          <w:rFonts w:ascii="Arial" w:cs="Arial" w:eastAsia="Arial" w:hAnsi="Arial"/>
          <w:sz w:val="17"/>
          <w:szCs w:val="17"/>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38"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General and administrative expenses were $23.2 million in the year ended December 31, 2020, $12.7 million in the year ended December 31, 2019 and $20.6 million in the year ended December 31, 2018. The increase in general and administrative expenses from 2019 to 2020 was primarily caused by</w:t>
      </w:r>
    </w:p>
    <w:p>
      <w:pPr>
        <w:ind w:right="20" w:firstLine="8"/>
        <w:spacing w:after="0" w:line="268" w:lineRule="auto"/>
        <w:tabs>
          <w:tab w:leader="none" w:pos="2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$5.9 million increase in personnel related expenses due to increased headcount and increased share-based compensation, (ii) a $1.6 million increase in facilities and insurance expenses due to the execution of a new lease agreement and (iii) a $2.3 million increase in professional fees due to a $2.4 million insurance settlement received in 2019 relating to the proxy matter that was recorded as contra-general and administrative expense. The decrease in general and administrative expenses from 2018 to 2019 was primarily due to (i) non-recurring proxy, legal and related costs incurred in 2018 of $7.3 million, which did not recur in 2019, and (ii) the insurance settlement of $2.4 million relating to the proxy matter that was recorded as contra-G&amp;A expense when it was received in 2019, offset by increases in personnel costs of $1.1 million, public company related expenses of $0.4 million, and facilities and other costs of $0.3 million. Without the effect of the one-time proxy costs, general and administrative expenses would have been relatively consistent between 2018 and 2019. We expect general and administrative expenses to increase in 2021 as we expand our headcount, facilities and professional services to execute our business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i w:val="1"/>
                <w:iCs w:val="1"/>
                <w:color w:val="auto"/>
              </w:rPr>
              <w:t>Finance income (expense), net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(expense),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(831)</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(854)</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Interest income is generated on cash and cash equivalents. For the year ended December 31, 2020, the increase in interest income compared to the year ended December 31, 2019 resulted from increased interest on bank deposits due to higher cash balances, partially offset by lower interest rates earned. For the year ended December 31, 2019, the decrease in interest income compared to the year ended December 31, 2018 resulted from decreased investments.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jc w:val="both"/>
        <w:ind w:firstLine="589"/>
        <w:spacing w:after="0" w:line="263" w:lineRule="auto"/>
        <w:rPr>
          <w:sz w:val="20"/>
          <w:szCs w:val="20"/>
          <w:color w:val="auto"/>
        </w:rPr>
      </w:pPr>
      <w:r>
        <w:rPr>
          <w:rFonts w:ascii="Arial" w:cs="Arial" w:eastAsia="Arial" w:hAnsi="Arial"/>
          <w:sz w:val="18"/>
          <w:szCs w:val="18"/>
          <w:color w:val="auto"/>
        </w:rPr>
        <w:t>Interest expense relates to the long-term debt with Western Alliance Bank. Interest expense was relatively flat for the year ended 2020 as compared to 2019. The increase in interest expense for the year ended 2019 as compared to 2018 was due to an entire year of interest incurred during 2019 versus one quarter of interest incurred during the fourth quarter of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(“U.S. GAAP”). As such, we make certain estimates, judgments and assumptions that we believe are reasonable, based upon information available to us. These judgments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2020. In the following paragraphs, we describe the specific risks associated with these critical accounting policies and we caution that future events may not reflect exactly as one may expect, and that best estimates may require adjustment.</w:t>
      </w:r>
    </w:p>
    <w:p>
      <w:pPr>
        <w:spacing w:after="0" w:line="70" w:lineRule="exact"/>
        <w:rPr>
          <w:sz w:val="20"/>
          <w:szCs w:val="20"/>
          <w:color w:val="auto"/>
        </w:rPr>
      </w:pPr>
    </w:p>
    <w:p>
      <w:pPr>
        <w:ind w:right="560" w:firstLine="589"/>
        <w:spacing w:after="0" w:line="308"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 under collaborative agreements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recognize R&amp;D revenue from several collaboration agreements. Our collaboration agreements typically contain promised goods and services, including technology licenses or options to obtain technology licenses, R&amp;D services, and manufacturing services. Upon entering into a collaboration agreement, we are required to make the following judgments: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Identifying the performance obligations contained in the agreement</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assessment of what constitutes a separate performance obligation requires us to apply judgment. Specifically, we are required to identify which goods and services we are required to provide under the contract are distinct,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Determining the transaction price, including any variable consideration</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w:t>
      </w:r>
    </w:p>
    <w:p>
      <w:pPr>
        <w:spacing w:after="0" w:line="76"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We are required to reassess the total transaction price at each reporting period to determine if we should include additional payments that have become probable in the transaction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Allocating the transaction price to each of our performance obligations</w:t>
      </w:r>
    </w:p>
    <w:p>
      <w:pPr>
        <w:spacing w:after="0" w:line="117"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If we were to allocate the transaction price to more than one performance obligation, we would make estimates of the relative stand-alone selling price of each performance obligation, as it is not typical for us to sell our goods or services on a stand-alone basis. The estimate of the relative stand-alone selling price would require us to make significant judgments. To date, we have not entered into a collaboration agreement with more than one performance obligation.</w:t>
      </w:r>
    </w:p>
    <w:p>
      <w:pPr>
        <w:spacing w:after="0" w:line="79"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The R&amp;D revenue we recognize each period is comprised of several types of revenue, including amortization from upfront payments, milestone payments, option exclusivity fees and other services. Each of these types of revenue require us to make various judgments and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from Upfront Payments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For certain agreements, we recognize revenue from the amortization of upfront payments as we perform R&amp;D services. We use an input method to estimate the amount of revenue to recognize each period. This method requires us to make estimates of the total costs we expect to incur in order to complete our promised R&amp;D services or the total length of time it will take us to complete our promised R&amp;D services. If we change our estimates, we may have to adjust our revenue.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When recognizing revenue related to milestone payments, we typically judge and estimate whether the milestone payment is probable (discussed in detail above under “Determining the transaction price, including any variable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Including Clinical Trial Accruals/Expenses</w:t>
      </w:r>
    </w:p>
    <w:p>
      <w:pPr>
        <w:spacing w:after="0" w:line="11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Research and development costs consist of salaries and benefits, including related stock-based compensation, laboratory supplies and facility costs, as well as fees paid to other entities that conduct certain research and development activities on our behalf, such as clinical research organizations, or CROs, and contract manufacturing organizations, or CMOs. Research and development costs are expensed as incurred.</w:t>
      </w:r>
    </w:p>
    <w:p>
      <w:pPr>
        <w:spacing w:after="0" w:line="5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Clinical trial expenses are a significant component of research and development expenses, and we outsource a significant portion of these clinical trial activities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prepaid assets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Our historical clinical accrual estimates have not been materially different from our actual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Our primary exposure to market risk is interest income and expense sensitivity, which is affected by changes in the general level of United States interest rates. Due to the nature of our investments and term loan, we believe that we are not subject to any material market risk exposure. We do not have any foreign currency or other derivative financial instruments.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consolidated financial statements and related financial statement schedules required to be filed are listed in the Index to Consolidated Financial Statements and are incorporated herein and in Item 15 of Part IV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spacing w:after="0" w:line="290" w:lineRule="auto"/>
        <w:rPr>
          <w:sz w:val="20"/>
          <w:szCs w:val="20"/>
          <w:color w:val="auto"/>
        </w:rPr>
      </w:pPr>
      <w:r>
        <w:rPr>
          <w:rFonts w:ascii="Arial" w:cs="Arial" w:eastAsia="Arial" w:hAnsi="Arial"/>
          <w:sz w:val="16"/>
          <w:szCs w:val="16"/>
          <w:color w:val="auto"/>
        </w:rPr>
        <w:t>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57"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As of December 31, 2020, our management, with the participation of our Chief Executive Officer, Chief Financial Officer and Principal Accounting Officer, has evaluated the effectiveness of the design and operation of our disclosure controls and procedures, as defined in Rules 13a-15(e) and 15d-15(e) under the Exchange Act.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Chief Financial Officer and Principal Accounting Officer, as appropriate, to allow timely decisions regarding required disclosure. Based on this evaluation, our Chief Executive Officer, Chief Financial Officer and Principal Accounting Officer concluded that our disclosure controls and procedures were effective at the reasonable assurance level as of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Exchange Act Rules 13a-15(f) and 15(d) -15(f) as a process designed by, or under the supervision of, our Chief Executive Officer, Chief Financial Officer and Principal Accounting Officer to provide reasonable assurance regarding the reliability of financial reporting and the preparation of financial statements for external purposes in accordance with U.S. generally accepted accounting principles.</w:t>
      </w:r>
    </w:p>
    <w:p>
      <w:pPr>
        <w:spacing w:after="0" w:line="63"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As of December 31, 2020, our management assessed the effectiveness of our internal control over financial reporting using the criteria set forth by the Committee of Sponsoring Organizations of the Treadway Commission (COSO) in Internal Control-Integrated Framework (2013). In adopting the 2013 Framework, management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Chief Executive Officer, Chief Financial Officer and Principal Accounting Officer, concluded that, as of December 31, 2020, our internal control over financial reporting was effective based on those criteria.</w:t>
      </w:r>
    </w:p>
    <w:p>
      <w:pPr>
        <w:spacing w:after="0" w:line="70"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Ernst &amp; Young LLP, an independent registered public accounting firm, as stated in its report, which is included 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ind w:right="3360" w:firstLine="3364"/>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Arcturus Therapeutics Holdings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We have audited Arcturus Therapeutics Holdings Inc. and its Subsidiaries’ internal control over financial reporting as of December 31, 2020, based on criteria established in Internal Control—Integrated Framework issued by the Committee of Sponsoring Organizations of the Treadway Commission (2013 framework), (the COSO criteria). In our opinion, Arcturus Therapeutics Holdings Inc. and its Subsidiaries (the Company) maintained, in all material respects, effective internal control over financial reporting as of December 31, 2020, based on the COSO criteria.</w:t>
      </w:r>
    </w:p>
    <w:p>
      <w:pPr>
        <w:spacing w:after="0" w:line="63"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loss, changes in stockholders‘ equity, and cash flows, for each of the three years in the period ended December 31, 2020, and the related notes and our report dated March 1, 2021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20" w:firstLine="589"/>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An evaluation was also performed under the supervision and with the participation of our management, including our Chief Executive Officer, Chief Financial Officer and Principal Accounting Officer of any changes in our internal control over financial reporting that occurred during our last fiscal quarter and that has materially affected, or is reasonably likely to materially affect, our internal control over financial reporting. </w:t>
      </w:r>
      <w:r>
        <w:rPr>
          <w:rFonts w:ascii="Arial" w:cs="Arial" w:eastAsia="Arial" w:hAnsi="Arial"/>
          <w:sz w:val="16"/>
          <w:szCs w:val="16"/>
          <w:color w:val="212529"/>
        </w:rPr>
        <w:t>There were no changes in</w:t>
      </w:r>
      <w:r>
        <w:rPr>
          <w:rFonts w:ascii="Arial" w:cs="Arial" w:eastAsia="Arial" w:hAnsi="Arial"/>
          <w:sz w:val="16"/>
          <w:szCs w:val="16"/>
          <w:color w:val="auto"/>
        </w:rPr>
        <w:t xml:space="preserve"> </w:t>
      </w:r>
      <w:r>
        <w:rPr>
          <w:rFonts w:ascii="Arial" w:cs="Arial" w:eastAsia="Arial" w:hAnsi="Arial"/>
          <w:sz w:val="16"/>
          <w:szCs w:val="16"/>
          <w:color w:val="212529"/>
        </w:rPr>
        <w:t>our internal control over financial reporting identified in management's evaluation pursuant to Rules 13a-15(d) or 15d-15(d) of the Exchange Act during the quarter ended December 31, 2020 that materially affected, or are reasonably likely to materially affect, our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left="55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 xml:space="preserve">Information required </w:t>
      </w:r>
      <w:r>
        <w:rPr>
          <w:rFonts w:ascii="Arial" w:cs="Arial" w:eastAsia="Arial" w:hAnsi="Arial"/>
          <w:sz w:val="18"/>
          <w:szCs w:val="18"/>
          <w:color w:val="212529"/>
        </w:rPr>
        <w:t>by this item will be contained in our Definitive Proxy Statement for our 2021 Annual Meeting of Stockholders, to be filed</w:t>
      </w:r>
      <w:r>
        <w:rPr>
          <w:rFonts w:ascii="Arial" w:cs="Arial" w:eastAsia="Arial" w:hAnsi="Arial"/>
          <w:sz w:val="18"/>
          <w:szCs w:val="18"/>
          <w:color w:val="auto"/>
        </w:rPr>
        <w:t xml:space="preserve"> </w:t>
      </w:r>
      <w:r>
        <w:rPr>
          <w:rFonts w:ascii="Arial" w:cs="Arial" w:eastAsia="Arial" w:hAnsi="Arial"/>
          <w:sz w:val="18"/>
          <w:szCs w:val="18"/>
          <w:color w:val="212529"/>
        </w:rPr>
        <w:t>pursuant to Regulation 14A with the Securities and Exchange Commission within 120 days of December 31, 2020.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2021 Annual Meeting of Stockholders, to be filed pursuant to Regulation 14A with the Securities and Exchange Commission within 120 days of December 31, 2020.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2021 Annual Meeting of Stockholders, to be filed pursuant to Regulation 14A with the Securities and Exchange Commission within 120 days of December 31, 2020.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2021 Annual Meeting of Stockholders, to be filed pursuant to Regulation 14A with the Securities and Exchange Commission within 120 days of December 31, 2020.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12529"/>
        </w:rPr>
        <w:t>Information required by this item will be contained in our Definitive Proxy Statement for our 2021 Annual Meeting of Stockholders, to be filed pursuant to Regulation 14A with the Securities and Exchange Commission within 120 days of December 31, 2020. Such information is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ind w:left="55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1760" w:hanging="578"/>
        <w:spacing w:after="0"/>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Annual Report.;</w:t>
      </w:r>
    </w:p>
    <w:p>
      <w:pPr>
        <w:spacing w:after="0" w:line="117" w:lineRule="exact"/>
        <w:rPr>
          <w:rFonts w:ascii="Arial" w:cs="Arial" w:eastAsia="Arial" w:hAnsi="Arial"/>
          <w:sz w:val="18"/>
          <w:szCs w:val="18"/>
          <w:color w:val="auto"/>
        </w:rPr>
      </w:pPr>
    </w:p>
    <w:p>
      <w:pPr>
        <w:ind w:left="1760" w:hanging="578"/>
        <w:spacing w:after="0" w:line="263" w:lineRule="auto"/>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spacing w:after="0" w:line="75" w:lineRule="exact"/>
        <w:rPr>
          <w:rFonts w:ascii="Arial" w:cs="Arial" w:eastAsia="Arial" w:hAnsi="Arial"/>
          <w:sz w:val="18"/>
          <w:szCs w:val="18"/>
          <w:color w:val="auto"/>
        </w:rPr>
      </w:pPr>
    </w:p>
    <w:p>
      <w:pPr>
        <w:ind w:left="1760" w:hanging="578"/>
        <w:spacing w:after="0"/>
        <w:tabs>
          <w:tab w:leader="none" w:pos="17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See the exhibit index preceding the signature pages to this Annual Report, which is incorporated by reference herein.</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the exhibit index preceding the signature pages to this Annual Report, which is incorporated by reference herein.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20" w:type="dxa"/>
            <w:vAlign w:val="bottom"/>
            <w:gridSpan w:val="17"/>
          </w:tcPr>
          <w:p>
            <w:pPr>
              <w:ind w:left="88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4"/>
                <w:szCs w:val="14"/>
                <w:color w:val="auto"/>
              </w:rPr>
            </w:pPr>
          </w:p>
        </w:tc>
        <w:tc>
          <w:tcPr>
            <w:tcW w:w="9700" w:type="dxa"/>
            <w:vAlign w:val="bottom"/>
            <w:tcBorders>
              <w:top w:val="single" w:sz="8" w:color="auto"/>
            </w:tcBorders>
            <w:gridSpan w:val="20"/>
          </w:tcPr>
          <w:p>
            <w:pPr>
              <w:spacing w:after="0" w:line="169" w:lineRule="exact"/>
              <w:rPr>
                <w:rFonts w:ascii="Arial" w:cs="Arial" w:eastAsia="Arial" w:hAnsi="Arial"/>
                <w:sz w:val="18"/>
                <w:szCs w:val="18"/>
                <w:color w:val="0000EE"/>
                <w:w w:val="97"/>
              </w:rPr>
            </w:pPr>
            <w:hyperlink r:id="rId116">
              <w:r>
                <w:rPr>
                  <w:rFonts w:ascii="Arial" w:cs="Arial" w:eastAsia="Arial" w:hAnsi="Arial"/>
                  <w:sz w:val="18"/>
                  <w:szCs w:val="18"/>
                  <w:color w:val="0000EE"/>
                  <w:w w:val="97"/>
                </w:rPr>
                <w:t>Underwriting Agreement, dated December 7, 2020, by and among Arcturus Therapeutics Holdings Inc., Piper Sandler &amp; Co.,</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Guggenheim Securities, LLC and Wells Fargo Securities, LLC. Incorporated by reference to Exhibit 1.1 to Current Report on Form 8-</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K filed on December 8, 2020 (File No. 001-38942).</w:t>
              </w:r>
            </w:hyperlink>
          </w:p>
        </w:tc>
        <w:tc>
          <w:tcPr>
            <w:tcW w:w="40" w:type="dxa"/>
            <w:vAlign w:val="bottom"/>
            <w:gridSpan w:val="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040" w:type="dxa"/>
            <w:vAlign w:val="bottom"/>
            <w:tcBorders>
              <w:bottom w:val="single" w:sz="8" w:color="0000EE"/>
            </w:tcBorders>
            <w:gridSpan w:val="12"/>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Certificate of Incorporation. Incorporated by reference to Annex B to the proxy statement/prospectus which forms part of the</w:t>
              </w:r>
            </w:hyperlink>
          </w:p>
        </w:tc>
        <w:tc>
          <w:tcPr>
            <w:tcW w:w="660" w:type="dxa"/>
            <w:vAlign w:val="bottom"/>
            <w:gridSpan w:val="8"/>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Registration Statement on Form S-4 filed on March 18, 2019 (File No. 333-230353).</w:t>
              </w:r>
            </w:hyperlink>
          </w:p>
        </w:tc>
        <w:tc>
          <w:tcPr>
            <w:tcW w:w="3540" w:type="dxa"/>
            <w:vAlign w:val="bottom"/>
            <w:gridSpan w:val="9"/>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460" w:type="dxa"/>
            <w:vAlign w:val="bottom"/>
            <w:tcBorders>
              <w:bottom w:val="single" w:sz="8" w:color="0000EE"/>
            </w:tcBorders>
            <w:gridSpan w:val="14"/>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Certificate of Amendment, dated November 25, 2020. Incorporated by reference to Exhibit 3.1 to Form 8-K filed on November 25,</w:t>
              </w:r>
            </w:hyperlink>
          </w:p>
        </w:tc>
        <w:tc>
          <w:tcPr>
            <w:tcW w:w="24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2020 (File No. 001-38942).</w:t>
              </w:r>
            </w:hyperlink>
          </w:p>
        </w:tc>
        <w:tc>
          <w:tcPr>
            <w:tcW w:w="7700" w:type="dxa"/>
            <w:vAlign w:val="bottom"/>
            <w:gridSpan w:val="18"/>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Bylaws of Arcturus Therapeutics Holdings Inc. Incorporated by reference to Exhibit 3.2 to the Company’s Registration Statement on</w:t>
              </w:r>
            </w:hyperlink>
          </w:p>
        </w:tc>
        <w:tc>
          <w:tcPr>
            <w:tcW w:w="12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Form S-3, filed with the SEC on May 8, 2020 (File No. 333-238139).</w:t>
              </w:r>
            </w:hyperlink>
          </w:p>
        </w:tc>
        <w:tc>
          <w:tcPr>
            <w:tcW w:w="4680" w:type="dxa"/>
            <w:vAlign w:val="bottom"/>
            <w:gridSpan w:val="12"/>
          </w:tcPr>
          <w:p>
            <w:pPr>
              <w:spacing w:after="0"/>
              <w:rPr>
                <w:sz w:val="17"/>
                <w:szCs w:val="17"/>
                <w:color w:val="auto"/>
              </w:rPr>
            </w:pPr>
          </w:p>
        </w:tc>
      </w:tr>
      <w:tr>
        <w:trPr>
          <w:trHeight w:val="358"/>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700" w:type="dxa"/>
            <w:vAlign w:val="bottom"/>
            <w:gridSpan w:val="20"/>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Description of Registrant’s Securities.</w:t>
              </w:r>
            </w:hyperlink>
          </w:p>
        </w:tc>
      </w:tr>
      <w:tr>
        <w:trPr>
          <w:trHeight w:val="297"/>
        </w:trPr>
        <w:tc>
          <w:tcPr>
            <w:tcW w:w="1540" w:type="dxa"/>
            <w:vAlign w:val="bottom"/>
            <w:gridSpan w:val="2"/>
          </w:tcPr>
          <w:p>
            <w:pPr>
              <w:spacing w:after="0"/>
              <w:rPr>
                <w:sz w:val="20"/>
                <w:szCs w:val="20"/>
                <w:color w:val="auto"/>
              </w:rPr>
            </w:pPr>
            <w:r>
              <w:rPr>
                <w:rFonts w:ascii="Arial" w:cs="Arial" w:eastAsia="Arial" w:hAnsi="Arial"/>
                <w:sz w:val="18"/>
                <w:szCs w:val="18"/>
                <w:color w:val="auto"/>
              </w:rPr>
              <w:t>10.1†</w:t>
            </w:r>
          </w:p>
        </w:tc>
        <w:tc>
          <w:tcPr>
            <w:tcW w:w="9700" w:type="dxa"/>
            <w:vAlign w:val="bottom"/>
            <w:gridSpan w:val="20"/>
          </w:tcPr>
          <w:p>
            <w:pPr>
              <w:spacing w:after="0"/>
              <w:rPr>
                <w:sz w:val="20"/>
                <w:szCs w:val="20"/>
                <w:color w:val="auto"/>
              </w:rPr>
            </w:pPr>
            <w:r>
              <w:rPr>
                <w:rFonts w:ascii="Arial" w:cs="Arial" w:eastAsia="Arial" w:hAnsi="Arial"/>
                <w:sz w:val="18"/>
                <w:szCs w:val="18"/>
                <w:color w:val="0000EE"/>
                <w:w w:val="94"/>
              </w:rPr>
              <w:t xml:space="preserve">Form of Indemnification Agreement. </w:t>
            </w:r>
            <w:r>
              <w:rPr>
                <w:rFonts w:ascii="Arial" w:cs="Arial" w:eastAsia="Arial" w:hAnsi="Arial"/>
                <w:sz w:val="18"/>
                <w:szCs w:val="18"/>
                <w:color w:val="000000"/>
                <w:w w:val="94"/>
              </w:rPr>
              <w:t>Incorporated by reference to Exhibit 10.1 to the Company’s Annual Report on Form 10-K for</w:t>
            </w: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0"/>
          </w:tcPr>
          <w:p>
            <w:pPr>
              <w:spacing w:after="0" w:line="196" w:lineRule="exact"/>
              <w:rPr>
                <w:sz w:val="20"/>
                <w:szCs w:val="20"/>
                <w:color w:val="auto"/>
              </w:rPr>
            </w:pPr>
            <w:r>
              <w:rPr>
                <w:rFonts w:ascii="Arial" w:cs="Arial" w:eastAsia="Arial" w:hAnsi="Arial"/>
                <w:sz w:val="18"/>
                <w:szCs w:val="18"/>
                <w:color w:val="auto"/>
              </w:rPr>
              <w:t>the year ended December 31, 2019 filed on March 16, 2020 (File No. 001-38942).</w:t>
            </w:r>
          </w:p>
        </w:tc>
      </w:tr>
      <w:tr>
        <w:trPr>
          <w:trHeight w:val="20"/>
        </w:trPr>
        <w:tc>
          <w:tcPr>
            <w:tcW w:w="1540" w:type="dxa"/>
            <w:vAlign w:val="bottom"/>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40" w:type="dxa"/>
            <w:vAlign w:val="bottom"/>
            <w:gridSpan w:val="2"/>
          </w:tcPr>
          <w:p>
            <w:pPr>
              <w:spacing w:after="0"/>
              <w:rPr>
                <w:sz w:val="20"/>
                <w:szCs w:val="20"/>
                <w:color w:val="auto"/>
              </w:rPr>
            </w:pPr>
            <w:r>
              <w:rPr>
                <w:rFonts w:ascii="Arial" w:cs="Arial" w:eastAsia="Arial" w:hAnsi="Arial"/>
                <w:sz w:val="18"/>
                <w:szCs w:val="18"/>
                <w:color w:val="auto"/>
              </w:rPr>
              <w:t>10.2†</w:t>
            </w:r>
          </w:p>
        </w:tc>
        <w:tc>
          <w:tcPr>
            <w:tcW w:w="9700" w:type="dxa"/>
            <w:vAlign w:val="bottom"/>
            <w:gridSpan w:val="20"/>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Amended and Restated 2019 Omnibus Equity Incentive Plan. Incorporated by reference Exhibit 4.3 to the Registration Statement on</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Form S-8 filed on August 5, 2020 (File No. 001-38942).</w:t>
              </w:r>
            </w:hyperlink>
          </w:p>
        </w:tc>
        <w:tc>
          <w:tcPr>
            <w:tcW w:w="5460" w:type="dxa"/>
            <w:vAlign w:val="bottom"/>
            <w:tcBorders>
              <w:top w:val="single" w:sz="8" w:color="0000EE"/>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10.3†</w:t>
            </w:r>
          </w:p>
        </w:tc>
        <w:tc>
          <w:tcPr>
            <w:tcW w:w="9700" w:type="dxa"/>
            <w:vAlign w:val="bottom"/>
            <w:gridSpan w:val="20"/>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Arcturus Therapeutics Ltd. Amended and Restated Compensation Policy for Company Office Holders. Incorporated by reference to</w:t>
              </w:r>
            </w:hyperlink>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00" w:type="dxa"/>
            <w:vAlign w:val="bottom"/>
            <w:tcBorders>
              <w:top w:val="single" w:sz="8" w:color="0000EE"/>
            </w:tcBorders>
            <w:gridSpan w:val="15"/>
          </w:tcPr>
          <w:p>
            <w:pPr>
              <w:spacing w:after="0"/>
              <w:rPr>
                <w:rFonts w:ascii="Arial" w:cs="Arial" w:eastAsia="Arial" w:hAnsi="Arial"/>
                <w:sz w:val="18"/>
                <w:szCs w:val="18"/>
                <w:u w:val="single" w:color="auto"/>
                <w:color w:val="0000EE"/>
                <w:w w:val="99"/>
              </w:rPr>
            </w:pPr>
            <w:hyperlink r:id="rId121">
              <w:r>
                <w:rPr>
                  <w:rFonts w:ascii="Arial" w:cs="Arial" w:eastAsia="Arial" w:hAnsi="Arial"/>
                  <w:sz w:val="18"/>
                  <w:szCs w:val="18"/>
                  <w:u w:val="single" w:color="auto"/>
                  <w:color w:val="0000EE"/>
                  <w:w w:val="99"/>
                </w:rPr>
                <w:t>Exhibit 99.2 to the Company’s Report of Foreign Private Issuer on Form 6-K filed on July 27, 2018 (File No. 001-35932).</w:t>
              </w:r>
            </w:hyperlink>
          </w:p>
        </w:tc>
        <w:tc>
          <w:tcPr>
            <w:tcW w:w="200" w:type="dxa"/>
            <w:vAlign w:val="bottom"/>
            <w:gridSpan w:val="5"/>
          </w:tcPr>
          <w:p>
            <w:pPr>
              <w:spacing w:after="0"/>
              <w:rPr>
                <w:sz w:val="20"/>
                <w:szCs w:val="20"/>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200" w:type="dxa"/>
            <w:vAlign w:val="bottom"/>
            <w:tcBorders>
              <w:bottom w:val="single" w:sz="8" w:color="0000EE"/>
            </w:tcBorders>
            <w:gridSpan w:val="13"/>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50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by reference to Exhibit 10.1 to the Company’s Report of Foreign Private Issuer on Form 6-K filed on October 15, 2018</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(File No. 001-35932).</w:t>
              </w:r>
            </w:hyperlink>
          </w:p>
        </w:tc>
        <w:tc>
          <w:tcPr>
            <w:tcW w:w="160" w:type="dxa"/>
            <w:vAlign w:val="bottom"/>
            <w:gridSpan w:val="4"/>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9700" w:type="dxa"/>
            <w:vAlign w:val="bottom"/>
            <w:gridSpan w:val="20"/>
          </w:tcPr>
          <w:p>
            <w:pPr>
              <w:spacing w:after="0"/>
              <w:rPr>
                <w:rFonts w:ascii="Arial" w:cs="Arial" w:eastAsia="Arial" w:hAnsi="Arial"/>
                <w:sz w:val="18"/>
                <w:szCs w:val="18"/>
                <w:color w:val="0000EE"/>
                <w:w w:val="95"/>
              </w:rPr>
            </w:pPr>
            <w:hyperlink r:id="rId123">
              <w:r>
                <w:rPr>
                  <w:rFonts w:ascii="Arial" w:cs="Arial" w:eastAsia="Arial" w:hAnsi="Arial"/>
                  <w:sz w:val="18"/>
                  <w:szCs w:val="18"/>
                  <w:color w:val="0000EE"/>
                  <w:w w:val="95"/>
                </w:rPr>
                <w:t>Amended and Restated Amendment to Development and Option Agreement, dated as of September 28, 2018, by and between</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2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CureVac AG and Arcturus Therapeutics Inc. Incorporated by reference to Exhibit 99.2 to the Company’s Report of Foreign Private</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Issuer on Form 6-K filed on October 1, 2018 (File No. 001-35932).</w:t>
              </w:r>
            </w:hyperlink>
          </w:p>
        </w:tc>
        <w:tc>
          <w:tcPr>
            <w:tcW w:w="48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Research Collaboration and License Agreement, by and between Arcturus Therapeutics, Inc. and Janssen Pharmaceuticals, Inc., dated</w:t>
              </w:r>
            </w:hyperlink>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October 18, 2017. Incorporated by reference to Exhibit 4.7 to Form 20-F filed on May 14, 2018 (File No. 001-35932).</w:t>
              </w:r>
            </w:hyperlink>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94"/>
              </w:rPr>
            </w:pPr>
            <w:hyperlink r:id="rId125">
              <w:r>
                <w:rPr>
                  <w:rFonts w:ascii="Arial" w:cs="Arial" w:eastAsia="Arial" w:hAnsi="Arial"/>
                  <w:sz w:val="18"/>
                  <w:szCs w:val="18"/>
                  <w:color w:val="0000EE"/>
                  <w:w w:val="94"/>
                </w:rPr>
                <w:t>Research and Exclusive License Agreement, by and between Arcturus Therapeutics, Inc. and Synthetic Genomics, Inc., effective</w:t>
              </w:r>
            </w:hyperlink>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October 24, 2017. Incorporated by reference to Exhibit 4.8 to Form 20-F filed on May 14, 2018 (File No. 001-35932).</w:t>
              </w:r>
            </w:hyperlink>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Research Agreement, by and between Arcturus Therapeutics, Inc. and Millennium Pharmaceuticals, Inc., a wholly-owned subsidiary</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of Takeda Pharmaceutical Company Limited, effective December 6, 2016, as amended December 21, 2017. Incorporated by reference</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to Exhibit 4.9 to Form 20-F filed on May 14, 2018 (File No. 001-35932).</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9700" w:type="dxa"/>
            <w:vAlign w:val="bottom"/>
            <w:gridSpan w:val="20"/>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Research Collaboration and License Agreement, by and between Arcturus Therapeutics, Inc. and Ultragenyx Pharmaceutical Inc.,</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562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entered into as of October 26, 2015, as amended October 17, 2017 and April 20, 2018. Incorporated by reference to Exhibit 4.10 to</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Form 20-F filed on May 14, 2018 (File No. 001-35932).</w:t>
              </w:r>
            </w:hyperlink>
          </w:p>
        </w:tc>
        <w:tc>
          <w:tcPr>
            <w:tcW w:w="5640" w:type="dxa"/>
            <w:vAlign w:val="bottom"/>
            <w:gridSpan w:val="15"/>
          </w:tcPr>
          <w:p>
            <w:pPr>
              <w:spacing w:after="0"/>
              <w:rPr>
                <w:sz w:val="17"/>
                <w:szCs w:val="17"/>
                <w:color w:val="auto"/>
              </w:rPr>
            </w:pPr>
          </w:p>
        </w:tc>
      </w:tr>
      <w:tr>
        <w:trPr>
          <w:trHeight w:val="574"/>
        </w:trPr>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gridSpan w:val="7"/>
          </w:tcPr>
          <w:p>
            <w:pPr>
              <w:ind w:left="400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4"/>
                <w:szCs w:val="14"/>
                <w:color w:val="auto"/>
              </w:rPr>
            </w:pPr>
          </w:p>
        </w:tc>
        <w:tc>
          <w:tcPr>
            <w:tcW w:w="970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Third Amendment to Research Collaboration and License Agreement, by and between Arcturus Therapeutics, Inc. and Ultragenyx</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Pharmaceutical Inc., effective June 18, 2019. Incorporated by reference to Exhibit 10.2 to Form 8-K filed on June 20, 2019 (File No.</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001- 38942).</w:t>
              </w:r>
            </w:hyperlink>
          </w:p>
        </w:tc>
        <w:tc>
          <w:tcPr>
            <w:tcW w:w="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Letter Agreement, by and between Arcturus Therapeutics, Inc. and the Cystic Fibrosis Foundation, dated May 16, 2017. Incorporated</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by reference to Exhibit 4.11 to Form 20-F filed on May 14, 2018 (File No. 001-35932).</w:t>
              </w:r>
            </w:hyperlink>
          </w:p>
        </w:tc>
        <w:tc>
          <w:tcPr>
            <w:tcW w:w="33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Amendment No. 2 to Letter Agreement, by and between Arcturus Therapeutics, Inc. and the Cystic Fibrosis Foundation, dated August</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1, 2019. Incorporated by reference to Exhibit 10.16 to Form 10-Q filed on August 14, 2019.</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Development and Option Agreement, by and between Arcturus Therapeutics, Inc. and CureVac AG, dated January 1, 2018, as</w:t>
              </w:r>
            </w:hyperlink>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11"/>
          </w:tcPr>
          <w:p>
            <w:pPr>
              <w:spacing w:after="0"/>
              <w:rPr>
                <w:rFonts w:ascii="Arial" w:cs="Arial" w:eastAsia="Arial" w:hAnsi="Arial"/>
                <w:sz w:val="18"/>
                <w:szCs w:val="18"/>
                <w:u w:val="single" w:color="auto"/>
                <w:color w:val="0000EE"/>
                <w:w w:val="99"/>
              </w:rPr>
            </w:pPr>
            <w:hyperlink r:id="rId133">
              <w:r>
                <w:rPr>
                  <w:rFonts w:ascii="Arial" w:cs="Arial" w:eastAsia="Arial" w:hAnsi="Arial"/>
                  <w:sz w:val="18"/>
                  <w:szCs w:val="18"/>
                  <w:u w:val="single" w:color="auto"/>
                  <w:color w:val="0000EE"/>
                  <w:w w:val="99"/>
                </w:rPr>
                <w:t>amended May 3, 2018. Incorporated by reference to Exhibit 4.12 to Form 20-F filed on May 14, 2018 (File No. 001-35932).</w:t>
              </w:r>
            </w:hyperlink>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Third Amendment to Development and Option Agreement, by and between Arcturus Therapeutics, Inc. and CureVac AG, dated July</w:t>
              </w:r>
            </w:hyperlink>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8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26, 2019. Incorporated by reference to Exhibit 10.20 to Form 10-Q filed on August 14, 2019 (File No. 001-38942).</w:t>
              </w:r>
            </w:hyperlink>
          </w:p>
        </w:tc>
        <w:tc>
          <w:tcPr>
            <w:tcW w:w="20" w:type="dxa"/>
            <w:vAlign w:val="bottom"/>
          </w:tcPr>
          <w:p>
            <w:pPr>
              <w:spacing w:after="0"/>
              <w:rPr>
                <w:sz w:val="20"/>
                <w:szCs w:val="20"/>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Co-Development and Co-Commercialization Agreement, by and between Arcturus Therapeutics, Inc. and CureVac AG, dated January</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1, 2018. Incorporated by reference to Exhibit 4.13 to Form 20-F filed on May 14, 2018 (File No. 001-35932).</w:t>
              </w:r>
            </w:hyperlink>
          </w:p>
        </w:tc>
        <w:tc>
          <w:tcPr>
            <w:tcW w:w="1800" w:type="dxa"/>
            <w:vAlign w:val="bottom"/>
            <w:gridSpan w:val="2"/>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Termination Agreement, by and between Arcturus Therapeutics, Inc. and CureVac AG, dated July 26, 2019. Incorporated by reference</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to Exhibit 10.21 to Form 10-Q filed on August 14, 2019 (File No. 001-38942).</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7"/>
              </w:rPr>
            </w:pPr>
            <w:hyperlink r:id="rId137">
              <w:r>
                <w:rPr>
                  <w:rFonts w:ascii="Arial" w:cs="Arial" w:eastAsia="Arial" w:hAnsi="Arial"/>
                  <w:sz w:val="18"/>
                  <w:szCs w:val="18"/>
                  <w:color w:val="0000EE"/>
                  <w:w w:val="97"/>
                </w:rPr>
                <w:t>License Agreement, by and between Arcturus Therapeutics, Inc., as successor-in-interest to Marina Biotech, Inc., and Protiva</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Biotherapeutics Inc., dated as of November 28, 2012. Incorporated by reference to Exhibit 4.14 to Form 20-F/A filed on July 10, 2018</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(File No. 001-35932).</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Patent Assignment and License Agreement, by and between Arcturus Therapeutics, Inc. and Marina Biotech, Inc., dated as of August</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9, 2013. Incorporated by reference to Exhibit 4.15 to Form 20-F filed on May 14, 2018 (File No. 001-35932).</w:t>
              </w:r>
            </w:hyperlink>
          </w:p>
        </w:tc>
        <w:tc>
          <w:tcPr>
            <w:tcW w:w="1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Share Exchange Agreement, dated as of February 11, 2019, by and between Arcturus Therapeutics Ltd. and Arcturus Therapeutics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w w:val="99"/>
              </w:rPr>
            </w:pPr>
            <w:hyperlink r:id="rId139">
              <w:r>
                <w:rPr>
                  <w:rFonts w:ascii="Arial" w:cs="Arial" w:eastAsia="Arial" w:hAnsi="Arial"/>
                  <w:sz w:val="18"/>
                  <w:szCs w:val="18"/>
                  <w:color w:val="0000EE"/>
                  <w:w w:val="99"/>
                </w:rPr>
                <w:t>Holdings Inc. Incorporated by reference to Exhibit 10.13 to the Company’s Annual Report on Form 10-K for the year ended</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December 31, 2018 filed on March 18, 2019 (File No. 001-35932).</w:t>
              </w:r>
            </w:hyperlink>
          </w:p>
        </w:tc>
        <w:tc>
          <w:tcPr>
            <w:tcW w:w="48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Amended and Restated Joint Venture, Research Collaboration and License Agreement, dated as of July 14, 2018 by and between</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140">
              <w:r>
                <w:rPr>
                  <w:rFonts w:ascii="Arial" w:cs="Arial" w:eastAsia="Arial" w:hAnsi="Arial"/>
                  <w:sz w:val="18"/>
                  <w:szCs w:val="18"/>
                  <w:color w:val="0000EE"/>
                  <w:w w:val="98"/>
                </w:rPr>
                <w:t>Arcturus Therapeutics, Inc. and Providence Therapeutics, Inc. Incorporated by reference to Exhibit 10.14 to the Company’s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Amendment No. 1 to Annual Report on Form 10-K for the year ended December 31, 2018 filed on April 10, 2019 (File No. 001-</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35932).</w:t>
              </w:r>
            </w:hyperlink>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8"/>
              </w:rPr>
            </w:pPr>
            <w:hyperlink r:id="rId141">
              <w:r>
                <w:rPr>
                  <w:rFonts w:ascii="Arial" w:cs="Arial" w:eastAsia="Arial" w:hAnsi="Arial"/>
                  <w:sz w:val="18"/>
                  <w:szCs w:val="18"/>
                  <w:color w:val="0000EE"/>
                  <w:w w:val="98"/>
                </w:rPr>
                <w:t>Research Collaboration Agreement, dated as of March 8, 2019 by and between Arcturus Therapeutics, Inc. and Millennium</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Pharmaceuticals, Inc., a wholly-owned subsidiary of Takeda Pharmaceutical Company Limited. Incorporated by reference to Exhibit</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gridSpan w:val="8"/>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15</w:t>
              </w:r>
              <w:r>
                <w:rPr>
                  <w:rFonts w:ascii="Arial" w:cs="Arial" w:eastAsia="Arial" w:hAnsi="Arial"/>
                  <w:sz w:val="18"/>
                  <w:szCs w:val="18"/>
                  <w:color w:val="0000EE"/>
                  <w:w w:val="92"/>
                </w:rPr>
                <w:t xml:space="preserve"> to the Company’s Annual Report on Form 10-K for the year ended December 31, 2018 filed on March 18, 2019 (File No. 001-</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35932).</w:t>
              </w:r>
            </w:hyperlink>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rPr>
            </w:pPr>
            <w:hyperlink r:id="rId142">
              <w:r>
                <w:rPr>
                  <w:rFonts w:ascii="Arial" w:cs="Arial" w:eastAsia="Arial" w:hAnsi="Arial"/>
                  <w:sz w:val="18"/>
                  <w:szCs w:val="18"/>
                  <w:color w:val="0000EE"/>
                </w:rPr>
                <w:t>Lease Agreement, by and between Arcturus Therapeutics, Inc. and ARE-SD Region No. 44, LLC, dated October 4, 2017.</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Incorporated by reference to Exhibit 4.6 to Form 20-F filed on May 14, 2018 (File No. 001-35932).</w:t>
              </w:r>
            </w:hyperlink>
          </w:p>
        </w:tc>
      </w:tr>
      <w:tr>
        <w:trPr>
          <w:trHeight w:val="574"/>
        </w:trPr>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Borders>
              <w:top w:val="single" w:sz="8" w:color="0000EE"/>
            </w:tcBorders>
            <w:gridSpan w:val="4"/>
          </w:tcPr>
          <w:p>
            <w:pPr>
              <w:ind w:left="4000"/>
              <w:spacing w:after="0"/>
              <w:rPr>
                <w:sz w:val="20"/>
                <w:szCs w:val="20"/>
                <w:color w:val="auto"/>
              </w:rPr>
            </w:pPr>
            <w:r>
              <w:rPr>
                <w:rFonts w:ascii="Arial" w:cs="Arial" w:eastAsia="Arial" w:hAnsi="Arial"/>
                <w:sz w:val="18"/>
                <w:szCs w:val="18"/>
                <w:color w:val="auto"/>
              </w:rPr>
              <w:t>86</w:t>
            </w:r>
          </w:p>
        </w:tc>
        <w:tc>
          <w:tcPr>
            <w:tcW w:w="8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0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10.23</w:t>
            </w:r>
          </w:p>
        </w:tc>
        <w:tc>
          <w:tcPr>
            <w:tcW w:w="220" w:type="dxa"/>
            <w:vAlign w:val="bottom"/>
          </w:tcPr>
          <w:p>
            <w:pPr>
              <w:spacing w:after="0"/>
              <w:rPr>
                <w:sz w:val="14"/>
                <w:szCs w:val="14"/>
                <w:color w:val="auto"/>
              </w:rPr>
            </w:pPr>
          </w:p>
        </w:tc>
        <w:tc>
          <w:tcPr>
            <w:tcW w:w="9700" w:type="dxa"/>
            <w:vAlign w:val="bottom"/>
            <w:tcBorders>
              <w:top w:val="single" w:sz="8" w:color="auto"/>
            </w:tcBorders>
            <w:gridSpan w:val="19"/>
          </w:tcPr>
          <w:p>
            <w:pPr>
              <w:spacing w:after="0" w:line="169"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First Amendment to Lease Agreement, by and between Arcturus Therapeutics Holdings Inc. and ARE-SD Region No. 44, LLC dated</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February 1, 2020. Incorporated by reference to Exhibit 10.23 to the Company’s Annual Report on Form 10-K for the year ended</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December 31, 2019 filed on March 16, 2020 (File No. 001-38942).</w:t>
              </w:r>
            </w:hyperlink>
          </w:p>
        </w:tc>
        <w:tc>
          <w:tcPr>
            <w:tcW w:w="4860" w:type="dxa"/>
            <w:vAlign w:val="bottom"/>
            <w:gridSpan w:val="12"/>
          </w:tcPr>
          <w:p>
            <w:pPr>
              <w:spacing w:after="0"/>
              <w:rPr>
                <w:sz w:val="17"/>
                <w:szCs w:val="17"/>
                <w:color w:val="auto"/>
              </w:rPr>
            </w:pP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Acceptance Letter, dated March 4, 2020, by and between Arcturus Therapeutics Holdings Inc. and the Economic Development Board</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9"/>
          </w:tcPr>
          <w:p>
            <w:pPr>
              <w:spacing w:after="0" w:line="196"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of Singapore. Incorporated by reference to Exhibit 10.24 to the Company’s Annual Report on Form 10-K for the year ended</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December 31, 2019 filed on March 16, 2020 (File No. 001-38942).</w:t>
              </w:r>
            </w:hyperlink>
          </w:p>
        </w:tc>
        <w:tc>
          <w:tcPr>
            <w:tcW w:w="4860" w:type="dxa"/>
            <w:vAlign w:val="bottom"/>
            <w:gridSpan w:val="12"/>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r:id="rId147">
              <w:r>
                <w:rPr>
                  <w:rFonts w:ascii="Arial" w:cs="Arial" w:eastAsia="Arial" w:hAnsi="Arial"/>
                  <w:sz w:val="18"/>
                  <w:szCs w:val="18"/>
                  <w:color w:val="0000EE"/>
                </w:rPr>
                <w:t>Supply Agreement, dated August 17, 2020, by and between Arcturus Therapeutics, Inc. and the Israeli Ministry of Health.</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19"/>
          </w:tcPr>
          <w:p>
            <w:pPr>
              <w:spacing w:after="0"/>
              <w:rPr>
                <w:rFonts w:ascii="Arial" w:cs="Arial" w:eastAsia="Arial" w:hAnsi="Arial"/>
                <w:sz w:val="18"/>
                <w:szCs w:val="18"/>
                <w:u w:val="single" w:color="auto"/>
                <w:color w:val="0000EE"/>
                <w:w w:val="96"/>
              </w:rPr>
            </w:pPr>
            <w:hyperlink r:id="rId147">
              <w:r>
                <w:rPr>
                  <w:rFonts w:ascii="Arial" w:cs="Arial" w:eastAsia="Arial" w:hAnsi="Arial"/>
                  <w:sz w:val="18"/>
                  <w:szCs w:val="18"/>
                  <w:u w:val="single" w:color="auto"/>
                  <w:color w:val="0000EE"/>
                  <w:w w:val="96"/>
                </w:rPr>
                <w:t>Incorporated by reference to Exhibit 10.32 to Quarterly Report on Form 10-Q filed on November 9, 2020 (File No. 001-38942).</w:t>
              </w:r>
            </w:hyperlink>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Manufacturing Support Agreement, dated November 7, 2020, by and between Arcturus Therapeutics Holdings Inc. and the Economic</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Development Board of Singapore. Incorporated by reference to Exhibit 10.33 to Quarterly Report on Form 10-Q filed on November</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9, 2020 (File No. 001-38942).</w:t>
              </w:r>
            </w:hyperlink>
          </w:p>
        </w:tc>
        <w:tc>
          <w:tcPr>
            <w:tcW w:w="7340" w:type="dxa"/>
            <w:vAlign w:val="bottom"/>
            <w:tcBorders>
              <w:top w:val="single" w:sz="8" w:color="0000EE"/>
            </w:tcBorders>
            <w:gridSpan w:val="8"/>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44"/>
        </w:trPr>
        <w:tc>
          <w:tcPr>
            <w:tcW w:w="1320" w:type="dxa"/>
            <w:vAlign w:val="bottom"/>
          </w:tcPr>
          <w:p>
            <w:pPr>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Fourth Amendment to Loan and Security Agreement, dated December 1, 2020, by and between Arcturus Therapeutics, Inc. and</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19"/>
          </w:tcPr>
          <w:p>
            <w:pPr>
              <w:spacing w:after="0"/>
              <w:rPr>
                <w:rFonts w:ascii="Arial" w:cs="Arial" w:eastAsia="Arial" w:hAnsi="Arial"/>
                <w:sz w:val="18"/>
                <w:szCs w:val="18"/>
                <w:u w:val="single" w:color="auto"/>
                <w:color w:val="0000EE"/>
                <w:w w:val="96"/>
              </w:rPr>
            </w:pPr>
            <w:hyperlink r:id="rId149">
              <w:r>
                <w:rPr>
                  <w:rFonts w:ascii="Arial" w:cs="Arial" w:eastAsia="Arial" w:hAnsi="Arial"/>
                  <w:sz w:val="18"/>
                  <w:szCs w:val="18"/>
                  <w:u w:val="single" w:color="auto"/>
                  <w:color w:val="0000EE"/>
                  <w:w w:val="96"/>
                </w:rPr>
                <w:t>Western Alliance Bank. Incorporated by reference to Exhibit 10.1 to Form 8-K filed on December 7, 2020 (File No. 001-38942).</w:t>
              </w:r>
            </w:hyperlink>
          </w:p>
        </w:tc>
      </w:tr>
      <w:tr>
        <w:trPr>
          <w:trHeight w:val="297"/>
        </w:trPr>
        <w:tc>
          <w:tcPr>
            <w:tcW w:w="1540" w:type="dxa"/>
            <w:vAlign w:val="bottom"/>
            <w:gridSpan w:val="2"/>
          </w:tcPr>
          <w:p>
            <w:pPr>
              <w:spacing w:after="0"/>
              <w:rPr>
                <w:sz w:val="20"/>
                <w:szCs w:val="20"/>
                <w:color w:val="auto"/>
              </w:rPr>
            </w:pPr>
            <w:r>
              <w:rPr>
                <w:rFonts w:ascii="Arial" w:cs="Arial" w:eastAsia="Arial" w:hAnsi="Arial"/>
                <w:sz w:val="18"/>
                <w:szCs w:val="18"/>
                <w:color w:val="auto"/>
              </w:rPr>
              <w:t>10.28†</w:t>
            </w:r>
          </w:p>
        </w:tc>
        <w:tc>
          <w:tcPr>
            <w:tcW w:w="9700" w:type="dxa"/>
            <w:vAlign w:val="bottom"/>
            <w:gridSpan w:val="19"/>
          </w:tcPr>
          <w:p>
            <w:pPr>
              <w:spacing w:after="0"/>
              <w:rPr>
                <w:rFonts w:ascii="Arial" w:cs="Arial" w:eastAsia="Arial" w:hAnsi="Arial"/>
                <w:sz w:val="18"/>
                <w:szCs w:val="18"/>
                <w:color w:val="0000EE"/>
                <w:w w:val="94"/>
              </w:rPr>
            </w:pPr>
            <w:hyperlink r:id="rId150">
              <w:r>
                <w:rPr>
                  <w:rFonts w:ascii="Arial" w:cs="Arial" w:eastAsia="Arial" w:hAnsi="Arial"/>
                  <w:sz w:val="18"/>
                  <w:szCs w:val="18"/>
                  <w:color w:val="0000EE"/>
                  <w:w w:val="94"/>
                </w:rPr>
                <w:t>2020 Employee Stock Purchase Plan. Incorporated by reference to Exhibit 4.3 to Form S-8 filed on August 5, 2020 (File No. 001-</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38942).</w:t>
              </w:r>
            </w:hyperlink>
          </w:p>
        </w:tc>
        <w:tc>
          <w:tcPr>
            <w:tcW w:w="7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EE"/>
                <w:w w:val="93"/>
              </w:rPr>
              <w:t>Second Amendment to Lease, by and between Arcturus Therapeutics, Inc. and ARE-SD Region No. 44, LLC, dated November 13,</w:t>
            </w: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2020.</w:t>
            </w: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EE"/>
                <w:w w:val="91"/>
              </w:rPr>
              <w:t>Third Amendment to Lease, by and between Arcturus Therapeutics, Inc. and ARE-SD Region No. 44, LLC, dated February 25, 2021.</w:t>
            </w:r>
          </w:p>
        </w:tc>
      </w:tr>
      <w:tr>
        <w:trPr>
          <w:trHeight w:val="358"/>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68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Consent of Independent Registered Public Accounting Firm</w:t>
              </w:r>
            </w:hyperlink>
          </w:p>
        </w:tc>
        <w:tc>
          <w:tcPr>
            <w:tcW w:w="20" w:type="dxa"/>
            <w:vAlign w:val="bottom"/>
          </w:tcPr>
          <w:p>
            <w:pPr>
              <w:spacing w:after="0"/>
              <w:rPr>
                <w:sz w:val="24"/>
                <w:szCs w:val="24"/>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Power of Attorney (included on the signature page of this Annual Report).</w:t>
              </w:r>
            </w:hyperlink>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Certification by Principal Executive Officer pursuant to Rule 13a-14(a) or 15d-14(a) under the Securities Exchange Act of 1934, as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9"/>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amended.</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4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32">
              <w:r>
                <w:rPr>
                  <w:rFonts w:ascii="Arial" w:cs="Arial" w:eastAsia="Arial" w:hAnsi="Arial"/>
                  <w:sz w:val="18"/>
                  <w:szCs w:val="18"/>
                  <w:color w:val="0000EE"/>
                  <w:w w:val="91"/>
                </w:rPr>
                <w:t>Certification by Principal Financial Officer pursuant to Rule 13a-14(a) or 15d-14(a) under the Securities Exchange Act of 1934, as</w:t>
              </w:r>
            </w:hyperlink>
          </w:p>
        </w:tc>
        <w:tc>
          <w:tcPr>
            <w:tcW w:w="28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amended.</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w w:val="92"/>
              </w:rPr>
            </w:pPr>
            <w:hyperlink w:anchor="page133">
              <w:r>
                <w:rPr>
                  <w:rFonts w:ascii="Arial" w:cs="Arial" w:eastAsia="Arial" w:hAnsi="Arial"/>
                  <w:sz w:val="18"/>
                  <w:szCs w:val="18"/>
                  <w:color w:val="0000EE"/>
                  <w:w w:val="92"/>
                </w:rPr>
                <w:t>Certification by Principal Accounting Officer pursuant to Rule 13a-14(a) or 15d-14(a) under the Securities Exchange Act of 1934, as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amended.</w:t>
              </w:r>
            </w:hyperlink>
          </w:p>
        </w:tc>
        <w:tc>
          <w:tcPr>
            <w:tcW w:w="120" w:type="dxa"/>
            <w:vAlign w:val="bottom"/>
            <w:gridSpan w:val="3"/>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80" w:type="dxa"/>
            <w:vAlign w:val="bottom"/>
            <w:gridSpan w:val="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34">
              <w:r>
                <w:rPr>
                  <w:rFonts w:ascii="Arial" w:cs="Arial" w:eastAsia="Arial" w:hAnsi="Arial"/>
                  <w:sz w:val="18"/>
                  <w:szCs w:val="18"/>
                  <w:color w:val="0000EE"/>
                  <w:w w:val="93"/>
                </w:rPr>
                <w:t>Oxley Act of 2002.</w:t>
              </w:r>
            </w:hyperlink>
          </w:p>
        </w:tc>
        <w:tc>
          <w:tcPr>
            <w:tcW w:w="8300" w:type="dxa"/>
            <w:vAlign w:val="bottom"/>
            <w:gridSpan w:val="15"/>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Certification of Principal Financial Officer Pursuant to 18 U.S.C. Section 1350, as Adopted Pursuant to Section 906 of the Sarbanes-</w:t>
              </w:r>
            </w:hyperlink>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36">
              <w:r>
                <w:rPr>
                  <w:rFonts w:ascii="Arial" w:cs="Arial" w:eastAsia="Arial" w:hAnsi="Arial"/>
                  <w:sz w:val="18"/>
                  <w:szCs w:val="18"/>
                  <w:color w:val="0000EE"/>
                  <w:w w:val="93"/>
                </w:rPr>
                <w:t>Oxley Act of 2002.</w:t>
              </w:r>
            </w:hyperlink>
          </w:p>
        </w:tc>
        <w:tc>
          <w:tcPr>
            <w:tcW w:w="8160" w:type="dxa"/>
            <w:vAlign w:val="bottom"/>
            <w:tcBorders>
              <w:top w:val="single" w:sz="8" w:color="0000EE"/>
            </w:tcBorders>
            <w:gridSpan w:val="11"/>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4"/>
                <w:szCs w:val="24"/>
                <w:color w:val="auto"/>
              </w:rPr>
            </w:pPr>
          </w:p>
        </w:tc>
        <w:tc>
          <w:tcPr>
            <w:tcW w:w="89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36">
              <w:r>
                <w:rPr>
                  <w:rFonts w:ascii="Arial" w:cs="Arial" w:eastAsia="Arial" w:hAnsi="Arial"/>
                  <w:sz w:val="18"/>
                  <w:szCs w:val="18"/>
                  <w:color w:val="0000EE"/>
                  <w:w w:val="91"/>
                </w:rPr>
                <w:t>Certification of Principal Accounting Officer Pursuant to 18 U.S.C. Section 1350, as Adopted Pursuant to Section 906 of the</w:t>
              </w:r>
            </w:hyperlink>
          </w:p>
        </w:tc>
        <w:tc>
          <w:tcPr>
            <w:tcW w:w="72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9"/>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Sarbanes-Oxley Act of 2002.</w:t>
              </w:r>
            </w:hyperlink>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r>
      <w:tr>
        <w:trPr>
          <w:trHeight w:val="344"/>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auto"/>
                <w:w w:val="98"/>
              </w:rPr>
              <w:t>The following financial statements and footnotes from the Registrant’s Annual Report on Form 10-K for the fiscal year ended</w:t>
            </w:r>
          </w:p>
        </w:tc>
      </w:tr>
      <w:tr>
        <w:trPr>
          <w:trHeight w:val="230"/>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auto"/>
              </w:rPr>
              <w:t>December 31, 2020 formatted in Inline Extensible Business Reporting Language (Inline XBRL):</w:t>
            </w:r>
          </w:p>
        </w:tc>
      </w:tr>
    </w:tbl>
    <w:p>
      <w:pPr>
        <w:spacing w:after="0" w:line="107"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101.SCH Inline XBRL Taxonomy Extension Schema</w:t>
      </w:r>
    </w:p>
    <w:p>
      <w:pPr>
        <w:spacing w:after="0" w:line="13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101.CAL Inline XBRL Taxonomy Extension Calculation Linkbase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101.LAB Inline XBRL Taxonomy Extension Label Linkbase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13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131" w:lineRule="exact"/>
        <w:rPr>
          <w:sz w:val="20"/>
          <w:szCs w:val="20"/>
          <w:color w:val="auto"/>
        </w:rPr>
      </w:pPr>
    </w:p>
    <w:p>
      <w:pPr>
        <w:ind w:left="440" w:hanging="270"/>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40" w:hanging="270"/>
        <w:spacing w:after="0" w:line="250"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1" w:lineRule="exact"/>
        <w:rPr>
          <w:sz w:val="20"/>
          <w:szCs w:val="20"/>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left="5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2340"/>
              <w:spacing w:after="0"/>
              <w:rPr>
                <w:sz w:val="20"/>
                <w:szCs w:val="20"/>
                <w:color w:val="auto"/>
              </w:rPr>
            </w:pPr>
            <w:r>
              <w:rPr>
                <w:rFonts w:ascii="Arial" w:cs="Arial" w:eastAsia="Arial" w:hAnsi="Arial"/>
                <w:sz w:val="18"/>
                <w:szCs w:val="18"/>
                <w:color w:val="auto"/>
              </w:rPr>
              <w:t>ARCTURUS THERAPEUTICS HOLDINGS INC.</w:t>
            </w:r>
          </w:p>
        </w:tc>
      </w:tr>
      <w:tr>
        <w:trPr>
          <w:trHeight w:val="459"/>
        </w:trPr>
        <w:tc>
          <w:tcPr>
            <w:tcW w:w="3840" w:type="dxa"/>
            <w:vAlign w:val="bottom"/>
          </w:tcPr>
          <w:p>
            <w:pPr>
              <w:spacing w:after="0"/>
              <w:rPr>
                <w:sz w:val="20"/>
                <w:szCs w:val="20"/>
                <w:color w:val="auto"/>
              </w:rPr>
            </w:pPr>
            <w:r>
              <w:rPr>
                <w:rFonts w:ascii="Arial" w:cs="Arial" w:eastAsia="Arial" w:hAnsi="Arial"/>
                <w:sz w:val="18"/>
                <w:szCs w:val="18"/>
                <w:color w:val="auto"/>
              </w:rPr>
              <w:t>Date: March 1, 2021</w:t>
            </w:r>
          </w:p>
        </w:tc>
        <w:tc>
          <w:tcPr>
            <w:tcW w:w="2960" w:type="dxa"/>
            <w:vAlign w:val="bottom"/>
          </w:tcPr>
          <w:p>
            <w:pPr>
              <w:ind w:left="23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22"/>
        </w:trPr>
        <w:tc>
          <w:tcPr>
            <w:tcW w:w="38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 Joseph E. Payne</w:t>
            </w:r>
          </w:p>
        </w:tc>
      </w:tr>
      <w:tr>
        <w:trPr>
          <w:trHeight w:val="230"/>
        </w:trPr>
        <w:tc>
          <w:tcPr>
            <w:tcW w:w="38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Chief Executive Officer and Director</w:t>
            </w:r>
          </w:p>
        </w:tc>
      </w:tr>
    </w:tbl>
    <w:p>
      <w:pPr>
        <w:spacing w:after="0" w:line="24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spacing w:after="0" w:line="70"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175"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9"/>
              </w:rPr>
              <w:t>Joseph E. Payne</w:t>
            </w:r>
          </w:p>
        </w:tc>
        <w:tc>
          <w:tcPr>
            <w:tcW w:w="5080" w:type="dxa"/>
            <w:vAlign w:val="bottom"/>
          </w:tcPr>
          <w:p>
            <w:pPr>
              <w:jc w:val="center"/>
              <w:spacing w:after="0"/>
              <w:rPr>
                <w:sz w:val="20"/>
                <w:szCs w:val="20"/>
                <w:color w:val="auto"/>
              </w:rPr>
            </w:pPr>
            <w:r>
              <w:rPr>
                <w:rFonts w:ascii="Arial" w:cs="Arial" w:eastAsia="Arial" w:hAnsi="Arial"/>
                <w:sz w:val="14"/>
                <w:szCs w:val="14"/>
                <w:i w:val="1"/>
                <w:iCs w:val="1"/>
                <w:color w:val="auto"/>
                <w:w w:val="96"/>
              </w:rPr>
              <w:t>(principal executive officer)</w:t>
            </w: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Peter Farrell</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Dr. Peter Farrell</w:t>
            </w:r>
          </w:p>
        </w:tc>
        <w:tc>
          <w:tcPr>
            <w:tcW w:w="5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Andrew Sassine</w:t>
            </w: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Andrew Sassine</w:t>
            </w:r>
          </w:p>
        </w:tc>
        <w:tc>
          <w:tcPr>
            <w:tcW w:w="508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Magda Marquet</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Dr. Magda Marquet</w:t>
            </w:r>
          </w:p>
        </w:tc>
        <w:tc>
          <w:tcPr>
            <w:tcW w:w="5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Barlow</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James Barlow</w:t>
            </w:r>
          </w:p>
        </w:tc>
        <w:tc>
          <w:tcPr>
            <w:tcW w:w="5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Holmes</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Edward Holmes</w:t>
            </w:r>
          </w:p>
        </w:tc>
        <w:tc>
          <w:tcPr>
            <w:tcW w:w="5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Karah Parschauer</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Karah Parschauer</w:t>
            </w:r>
          </w:p>
        </w:tc>
        <w:tc>
          <w:tcPr>
            <w:tcW w:w="5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C. Kummerfeld</w:t>
            </w:r>
          </w:p>
        </w:tc>
        <w:tc>
          <w:tcPr>
            <w:tcW w:w="5080" w:type="dxa"/>
            <w:vAlign w:val="bottom"/>
          </w:tcPr>
          <w:p>
            <w:pPr>
              <w:jc w:val="center"/>
              <w:spacing w:after="0"/>
              <w:rPr>
                <w:sz w:val="20"/>
                <w:szCs w:val="20"/>
                <w:color w:val="auto"/>
              </w:rPr>
            </w:pPr>
            <w:r>
              <w:rPr>
                <w:rFonts w:ascii="Arial" w:cs="Arial" w:eastAsia="Arial" w:hAnsi="Arial"/>
                <w:sz w:val="18"/>
                <w:szCs w:val="18"/>
                <w:color w:val="auto"/>
                <w:w w:val="90"/>
              </w:rPr>
              <w:t>Vice President of Finance and Corporate Controller</w:t>
            </w:r>
          </w:p>
        </w:tc>
        <w:tc>
          <w:tcPr>
            <w:tcW w:w="1740" w:type="dxa"/>
            <w:vAlign w:val="bottom"/>
          </w:tcPr>
          <w:p>
            <w:pPr>
              <w:ind w:left="700"/>
              <w:spacing w:after="0"/>
              <w:rPr>
                <w:sz w:val="20"/>
                <w:szCs w:val="20"/>
                <w:color w:val="auto"/>
              </w:rPr>
            </w:pPr>
            <w:r>
              <w:rPr>
                <w:rFonts w:ascii="Arial" w:cs="Arial" w:eastAsia="Arial" w:hAnsi="Arial"/>
                <w:sz w:val="18"/>
                <w:szCs w:val="18"/>
                <w:color w:val="auto"/>
                <w:w w:val="88"/>
              </w:rPr>
              <w:t>March 1,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Keith C. Kummerfeld</w:t>
            </w:r>
          </w:p>
        </w:tc>
        <w:tc>
          <w:tcPr>
            <w:tcW w:w="5080" w:type="dxa"/>
            <w:vAlign w:val="bottom"/>
          </w:tcPr>
          <w:p>
            <w:pPr>
              <w:jc w:val="center"/>
              <w:spacing w:after="0"/>
              <w:rPr>
                <w:sz w:val="20"/>
                <w:szCs w:val="20"/>
                <w:color w:val="auto"/>
              </w:rPr>
            </w:pPr>
            <w:r>
              <w:rPr>
                <w:rFonts w:ascii="Arial" w:cs="Arial" w:eastAsia="Arial" w:hAnsi="Arial"/>
                <w:sz w:val="14"/>
                <w:szCs w:val="14"/>
                <w:i w:val="1"/>
                <w:iCs w:val="1"/>
                <w:color w:val="auto"/>
                <w:w w:val="97"/>
              </w:rPr>
              <w:t>(principal accounting officer)</w:t>
            </w:r>
          </w:p>
        </w:tc>
        <w:tc>
          <w:tcPr>
            <w:tcW w:w="17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9860" w:type="dxa"/>
            <w:vAlign w:val="bottom"/>
          </w:tcPr>
          <w:p>
            <w:pPr>
              <w:ind w:left="3580"/>
              <w:spacing w:after="0"/>
              <w:rPr>
                <w:sz w:val="20"/>
                <w:szCs w:val="20"/>
                <w:color w:val="auto"/>
              </w:rPr>
            </w:pPr>
            <w:r>
              <w:rPr>
                <w:rFonts w:ascii="Arial" w:cs="Arial" w:eastAsia="Arial" w:hAnsi="Arial"/>
                <w:sz w:val="18"/>
                <w:szCs w:val="18"/>
                <w:b w:val="1"/>
                <w:bCs w:val="1"/>
                <w:color w:val="auto"/>
              </w:rPr>
              <w:t>INDEX TO CONSOLIDATED FINANCIAL STATEMENTS</w:t>
            </w:r>
          </w:p>
        </w:tc>
        <w:tc>
          <w:tcPr>
            <w:tcW w:w="1380" w:type="dxa"/>
            <w:vAlign w:val="bottom"/>
          </w:tcPr>
          <w:p>
            <w:pPr>
              <w:spacing w:after="0"/>
              <w:rPr>
                <w:sz w:val="20"/>
                <w:szCs w:val="20"/>
                <w:color w:val="auto"/>
              </w:rPr>
            </w:pPr>
          </w:p>
        </w:tc>
      </w:tr>
      <w:tr>
        <w:trPr>
          <w:trHeight w:val="432"/>
        </w:trPr>
        <w:tc>
          <w:tcPr>
            <w:tcW w:w="986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Report of Independent Registered Public Accounting Firm</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F-2</w:t>
            </w:r>
          </w:p>
        </w:tc>
      </w:tr>
      <w:tr>
        <w:trPr>
          <w:trHeight w:val="432"/>
        </w:trPr>
        <w:tc>
          <w:tcPr>
            <w:tcW w:w="986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Consolidated Balance Sheets as of December 31, 2020 and 2019</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F-4</w:t>
            </w:r>
          </w:p>
        </w:tc>
      </w:tr>
      <w:tr>
        <w:trPr>
          <w:trHeight w:val="432"/>
        </w:trPr>
        <w:tc>
          <w:tcPr>
            <w:tcW w:w="98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Consolidated Statements of Operations and Comprehensive Loss for the Years ended December 31, 2020, 2019 and 2018</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F-5</w:t>
            </w:r>
          </w:p>
        </w:tc>
      </w:tr>
      <w:tr>
        <w:trPr>
          <w:trHeight w:val="432"/>
        </w:trPr>
        <w:tc>
          <w:tcPr>
            <w:tcW w:w="986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Consolidated Statements of Changes in Stockholders’ Equity for the Years ended December 31, 2020, 2019 and 2018</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F-6</w:t>
            </w:r>
          </w:p>
        </w:tc>
      </w:tr>
      <w:tr>
        <w:trPr>
          <w:trHeight w:val="432"/>
        </w:trPr>
        <w:tc>
          <w:tcPr>
            <w:tcW w:w="986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Consolidated Statements of Cash Flows for the Years ended December 31, 2020, 2019 and 2018</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F-7</w:t>
            </w:r>
          </w:p>
        </w:tc>
      </w:tr>
      <w:tr>
        <w:trPr>
          <w:trHeight w:val="432"/>
        </w:trPr>
        <w:tc>
          <w:tcPr>
            <w:tcW w:w="986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Notes to Consolidated Financial Statements</w:t>
              </w:r>
            </w:hyperlink>
          </w:p>
        </w:tc>
        <w:tc>
          <w:tcPr>
            <w:tcW w:w="1380" w:type="dxa"/>
            <w:vAlign w:val="bottom"/>
          </w:tcPr>
          <w:p>
            <w:pPr>
              <w:ind w:left="1140"/>
              <w:spacing w:after="0"/>
              <w:rPr>
                <w:sz w:val="20"/>
                <w:szCs w:val="20"/>
                <w:color w:val="auto"/>
              </w:rPr>
            </w:pPr>
            <w:r>
              <w:rPr>
                <w:rFonts w:ascii="Arial" w:cs="Arial" w:eastAsia="Arial" w:hAnsi="Arial"/>
                <w:sz w:val="18"/>
                <w:szCs w:val="18"/>
                <w:color w:val="auto"/>
                <w:w w:val="81"/>
              </w:rPr>
              <w:t>F-8</w:t>
            </w:r>
          </w:p>
        </w:tc>
      </w:tr>
      <w:tr>
        <w:trPr>
          <w:trHeight w:val="648"/>
        </w:trPr>
        <w:tc>
          <w:tcPr>
            <w:tcW w:w="9860" w:type="dxa"/>
            <w:vAlign w:val="bottom"/>
          </w:tcPr>
          <w:p>
            <w:pPr>
              <w:ind w:left="5500"/>
              <w:spacing w:after="0"/>
              <w:rPr>
                <w:sz w:val="20"/>
                <w:szCs w:val="20"/>
                <w:color w:val="auto"/>
              </w:rPr>
            </w:pPr>
            <w:r>
              <w:rPr>
                <w:rFonts w:ascii="Arial" w:cs="Arial" w:eastAsia="Arial" w:hAnsi="Arial"/>
                <w:sz w:val="18"/>
                <w:szCs w:val="18"/>
                <w:color w:val="auto"/>
              </w:rPr>
              <w:t>F-1</w:t>
            </w:r>
          </w:p>
        </w:tc>
        <w:tc>
          <w:tcPr>
            <w:tcW w:w="1380" w:type="dxa"/>
            <w:vAlign w:val="bottom"/>
          </w:tcPr>
          <w:p>
            <w:pPr>
              <w:spacing w:after="0"/>
              <w:rPr>
                <w:sz w:val="24"/>
                <w:szCs w:val="24"/>
                <w:color w:val="auto"/>
              </w:rPr>
            </w:pPr>
          </w:p>
        </w:tc>
      </w:tr>
      <w:tr>
        <w:trPr>
          <w:trHeight w:val="115"/>
        </w:trPr>
        <w:tc>
          <w:tcPr>
            <w:tcW w:w="98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3360" w:firstLine="3364"/>
        <w:spacing w:after="0" w:line="377"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Arcturus Therapeutics Holdings Inc. Opinion on the Financial Statements</w:t>
      </w:r>
    </w:p>
    <w:p>
      <w:pPr>
        <w:spacing w:after="0" w:line="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We have audited the accompanying consolidated balance sheets of Arcturus Therapeutics Holdings Inc. and its Subsidiaries (the “Company”) as of December 31, 2020 and 2019, the related consolidated statements of operations and comprehensive loss, changes in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ind w:right="180" w:firstLine="864"/>
        <w:spacing w:after="0" w:line="342" w:lineRule="auto"/>
        <w:rPr>
          <w:sz w:val="20"/>
          <w:szCs w:val="20"/>
          <w:color w:val="auto"/>
        </w:rPr>
      </w:pPr>
      <w:r>
        <w:rPr>
          <w:rFonts w:ascii="Arial" w:cs="Arial" w:eastAsia="Arial" w:hAnsi="Arial"/>
          <w:sz w:val="16"/>
          <w:szCs w:val="16"/>
          <w:color w:val="auto"/>
        </w:rPr>
        <w:t xml:space="preserve">As discussed in Note 2 to the consolidated financial statements, the Company changed its method of accounting for lease arrangements in the year ended December 31, 2019 due to the adoption of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and the related amendments.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300" w:firstLine="589"/>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left="2020"/>
        <w:spacing w:after="0"/>
        <w:rPr>
          <w:sz w:val="20"/>
          <w:szCs w:val="20"/>
          <w:color w:val="auto"/>
        </w:rPr>
      </w:pPr>
      <w:r>
        <w:rPr>
          <w:rFonts w:ascii="Arial" w:cs="Arial" w:eastAsia="Arial" w:hAnsi="Arial"/>
          <w:sz w:val="15"/>
          <w:szCs w:val="15"/>
          <w:b w:val="1"/>
          <w:bCs w:val="1"/>
          <w:i w:val="1"/>
          <w:iCs w:val="1"/>
          <w:color w:val="auto"/>
        </w:rPr>
        <w:t>Accrued research and development expenses</w:t>
      </w:r>
    </w:p>
    <w:p>
      <w:pPr>
        <w:sectPr>
          <w:pgSz w:w="11900" w:h="16838" w:orient="portrait"/>
          <w:cols w:equalWidth="0" w:num="1">
            <w:col w:w="11180"/>
          </w:cols>
          <w:pgMar w:left="320" w:top="341" w:right="399" w:bottom="1440" w:gutter="0" w:footer="0" w:header="0"/>
        </w:sect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At December 31, 2020, the Company incurred $57.8 million for research and development expenses and accrued $4.1 million for clinical trial expenses. As described in Note 2 to the consolidated financial statements, the Company records accruals for estimated costs of research and development activities, including contract services for clinical trials and related clinical manufacturing costs in connection with early discovery efforts. 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181" w:lineRule="exact"/>
        <w:rPr>
          <w:sz w:val="20"/>
          <w:szCs w:val="20"/>
          <w:color w:val="auto"/>
        </w:rPr>
      </w:pPr>
    </w:p>
    <w:p>
      <w:pPr>
        <w:sectPr>
          <w:pgSz w:w="11900" w:h="16838" w:orient="portrait"/>
          <w:cols w:equalWidth="0" w:num="2">
            <w:col w:w="1300" w:space="720"/>
            <w:col w:w="9160"/>
          </w:cols>
          <w:pgMar w:left="320" w:top="341" w:right="399" w:bottom="1440" w:gutter="0" w:footer="0" w:header="0"/>
          <w:type w:val="continuous"/>
        </w:sectPr>
      </w:pPr>
    </w:p>
    <w:p>
      <w:pPr>
        <w:ind w:left="2020" w:right="20"/>
        <w:spacing w:after="0" w:line="257" w:lineRule="auto"/>
        <w:rPr>
          <w:sz w:val="20"/>
          <w:szCs w:val="20"/>
          <w:color w:val="auto"/>
        </w:rPr>
      </w:pPr>
      <w:r>
        <w:rPr>
          <w:rFonts w:ascii="Arial" w:cs="Arial" w:eastAsia="Arial" w:hAnsi="Arial"/>
          <w:sz w:val="18"/>
          <w:szCs w:val="18"/>
          <w:color w:val="auto"/>
        </w:rPr>
        <w:t>Auditing management’s accounting for accrued research and development expenses, for which the Company has either not been invoiced or has not received information on the actual costs incurred, was especially challenging as evaluating the progress or stage of completion of the activities under the Company’s research and development agreements is dependent upon information from internal clinical personnel and third party service providers and involves a high volume of data which is tracked in spreadsheets and other end user computing programs.</w:t>
      </w:r>
    </w:p>
    <w:p>
      <w:pPr>
        <w:sectPr>
          <w:pgSz w:w="11900" w:h="16838" w:orient="portrait"/>
          <w:cols w:equalWidth="0" w:num="1">
            <w:col w:w="11180"/>
          </w:cols>
          <w:pgMar w:left="320" w:top="341" w:right="399" w:bottom="1440" w:gutter="0" w:footer="0" w:header="0"/>
          <w:type w:val="continuous"/>
        </w:sectPr>
      </w:pP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accounting for accrued research and development expenses. For example, we tested controls over management’s assessment and measurement of estimated accrued costs, including data inputs for study progress and remaining stages of completion under each study.</w:t>
      </w:r>
    </w:p>
    <w:p>
      <w:pPr>
        <w:spacing w:after="0" w:line="187" w:lineRule="exact"/>
        <w:rPr>
          <w:sz w:val="20"/>
          <w:szCs w:val="20"/>
          <w:color w:val="auto"/>
        </w:rPr>
      </w:pPr>
    </w:p>
    <w:p>
      <w:pPr>
        <w:sectPr>
          <w:pgSz w:w="11900" w:h="16838" w:orient="portrait"/>
          <w:cols w:equalWidth="0" w:num="2">
            <w:col w:w="1660" w:space="360"/>
            <w:col w:w="9160"/>
          </w:cols>
          <w:pgMar w:left="320" w:top="341" w:right="399" w:bottom="1440" w:gutter="0" w:footer="0" w:header="0"/>
          <w:type w:val="continuous"/>
        </w:sectPr>
      </w:pPr>
    </w:p>
    <w:p>
      <w:pPr>
        <w:ind w:left="2020"/>
        <w:spacing w:after="0" w:line="254" w:lineRule="auto"/>
        <w:rPr>
          <w:sz w:val="20"/>
          <w:szCs w:val="20"/>
          <w:color w:val="auto"/>
        </w:rPr>
      </w:pPr>
      <w:r>
        <w:rPr>
          <w:rFonts w:ascii="Arial" w:cs="Arial" w:eastAsia="Arial" w:hAnsi="Arial"/>
          <w:sz w:val="18"/>
          <w:szCs w:val="18"/>
          <w:color w:val="auto"/>
        </w:rPr>
        <w:t>To test the Company’s accrued research and development expenses, we obtained supporting evidence of the research and development activities performed for significant clinical trials. We attended internal clinical trial and project status meetings with accounting and clinical project managers to inspect the status of significant research and development activities. To assess the appropriate measurement of accrued research and development costs, our audit procedures included, among others, obtaining and inspecting significant agreements and agreement amendments, evaluating the Company’s documentation of trial timelines, and testing a sample of transactions and comparing the costs against related invoices and contracts. We also tested a sample of subsequent payments to evaluate the completeness of the accrued expenses and compared the results to the current year accrual.</w:t>
      </w:r>
    </w:p>
    <w:p>
      <w:pPr>
        <w:sectPr>
          <w:pgSz w:w="11900" w:h="16838" w:orient="portrait"/>
          <w:cols w:equalWidth="0" w:num="1">
            <w:col w:w="11180"/>
          </w:cols>
          <w:pgMar w:left="320" w:top="34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462,895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467,789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476,456</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10,774</w:t>
            </w:r>
          </w:p>
        </w:tc>
        <w:tc>
          <w:tcPr>
            <w:tcW w:w="2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20,639</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49,521</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$0.001 par value; 60,000 shares authorized and 26,192 shares issued and outstanding at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December 31, 2020; 30,000 shares authorized and 15,138 shares issued and outstanding at December</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31, 2019</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540,343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(143,816)</w:t>
            </w: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396,553</w:t>
            </w:r>
          </w:p>
        </w:tc>
        <w:tc>
          <w:tcPr>
            <w:tcW w:w="2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476,456</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OPERATIONS AND COMPREHENSIVE LOSS (in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net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vMerge w:val="continue"/>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FF0FC"/>
            </w:tcBorders>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(25,991)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(21,785)</w:t>
            </w:r>
          </w:p>
        </w:tc>
        <w:tc>
          <w:tcPr>
            <w:tcW w:w="0" w:type="dxa"/>
            <w:vAlign w:val="bottom"/>
          </w:tcPr>
          <w:p>
            <w:pPr>
              <w:spacing w:after="0"/>
              <w:rPr>
                <w:sz w:val="1"/>
                <w:szCs w:val="1"/>
                <w:color w:val="auto"/>
              </w:rPr>
            </w:pPr>
          </w:p>
        </w:tc>
      </w:tr>
      <w:tr>
        <w:trPr>
          <w:trHeight w:val="230"/>
        </w:trPr>
        <w:tc>
          <w:tcPr>
            <w:tcW w:w="5340" w:type="dxa"/>
            <w:vAlign w:val="bottom"/>
          </w:tcPr>
          <w:p>
            <w:pPr>
              <w:ind w:left="500"/>
              <w:spacing w:after="0"/>
              <w:rPr>
                <w:sz w:val="20"/>
                <w:szCs w:val="20"/>
                <w:color w:val="auto"/>
              </w:rPr>
            </w:pPr>
            <w:r>
              <w:rPr>
                <w:rFonts w:ascii="Arial" w:cs="Arial" w:eastAsia="Arial" w:hAnsi="Arial"/>
                <w:sz w:val="18"/>
                <w:szCs w:val="18"/>
                <w:color w:val="auto"/>
              </w:rPr>
              <w:t>Unrealized gain on short-term investments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STATEMENTS OF CHANGES IN STOCKHOLDERS’ EQUITY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8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10,699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212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56,674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(23,089)</w:t>
            </w: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33,794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vMerge w:val="continue"/>
          </w:tcPr>
          <w:p>
            <w:pPr>
              <w:spacing w:after="0"/>
              <w:rPr>
                <w:sz w:val="13"/>
                <w:szCs w:val="13"/>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(21,785)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(21,785)</w:t>
            </w: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Unrealized gain on short-term</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2018</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10,762</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214</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58,302</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(44,874)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(25,991)</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(25,991)</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Redomiciliation share exchange</w:t>
            </w:r>
          </w:p>
        </w:tc>
        <w:tc>
          <w:tcPr>
            <w:tcW w:w="10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w w:val="97"/>
              </w:rPr>
              <w:t>Issuance of common stock to Ultragenyx, net of issuance costs</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15,545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net of issuance costs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1,995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21,276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21,278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Effect of adoption of ASU 2014-09</w:t>
            </w:r>
          </w:p>
        </w:tc>
        <w:tc>
          <w:tcPr>
            <w:tcW w:w="1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(803)</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2019</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15,138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97,445</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(71,668)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(72,148)</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(72,148)</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6,764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6,764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to Ultragenyx on option exercise</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9,599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9,600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Arial" w:cs="Arial" w:eastAsia="Arial" w:hAnsi="Arial"/>
                <w:sz w:val="14"/>
                <w:szCs w:val="14"/>
                <w:color w:val="auto"/>
              </w:rPr>
              <w:t>Issuance of common stock, net of issuance costs</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423,809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423,819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2,726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2020</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26,192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540,343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(143,816)</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396,553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left="340" w:right="2620"/>
        <w:spacing w:after="0" w:line="275" w:lineRule="auto"/>
        <w:rPr>
          <w:sz w:val="20"/>
          <w:szCs w:val="20"/>
          <w:color w:val="auto"/>
        </w:rPr>
      </w:pPr>
      <w:r>
        <w:rPr>
          <w:rFonts w:ascii="Arial" w:cs="Arial" w:eastAsia="Arial" w:hAnsi="Arial"/>
          <w:sz w:val="18"/>
          <w:szCs w:val="18"/>
          <w:b w:val="1"/>
          <w:bCs w:val="1"/>
          <w:color w:val="auto"/>
        </w:rPr>
        <w:t>ARCTURUS THERAPEUTICS HOLDINGS INC. AND ITS SUBSIDIARIES CONSOLIDATED STATEMENTS OF CASH FLOWS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1"/>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(72,148)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(25,991)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(21,785)</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Loss from equity-method investment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(4,001)</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(20,760)</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(818)</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(1,478)</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(6,594)</w:t>
            </w: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30,206</w:t>
            </w:r>
          </w:p>
        </w:tc>
        <w:tc>
          <w:tcPr>
            <w:tcW w:w="120" w:type="dxa"/>
            <w:vAlign w:val="bottom"/>
          </w:tcPr>
          <w:p>
            <w:pPr>
              <w:spacing w:after="0"/>
              <w:rPr>
                <w:sz w:val="19"/>
                <w:szCs w:val="19"/>
                <w:color w:val="auto"/>
              </w:rPr>
            </w:pPr>
          </w:p>
        </w:tc>
      </w:tr>
      <w:tr>
        <w:trPr>
          <w:trHeight w:val="223"/>
        </w:trPr>
        <w:tc>
          <w:tcPr>
            <w:tcW w:w="6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long-term debt, net of lender fees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9,872</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Proceeds from exercise of stock option by Ultragenyx and issuance of common stock</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option, net of issuance costs, to Ultragenyx</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436,145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NET INCREASE IN CASH, CASH EQUIVALENTS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AND RESTRICTED CASH</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391,542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34,644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11,578</w:t>
            </w:r>
          </w:p>
        </w:tc>
        <w:tc>
          <w:tcPr>
            <w:tcW w:w="120" w:type="dxa"/>
            <w:vAlign w:val="bottom"/>
          </w:tcPr>
          <w:p>
            <w:pPr>
              <w:spacing w:after="0"/>
              <w:rPr>
                <w:sz w:val="20"/>
                <w:szCs w:val="20"/>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65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5,868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of intangible assets for equity-method investment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Release of repurchase liability for restricted shares</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Arcturus Therapeutics Holdings Inc. (the “Company”) is a global clinical-stage messenger RNA medicines company focused on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was deemed allowed to proceed by the U.S. Food and Drug Administration (“FDA”), and its Clinical Trial Application (“CTA”) candidate LUNAR-COV19 was approved to proceed by the Singapore Health Sciences Authority.</w:t>
      </w:r>
    </w:p>
    <w:p>
      <w:pPr>
        <w:spacing w:after="0" w:line="80"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financial statements for periods prior to June 17, 2019, the effective date of the Redomiciliation, relate to Arcturus Therapeutics Ltd. and for the periods from and after June 17, 2019 relate to Arcturus Therapeutics Holdings Inc.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 Revenue – Other Agreements”</w:t>
      </w:r>
      <w:r>
        <w:rPr>
          <w:rFonts w:ascii="Arial" w:cs="Arial" w:eastAsia="Arial" w:hAnsi="Arial"/>
          <w:sz w:val="18"/>
          <w:szCs w:val="18"/>
          <w:color w:val="auto"/>
        </w:rPr>
        <w:t xml:space="preserve"> for further information on the agreement with and non-refundable payment of $12.5 million from the Israeli Ministry of Health.</w:t>
      </w:r>
    </w:p>
    <w:p>
      <w:pPr>
        <w:spacing w:after="0" w:line="62"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7 Debt – Manufacturing Support Agreement”</w:t>
      </w:r>
      <w:r>
        <w:rPr>
          <w:rFonts w:ascii="Arial" w:cs="Arial" w:eastAsia="Arial" w:hAnsi="Arial"/>
          <w:sz w:val="18"/>
          <w:szCs w:val="18"/>
          <w:color w:val="auto"/>
        </w:rPr>
        <w:t xml:space="preserve"> for further information on the $46.6 million funded by the Singapore Economic Development Board in January 2021.</w:t>
      </w:r>
    </w:p>
    <w:p>
      <w:pPr>
        <w:spacing w:after="0" w:line="62"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8 Stockholders’ Equity – Underwritten Public Offerings of Common Stock”</w:t>
      </w:r>
      <w:r>
        <w:rPr>
          <w:rFonts w:ascii="Arial" w:cs="Arial" w:eastAsia="Arial" w:hAnsi="Arial"/>
          <w:sz w:val="18"/>
          <w:szCs w:val="18"/>
          <w:color w:val="auto"/>
        </w:rPr>
        <w:t xml:space="preserve"> for further information on the Company’s recent public offerings with net proceeds of approximately $423.8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700" w:firstLine="949"/>
        <w:spacing w:after="0" w:line="277" w:lineRule="auto"/>
        <w:rPr>
          <w:sz w:val="20"/>
          <w:szCs w:val="20"/>
          <w:color w:val="auto"/>
        </w:rPr>
      </w:pPr>
      <w:r>
        <w:rPr>
          <w:rFonts w:ascii="Arial" w:cs="Arial" w:eastAsia="Arial" w:hAnsi="Arial"/>
          <w:sz w:val="18"/>
          <w:szCs w:val="18"/>
          <w:color w:val="auto"/>
        </w:rPr>
        <w:t>The Company has incurred significant operating losses since its inception. As of December 31, 2020 and 2019, the Company had an accumulated deficit of $143.8 million and $71.7 million, respectively.</w:t>
      </w:r>
    </w:p>
    <w:p>
      <w:pPr>
        <w:spacing w:after="0" w:line="6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the year ended December 31, 2020, the Company has funded its operations principally with the proceeds from the sale of capital stock and revenues earned through collaboration agreements. Through underwritten public offerings, the Company raised net proceeds of $423.8 million during fiscal year 2020, after deducting underwriting discounts, commissions, and offering expenses.</w:t>
      </w:r>
    </w:p>
    <w:p>
      <w:pPr>
        <w:spacing w:after="0" w:line="84"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consolidated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9" w:name="page100"/>
    <w:bookmarkEnd w:id="99"/>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firstLine="589"/>
        <w:spacing w:after="0" w:line="286"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2020 and 2019, the Company had restricted cash of $107,000 in conjunction with property leases in San Diego, California, and such restriction is expected to be removed at the end of the lease term in 2025.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spacing w:after="0" w:line="4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Accounts receivable are recorded at the net invoice value and are non-interest bearing. The Company considers receivables past due based on the contractual payment terms. The Company reserves for specific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2020 or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jc w:val="both"/>
        <w:ind w:right="140" w:firstLine="589"/>
        <w:spacing w:after="0" w:line="342"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and cash equivalents. The Company limits its exposure to credit loss by placing its cash and cash equivalents with high credit quality financial institutions in instruments with short maturities.</w:t>
      </w:r>
    </w:p>
    <w:p>
      <w:pPr>
        <w:spacing w:after="0" w:line="1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There was one customer that comprised 100% of the total accounts receivable balance at December 31, 2020 and one customer that comprised 98% of the total accounts receivable balance at December 31, 2019.</w:t>
      </w:r>
    </w:p>
    <w:p>
      <w:pPr>
        <w:spacing w:after="0" w:line="62" w:lineRule="exact"/>
        <w:rPr>
          <w:sz w:val="20"/>
          <w:szCs w:val="20"/>
          <w:color w:val="auto"/>
        </w:rPr>
      </w:pPr>
    </w:p>
    <w:p>
      <w:pPr>
        <w:ind w:right="240" w:firstLine="589"/>
        <w:spacing w:after="0" w:line="308" w:lineRule="auto"/>
        <w:rPr>
          <w:sz w:val="20"/>
          <w:szCs w:val="20"/>
          <w:color w:val="auto"/>
        </w:rPr>
      </w:pPr>
      <w:r>
        <w:rPr>
          <w:rFonts w:ascii="Arial" w:cs="Arial" w:eastAsia="Arial" w:hAnsi="Arial"/>
          <w:sz w:val="17"/>
          <w:szCs w:val="17"/>
          <w:color w:val="auto"/>
        </w:rPr>
        <w:t>For the year ended December 31, 2020, the Company’s top four customers collectively represented 94% of the Company’s total revenue. For the year ended December 31, 2019, there were four customers that collectively represented 91% of the Company’s total revenue.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Held for Sale and Equity Method Investment</w:t>
      </w:r>
    </w:p>
    <w:p>
      <w:pPr>
        <w:spacing w:after="0" w:line="117"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At the end of the second quarter of 2018, the Company completed the sale of its intangible assets related to the ADAIR technology. Pursuant to the asset purchase agreement for ADAIR, the Company received a 30% ownership interest in the common stock of Vallon Pharmaceuticals, Inc. (“Vallon”), which was then a privately held company, in consideration for the sale of the ADAIR technology. As the Company’s Chief Executive Officer holds a seat on the investee’s board of directors, the Company has the ability to exercise significant influence over the operating and financial policies of this investee; therefore, the Company accounts for this investment as an equity-method investment.</w:t>
      </w:r>
    </w:p>
    <w:p>
      <w:pPr>
        <w:spacing w:after="0" w:line="6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Company accounts for its share of the earnings or losses of the investee with a reporting lag of three months, as the financial statements of the investee are not completed on a basis that is sufficient for the Company to apply the equity method on a current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2020, 2019 and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Comprehensive income/loss is defined as the change in stockholders’ equity during a period from transactions and other events and circumstances from non-owner sources. Other comprehensive loss represents unrealized losses on the Company’s marketable securities. There was no income tax effect related to unrealized losses for the years ended December 31, 2020, 2019 or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Effective January 1, 2019, the Company adopted </w:t>
      </w:r>
      <w:r>
        <w:rPr>
          <w:rFonts w:ascii="Arial" w:cs="Arial" w:eastAsia="Arial" w:hAnsi="Arial"/>
          <w:sz w:val="16"/>
          <w:szCs w:val="16"/>
          <w:i w:val="1"/>
          <w:iCs w:val="1"/>
          <w:color w:val="auto"/>
        </w:rPr>
        <w:t>Accounting Standards Update (“ASU”) 2014-09, Revenue from Contracts with Customers (Topic</w:t>
      </w:r>
    </w:p>
    <w:p>
      <w:pPr>
        <w:spacing w:after="0" w:line="46" w:lineRule="exact"/>
        <w:rPr>
          <w:sz w:val="20"/>
          <w:szCs w:val="20"/>
          <w:color w:val="auto"/>
        </w:rPr>
      </w:pPr>
    </w:p>
    <w:p>
      <w:pPr>
        <w:ind w:right="260" w:firstLine="8"/>
        <w:spacing w:after="0" w:line="260" w:lineRule="auto"/>
        <w:tabs>
          <w:tab w:leader="none" w:pos="375"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(“Topic 606”), using the modified retrospective transition method. Topic 606 provides a unified model to determine how revenue is recognized and the Company applied the standard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 Collaboration Revenue”</w:t>
      </w:r>
      <w:r>
        <w:rPr>
          <w:rFonts w:ascii="Arial" w:cs="Arial" w:eastAsia="Arial" w:hAnsi="Arial"/>
          <w:sz w:val="18"/>
          <w:szCs w:val="18"/>
          <w:color w:val="auto"/>
        </w:rPr>
        <w:t xml:space="preserve"> for specific details surrounding the Company’s collaboration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00" w:firstLine="589"/>
        <w:spacing w:after="0" w:line="275" w:lineRule="auto"/>
        <w:rPr>
          <w:sz w:val="20"/>
          <w:szCs w:val="20"/>
          <w:color w:val="auto"/>
        </w:rPr>
      </w:pPr>
      <w:r>
        <w:rPr>
          <w:rFonts w:ascii="Arial" w:cs="Arial" w:eastAsia="Arial" w:hAnsi="Arial"/>
          <w:sz w:val="17"/>
          <w:szCs w:val="17"/>
          <w:color w:val="auto"/>
        </w:rPr>
        <w:t>In February 2016, the Financial Accounting Standards Board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assessments of whether existing agreements contained a lease and the classification of existing operating leases.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11, Commitments and Contingences”</w:t>
      </w:r>
      <w:r>
        <w:rPr>
          <w:rFonts w:ascii="Arial" w:cs="Arial" w:eastAsia="Arial" w:hAnsi="Arial"/>
          <w:sz w:val="18"/>
          <w:szCs w:val="18"/>
          <w:color w:val="auto"/>
        </w:rPr>
        <w:t xml:space="preserve"> for specific details surrounding the Company’s 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spacing w:after="0" w:line="63"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The Company recognizes share-based compensation for equity awards granted to employees, consultants, officers and directors as an expense on the statements of operations. Share-based compensation is recognized over the requisite service period of the individual awards using the straight-line attribution method, which generally equals the vesting period. Employees and officers’ stock options have a ten-year life and generally vest 25% on the first anniversary of the grant and in 1/36</w:t>
      </w:r>
      <w:r>
        <w:rPr>
          <w:rFonts w:ascii="Arial" w:cs="Arial" w:eastAsia="Arial" w:hAnsi="Arial"/>
          <w:sz w:val="13"/>
          <w:szCs w:val="13"/>
          <w:color w:val="auto"/>
        </w:rPr>
        <w:t>th</w:t>
      </w:r>
      <w:r>
        <w:rPr>
          <w:rFonts w:ascii="Arial" w:cs="Arial" w:eastAsia="Arial" w:hAnsi="Arial"/>
          <w:sz w:val="16"/>
          <w:szCs w:val="16"/>
          <w:color w:val="auto"/>
        </w:rPr>
        <w:t xml:space="preserve"> equal installments on each monthly anniversary thereafter, such that options are fully vested on the four-year anniversary of the date of grant. The exercisability and vesting periods of options granted to consultants and directors vary.</w:t>
      </w:r>
    </w:p>
    <w:p>
      <w:pPr>
        <w:spacing w:after="0" w:line="53"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The Company has limited historical stock option activity and therefore estimates the expected term of stock options granted using the simplified method, which represents the average of the contractual term of the stock option and its weighted-average vesting period. The expected volatility of stock options is based upon the historical volatility of a peer group of publicly traded companies.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stock options. The effect of forfeited awards is recorded when the forfeiture occurs.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Pre-Launch Inventory</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Prior to obtaining initial regulatory approval for an investigational product candidate, the Company expenses costs relating to production of inventory as research and development expense in its consolidated statements of operations,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such amounts shown in the consolidated statement of cash flows: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As of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tcBorders>
              <w:bottom w:val="single" w:sz="8" w:color="CFF0FC"/>
            </w:tcBorders>
            <w:vMerge w:val="continue"/>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462,895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shown in the statement of cash flows</w:t>
            </w:r>
          </w:p>
        </w:tc>
        <w:tc>
          <w:tcPr>
            <w:tcW w:w="11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463,002</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71,460</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41" w:lineRule="exact"/>
        <w:rPr>
          <w:sz w:val="20"/>
          <w:szCs w:val="20"/>
          <w:color w:val="auto"/>
        </w:rPr>
      </w:pPr>
    </w:p>
    <w:p>
      <w:pPr>
        <w:ind w:right="460" w:firstLine="589"/>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for the years ended December 31, 2020, 2019 and 2018 are comprised of stock options.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dividends were declared or paid during the reporting periods.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which simplifies the accounting for income taxes by removing certain exceptions to the general principles in Topic 740 and amends existing guidance to improve consistent application of Topic 740. ASU 2019-12 is effective for fiscal years beginning after December 15, 2020, including interim periods within those fiscal years, with early adoption permitted in any interim period for which financial statements have not yet been made available for issuance. The Company is currently evaluating the effect ASU 2019-12 will have on its consolidated financial statements and related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Revenue</w:t>
      </w:r>
    </w:p>
    <w:p>
      <w:pPr>
        <w:spacing w:after="0" w:line="121"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 xml:space="preserve">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following table presents changes during the year ended December 31, 2020 in the balances of contract assets, including receivables from collaborative partners, and contract liabilities, including deferred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Contract Assets</w:t>
            </w: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20" w:type="dxa"/>
            <w:vAlign w:val="bottom"/>
          </w:tcPr>
          <w:p>
            <w:pPr>
              <w:ind w:left="140"/>
              <w:spacing w:after="0"/>
              <w:rPr>
                <w:sz w:val="20"/>
                <w:szCs w:val="20"/>
                <w:color w:val="auto"/>
              </w:rPr>
            </w:pPr>
            <w:r>
              <w:rPr>
                <w:rFonts w:ascii="Arial" w:cs="Arial" w:eastAsia="Arial" w:hAnsi="Arial"/>
                <w:sz w:val="18"/>
                <w:szCs w:val="18"/>
                <w:color w:val="auto"/>
              </w:rPr>
              <w:t>Additions for revenue recognized from billings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Deductions for cash collections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(4,084)</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9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20" w:type="dxa"/>
            <w:vAlign w:val="bottom"/>
          </w:tcPr>
          <w:p>
            <w:pPr>
              <w:ind w:left="140"/>
              <w:spacing w:after="0"/>
              <w:rPr>
                <w:sz w:val="20"/>
                <w:szCs w:val="20"/>
                <w:color w:val="auto"/>
              </w:rPr>
            </w:pPr>
            <w:r>
              <w:rPr>
                <w:rFonts w:ascii="Arial" w:cs="Arial" w:eastAsia="Arial" w:hAnsi="Arial"/>
                <w:sz w:val="18"/>
                <w:szCs w:val="18"/>
                <w:color w:val="auto"/>
              </w:rPr>
              <w:t>Additions for advanced billings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Deductions for promised services provided in current period</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(9,538)</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30,620</w:t>
            </w:r>
          </w:p>
        </w:tc>
        <w:tc>
          <w:tcPr>
            <w:tcW w:w="10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The following table summarizes the Company’s collaboration revenues for the periods indicated (in thousands). Approximately $1.0 million, $7.0 million and $5.0 million of total collaboration revenue represents revenue derived from foreign countries for the years ended December 31, 2020, 2019 and 2018,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Collaboration Partner – Ultragenyx</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Collaboration Partner – SGI</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paragraphs provide information on the nature and purpose of these collaboration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 xml:space="preserve">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up to $56.5 million, as well as royalty payments on any future licensed product sales. The next potential milestone to be achieved relates to demonstrating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and safety. Janssen began reimbursing the Company for research costs during the first quarter of 2019 upon the completion of the first of three research periods. Janssen may also pay option exercise fees within the $1.0 million to $5.0 million range per target. Janssen will pay royalties as a low to mid-single digit percentage of net sales of licensed products, subject to reduction on a country-by-country and licensed-product-by-licensed-product basis and subject to certain events, such as expiration of program patents. In addition, the 2017 Agreement includes an exclusivity period.</w:t>
      </w:r>
    </w:p>
    <w:p>
      <w:pPr>
        <w:spacing w:after="0" w:line="73"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evaluating the 2017 Agreement in accordance with Accounting Standards Codification (“ASC”) Topic 606, the Company concluded that the contract counterparty, Janssen, is a customer. The Company identified the following promised goods/services as of the inception of the 2017 Agreement: (i) research services, (ii) license to use Arcturus technology and (iii) participation in a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4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As of December 31, 2020, the remaining transaction price consisting of upfront consideration received and budgeted reimbursable out-of-pocket costs, is expected to be recognized using an input method over the remaining research period of 21 months. None of the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deferred revenue as of December 31, 2020 and December 31, 2019 for Janssen was $5.9 million and $5.9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such period.</w:t>
      </w:r>
    </w:p>
    <w:p>
      <w:pPr>
        <w:spacing w:after="0" w:line="87"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and ranges from $0.5 million to $1.5 million. During the fourth quarter of 2020, Ultragenyx exercised its option to move forward with Preclinical Candidate Designation for its development target, Glycogen Storage Disease III, and paid an option fee to the Company of $0.5 million which was partially recognized as revenue during the quarter through a cumulative catch-up to the transaction price.</w:t>
      </w:r>
    </w:p>
    <w:p>
      <w:pPr>
        <w:spacing w:after="0" w:line="57"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December 31, 2020 are $138.0 million. Ultragenyx will pay royalties as a single-digit percentage of net sales on a product-by-product and country-by-country basis during the applicable royalty term. As of December 31, 2020, Ultragenyx has not yet reached the clinical phase of the contract.</w:t>
      </w:r>
    </w:p>
    <w:p>
      <w:pPr>
        <w:spacing w:after="0" w:line="5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$16.0 per share. In May 2020, the option was exercised.</w:t>
      </w:r>
    </w:p>
    <w:p>
      <w:pPr>
        <w:spacing w:after="0" w:line="8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were initially restricted for up to two years.</w:t>
      </w:r>
    </w:p>
    <w:p>
      <w:pPr>
        <w:spacing w:after="0" w:line="80"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standalone basis. Accordingly, they are determined to represent a single performance obligation. The Company concluded that Ultragenyx’s options to extend exclusivity and select additional collaboration targets and to license rights to selected targets are not priced at a discount and therefore do not represent performance obligations for which the transaction price would be allocated.</w:t>
      </w:r>
    </w:p>
    <w:p>
      <w:pPr>
        <w:spacing w:after="0" w:line="76"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As of December 31, 2020, the transaction price included the upfront consideration received, option payments,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0"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and the Company recorded a cumulative catch-up adjustment of $1.1 million on the modification date.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December 31, 2020 and December 31, 2019 from Ultragenyx was $9.2 million and $12.7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January 2018, the Company entered into a Development and Option Agreement (the “Development and Option Agreement”) with CureVac AG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 delivery technology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(as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63"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to the Company for selected targets. The current potential milestone payments for the remaining targets as of December 31, 2020 are $14.0 million for rare disease targets and $23.0 million for non-rare disease targets. CureVac will pay royalties as a percentage of net sales on a product-by-product and country-by-country basis during the applicable royalty term in the low single-digit range. As of December 31, 2020, CureVac has not yet reached the clinical phase of the contract. Pursuant to a May 2018 amendment to the Development and Option Agreement (and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73"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Concurrently with the Development and Option Agreement, the Company entered into a Co-Development and Co-Commercialization Agreement (the “Co-Development Agreement”) which the Company considered a combined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contract with the Development and Option Agreement for purposes of revenue recognition. However, on February 11, 2019, the Company announced the termination of the obligations of CureVac for the preclinical development of ARCT-810, effective as of August 4, 2019, and the re-assumption by the Company of the worldwide rights thereto. As a result, Arcturus reassumed 100% global rights for clinical development candidate ARCT-810, a mRNA drug to treat OTC deficiency.</w:t>
      </w:r>
    </w:p>
    <w:p>
      <w:pPr>
        <w:spacing w:after="0" w:line="7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that may be reserved and licensed.</w:t>
      </w:r>
    </w:p>
    <w:p>
      <w:pPr>
        <w:spacing w:after="0" w:line="79" w:lineRule="exact"/>
        <w:rPr>
          <w:sz w:val="20"/>
          <w:szCs w:val="20"/>
          <w:color w:val="auto"/>
        </w:rPr>
      </w:pPr>
    </w:p>
    <w:p>
      <w:pPr>
        <w:jc w:val="both"/>
        <w:ind w:right="200" w:firstLine="589"/>
        <w:spacing w:after="0" w:line="286" w:lineRule="auto"/>
        <w:rPr>
          <w:sz w:val="20"/>
          <w:szCs w:val="20"/>
          <w:color w:val="auto"/>
        </w:rPr>
      </w:pPr>
      <w:r>
        <w:rPr>
          <w:rFonts w:ascii="Arial" w:cs="Arial" w:eastAsia="Arial" w:hAnsi="Arial"/>
          <w:sz w:val="17"/>
          <w:szCs w:val="17"/>
          <w:color w:val="auto"/>
        </w:rPr>
        <w:t>In connection with the July 2019 CureVac Amendment, the Company and CureVac also entered into a Termination Agreement (the “Termination Agreement”) terminating the January 1, 2018 Co-Development Agreement between the Company and CureVac. Pursuant to the Termination Agreement, CureVac agreed to make a one-time payment to Arcturus in the amount of $4.0 million, which was made in July 2019.</w:t>
      </w:r>
    </w:p>
    <w:p>
      <w:pPr>
        <w:spacing w:after="0" w:line="5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8"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As of December 31, 2020,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For the year ended December 31, 2020, no adjustments were made to the transaction price.</w:t>
      </w:r>
    </w:p>
    <w:p>
      <w:pPr>
        <w:spacing w:after="0" w:line="84"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upfront consideration of $5.0 million was recorded as deferred revenue in the Company’s balance sheet upon receipt and is currently being recognized as revenue on a straight-line basis using an input method over the remaining 31 month contractual term as of December 31, 2020. As a result of Amendment 3, the Company recorded a cumulative catch up adjustment of $0.4 million on the modification date, July 26, 2019. Total deferred revenue as of December 31, 2020 and December 31, 2019 for CureVac was $2.3 million and $3.2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Synthetic Genomics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 entered into a Research and Exclusive License Agreement with Synthetic Genomics, Inc. (“SGI”) during the fourth quarter of 2017. Under the agreement, the Company granted SGI an exclusive license certain of our technology to research, develop and sell products for diseases excluding all respiratory disease viruses other than influenza. Revenue related to this agreement is made up of labor reimbursements and sublicense revenue. The sublicense revenue is calculated as a percentage of all cash payments received by SGI from any sublicense for a LUNAR product, in the mid 10% to 20% range, less payments made to third parties to obtain the right to practice intellectual property used to develop or necessary to make, use, or sell all or part of licensed LUNAR product. Under certain circumstances, the Company will be owed a percentage ranging from 5% to 10% of amounts received by SGI should they enter into agreements. As part of the agreement, SGI paid an upfront fee of $0.2 million upon contract execution which is creditable against any payments to Arcturus. Therefore, the upfront fee was fully deferred upon the receipt of funds.</w:t>
      </w:r>
    </w:p>
    <w:p>
      <w:pPr>
        <w:spacing w:after="0" w:line="70"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December 31, 2020, there is no consideration included in the transaction price as all forms of consideration included in the agreement are fully constrained. As it relates to FTE reimbursements,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will recognize revenue as the services are performed and recognized $0.2 million and $1.2 million for the years ended December 31, 2019 and 2018, respectively. No FTE revenue was recognized by the Company for the year ended December 31, 2020. Additionally, sublicensee consideration is fully constrained until the subsequent sublicence by SGI occurs. The Company recognized a sublicense revenue amount of $0.3 million and $3.3 million for the years ended December 31, 2020 and 2019, respectively, as SGI sublicensed the technology to multiple parties.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 Revenue</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remaining revenue from smaller collaboration agreements and material transaction agreements primarily relates to the agreement with Millennium Pharmaceuticals, Inc., a wholly owned subsidiary of Takeda Pharmaceutical Company Limited (“Takeda”). Under the agreement with Takeda, the Company recognized $1.0 million and $1.3 million of upfront payment amortization during the years ended December 31, 2020 and 2019, respectively, related to research and development activities. The current agreement was entered into on March 18, 2019 and is expected to be completed during fiscal year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Ministry of Health</w:t>
      </w:r>
    </w:p>
    <w:p>
      <w:pPr>
        <w:spacing w:after="0" w:line="117"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On August 17, 2020, the Company entered into an agreement with the Israeli Ministry of Health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which is included in deferred revenue as of December 31, 2020.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76"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As of December 31, 2020 and 2019, all assets measured at fair value on a recurring basis consisted of cash equivalents, money market funds, which were classified within Level 1 of the fair value hierarchy. The fair value of these financial instruments was measured based on quoted prices.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Details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consisted of the following as of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2,097</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Cystic Fibrosis Foundation liability</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Singapore Economic Development Board liability</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debt</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Clinical accruals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research and development expenses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 Net</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2"/>
          </w:tcPr>
          <w:p>
            <w:pPr>
              <w:ind w:left="600"/>
              <w:spacing w:after="0"/>
              <w:rPr>
                <w:sz w:val="20"/>
                <w:szCs w:val="20"/>
                <w:color w:val="auto"/>
              </w:rPr>
            </w:pPr>
            <w:r>
              <w:rPr>
                <w:rFonts w:ascii="Arial" w:cs="Arial" w:eastAsia="Arial" w:hAnsi="Arial"/>
                <w:sz w:val="18"/>
                <w:szCs w:val="18"/>
                <w:color w:val="auto"/>
              </w:rPr>
              <w:t>Property and equipment, net consisted of the following:</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1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Computers and software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(3,063)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80" w:firstLine="589"/>
        <w:spacing w:after="0" w:line="277" w:lineRule="auto"/>
        <w:rPr>
          <w:sz w:val="20"/>
          <w:szCs w:val="20"/>
          <w:color w:val="auto"/>
        </w:rPr>
      </w:pPr>
      <w:r>
        <w:rPr>
          <w:rFonts w:ascii="Arial" w:cs="Arial" w:eastAsia="Arial" w:hAnsi="Arial"/>
          <w:sz w:val="18"/>
          <w:szCs w:val="18"/>
          <w:color w:val="auto"/>
        </w:rPr>
        <w:t>Depreciation and amortization expense was $882,000, $684,000 and $582,000 for the years ended December 31, 2020, 2019 and 2018,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Manufacturing Supply Agreement</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of up to S$62.1 million to the Company, subject to the satisfaction of customary deliveries, to support the manufacture of the LUNAR-COV19 vaccine candidate (the “Singapore Loan”). The Singapore Loan and the related side letter includes certain loan covenants requiring (i) unused funds as of June 30, 2021 to be subsequently returned within thirty days, subject to the agreed upon extension of the reconciliation date, (ii) the Company to provide a quarterly reconciliation report within forty-five days of each financial quarter end, (iii) an external audit to be completed by September 26, 2021, (iv) the Company to deliver 10 grams of LUNAR-COV19 vaccine candidate suitable for use in a phase 3 trial in two shipments with a partial shipment by June 30, 2021 and a remaining shipment by September 30, 2021, (v) and the Company to provide EDB with a right of first refusal on GMP manufacturing slots of the LUNAR-COV19 vaccine candidate up to an agreed-upon maximum amount. The Company elected to borrow the full amount available under the Support Agreement of S$62.1 million, or $46.6 million as a result of applicable exchange rates, on January 29, 2021.</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Singapore Loan accrues interest at a rate of 4% per anum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The Company entered into a security agreement (the “Security Agreement”) for the benefit of the EDB to provide that repayment of the Singapore Loan and related obligations are secured by a lien on the Specified Assets.</w:t>
      </w:r>
    </w:p>
    <w:p>
      <w:pPr>
        <w:spacing w:after="0" w:line="79"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In connection with the entry into the Support Agreement, the Company entered into a consent agreement with Western Alliance Bank (the “Bank”) and an amendment to the Loan and Security Agreement, dated as of October 12, 2018, between Western Alliance Bank and the Company (the “Loan”), to exclude the Specified Assets from Western Alliance Bank’s lien on certain assets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October 12, 2018, Arcturus Therapeutics, Inc. entered into the Loan with the Bank, whereby it received $10.0 million.</w:t>
      </w:r>
    </w:p>
    <w:p>
      <w:pPr>
        <w:spacing w:after="0" w:line="11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9"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6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w:t>
      </w:r>
    </w:p>
    <w:p>
      <w:pPr>
        <w:spacing w:after="0" w:line="79"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76"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w:t>
      </w:r>
    </w:p>
    <w:p>
      <w:pPr>
        <w:spacing w:after="0" w:line="62"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76" w:lineRule="exact"/>
        <w:rPr>
          <w:sz w:val="20"/>
          <w:szCs w:val="20"/>
          <w:color w:val="auto"/>
        </w:rPr>
      </w:pPr>
    </w:p>
    <w:p>
      <w:pPr>
        <w:ind w:right="220" w:firstLine="589"/>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Agreement. As of December 31, 2020, the Company was in compliance with all covenants under the Loan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9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2021</w:t>
            </w:r>
          </w:p>
        </w:tc>
        <w:tc>
          <w:tcPr>
            <w:tcW w:w="5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FF0FC"/>
          </w:tcPr>
          <w:p>
            <w:pPr>
              <w:spacing w:after="0"/>
              <w:rPr>
                <w:sz w:val="19"/>
                <w:szCs w:val="19"/>
                <w:color w:val="auto"/>
              </w:rPr>
            </w:pPr>
          </w:p>
        </w:tc>
      </w:tr>
      <w:tr>
        <w:trPr>
          <w:trHeight w:val="229"/>
        </w:trPr>
        <w:tc>
          <w:tcPr>
            <w:tcW w:w="9220" w:type="dxa"/>
            <w:vAlign w:val="bottom"/>
          </w:tcPr>
          <w:p>
            <w:pPr>
              <w:ind w:left="14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9"/>
                <w:szCs w:val="19"/>
                <w:color w:val="auto"/>
              </w:rPr>
            </w:pPr>
          </w:p>
        </w:tc>
      </w:tr>
      <w:tr>
        <w:trPr>
          <w:trHeight w:val="230"/>
        </w:trPr>
        <w:tc>
          <w:tcPr>
            <w:tcW w:w="9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6,550,000</w:t>
            </w:r>
          </w:p>
        </w:tc>
        <w:tc>
          <w:tcPr>
            <w:tcW w:w="120" w:type="dxa"/>
            <w:vAlign w:val="bottom"/>
            <w:shd w:val="clear" w:color="auto" w:fill="CFF0FC"/>
          </w:tcPr>
          <w:p>
            <w:pPr>
              <w:spacing w:after="0"/>
              <w:rPr>
                <w:sz w:val="19"/>
                <w:szCs w:val="19"/>
                <w:color w:val="auto"/>
              </w:rPr>
            </w:pPr>
          </w:p>
        </w:tc>
      </w:tr>
      <w:tr>
        <w:trPr>
          <w:trHeight w:val="223"/>
        </w:trPr>
        <w:tc>
          <w:tcPr>
            <w:tcW w:w="9220" w:type="dxa"/>
            <w:vAlign w:val="bottom"/>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15,300,000</w:t>
            </w:r>
          </w:p>
        </w:tc>
        <w:tc>
          <w:tcPr>
            <w:tcW w:w="12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The Company recognized interest expense related to its long-term debt of $0.9 million, $0.9 million and $0.2 million during the years ended December 31, 2020, 2019 and 2018, respectively.</w:t>
      </w:r>
    </w:p>
    <w:p>
      <w:pPr>
        <w:spacing w:after="0" w:line="274"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NOTE 8. Stockholders’ Equity</w:t>
      </w:r>
    </w:p>
    <w:p>
      <w:pPr>
        <w:spacing w:after="0" w:line="140" w:lineRule="exact"/>
        <w:rPr>
          <w:sz w:val="20"/>
          <w:szCs w:val="20"/>
          <w:color w:val="auto"/>
        </w:rPr>
      </w:pPr>
    </w:p>
    <w:p>
      <w:pPr>
        <w:jc w:val="center"/>
        <w:ind w:right="886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On November 25, 2020, the Company amended its Certificate of Incorporation to increase the number of shares of common stock it is authorized to issue from 30,000,000 shares to 60,000,000 shares.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Underwritten Public Offering of Common Stock</w:t>
      </w:r>
    </w:p>
    <w:p>
      <w:pPr>
        <w:spacing w:after="0" w:line="117"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During fiscal year 2020, the Company completed three underwritten public offerings totaling 10,058,820 shares of common stock (including the underwriters’ overallotment options) at prices per share of $17.00, $53.00 and $110.00, which resulted in gross proceeds of approximately $452.1 million. After deducting offering costs of $28.3 million, the Company received net proceeds of approximately $423.8 million from the offerings.</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 Purchase Agreement</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On June 18, 2019, the Company entered into an Equity Purchase Agreement (the “Expanded Ultragenyx Agreement”) with Ultragenyx. Pursuant to the terms of the Expanded Ultragenyx Agreement, the Company sold an aggregate of 2,400,000 shares of common stock, par value $0.001 per share (“Common Stock”) at a price of $10.00 per share to Ultragenyx on June 19, 2019. Ultragenyx was restricted from selling the shares of common stock for two years subsequent to the issuance date. Pursuant to the Expanded Ultragenyx Agreement, the Company also granted Ultragenyx a two-year option (the “Option”) to purchase up to 600,000 additional shares of Common Stock at a price of $16.00 per share. In May 2020, Ultragenyx exercised its option to purchase 600,000 shares of the Company’s common stock at $16.00 per share, and the Company received proceeds of $9.6 million as a result of the option exercise.</w:t>
      </w:r>
    </w:p>
    <w:p>
      <w:pPr>
        <w:spacing w:after="0" w:line="29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years ended December 31, 2020, 2019 and 2018 as they were anti-dilutive totaled 1,157,175, 138,377 and 94,000, respectively.</w:t>
      </w:r>
    </w:p>
    <w:p>
      <w:pPr>
        <w:spacing w:after="0" w:line="62" w:lineRule="exact"/>
        <w:rPr>
          <w:sz w:val="20"/>
          <w:szCs w:val="20"/>
          <w:color w:val="auto"/>
        </w:rPr>
      </w:pPr>
    </w:p>
    <w:p>
      <w:pPr>
        <w:ind w:right="420" w:firstLine="589"/>
        <w:spacing w:after="0" w:line="311" w:lineRule="auto"/>
        <w:rPr>
          <w:sz w:val="20"/>
          <w:szCs w:val="20"/>
          <w:color w:val="auto"/>
        </w:rPr>
      </w:pPr>
      <w:r>
        <w:rPr>
          <w:rFonts w:ascii="Arial" w:cs="Arial" w:eastAsia="Arial" w:hAnsi="Arial"/>
          <w:sz w:val="16"/>
          <w:szCs w:val="16"/>
          <w:color w:val="auto"/>
        </w:rPr>
        <w:t>For the years ended December 31, 2019 and 2018, the calculation of the weighted-average number of shares outstanding excludes 622,667 unvested restricted common shares held by founders of the Company. As the remaining milestones under the founder share agreements were achieved during the year ended 2020, these restricted common shares completely vested equally during the second and third quarters of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21"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In June 2020, the stockholders of the Company approved an increase to the number of shares authorized for use in making awards under the 2019 Omnibus Equity Incentive Plan (the “2019 Plan”) by 2,400,000 shares to 5,000,000. Accordingly, as of December 31, 2020, a total of 1,257,159 shares remain available for future issuance under the 2019 Plan, subject to the terms of the 2019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auto"/>
        </w:rPr>
        <w:t>In June 2020, the stockholders of the Company approved the 2020 Employee Stock Purchase Plan (“2020 Plan”) which provides for 600,000 shares of Company common stock reserved for future issuance. The first accumulation period under the 2020 Plan commenced on August 17, 2020.</w:t>
      </w:r>
    </w:p>
    <w:p>
      <w:pPr>
        <w:spacing w:after="0" w:line="1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Under the 2020 Plan, eligible employees may purchase shares of the Company’s common stock at a discount annually, subject to a maximum of $25,000 per year. The discounted purchase price is equal to the lower of 85% of (i) the market value per share of the common stock on the first day of the accumulation period or (ii) the market value per share of common stock on the purchase date. Share-based compensation expense recognized under the ESPP was $0.1 million for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stock options granted: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5.92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1"/>
              </w:rPr>
              <w:t>6.07</w:t>
            </w:r>
          </w:p>
        </w:tc>
        <w:tc>
          <w:tcPr>
            <w:tcW w:w="1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7"/>
              </w:rPr>
              <w:t>73.3%</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7"/>
              </w:rPr>
              <w:t>2.77%</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Grant date weighted average fair value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6.39</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1"/>
              </w:rPr>
              <w:t>5.38</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1,649,076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2,175,184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66.91</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(394,661)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(104,886)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21.37</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3,324,713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59,449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 December 31,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7.95</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23,975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718,301</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Exercisable and expected to vest –</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3,324,713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59,449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At December 31, 2020, the total unrecognized compensation cost of $89.8 million will be recognized over the weighted-average remaining service period of approximately 3.2 years. The fair value of the options vested during the years ended December 31, 2020, 2019 and 2018 was $4.2 million, $1.9 million and $1.0 million, respectively.</w:t>
      </w:r>
    </w:p>
    <w:p>
      <w:pPr>
        <w:spacing w:after="0" w:line="76"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Share-based compensation expenses included in the Company’s statements of operations and comprehensive loss for the years ended December 31, 2020, 2019 and 2018 were: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8"/>
          </w:tcPr>
          <w:p>
            <w:pPr>
              <w:ind w:left="340"/>
              <w:spacing w:after="0"/>
              <w:rPr>
                <w:sz w:val="20"/>
                <w:szCs w:val="20"/>
                <w:color w:val="auto"/>
              </w:rPr>
            </w:pPr>
            <w:r>
              <w:rPr>
                <w:rFonts w:ascii="Arial" w:cs="Arial" w:eastAsia="Arial" w:hAnsi="Arial"/>
                <w:sz w:val="14"/>
                <w:szCs w:val="14"/>
                <w:b w:val="1"/>
                <w:bCs w:val="1"/>
                <w:color w:val="auto"/>
              </w:rPr>
              <w:t>For the Year Ended December 31,</w:t>
            </w:r>
          </w:p>
        </w:tc>
        <w:tc>
          <w:tcPr>
            <w:tcW w:w="1680" w:type="dxa"/>
            <w:vAlign w:val="bottom"/>
          </w:tcPr>
          <w:p>
            <w:pPr>
              <w:spacing w:after="0"/>
              <w:rPr>
                <w:sz w:val="14"/>
                <w:szCs w:val="14"/>
                <w:color w:val="auto"/>
              </w:rPr>
            </w:pPr>
          </w:p>
        </w:tc>
      </w:tr>
      <w:tr>
        <w:trPr>
          <w:trHeight w:val="171"/>
        </w:trPr>
        <w:tc>
          <w:tcPr>
            <w:tcW w:w="454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2,670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8"/>
              </w:rPr>
              <w:t>4,094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6,764</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60" w:type="dxa"/>
            <w:vAlign w:val="bottom"/>
            <w:gridSpan w:val="2"/>
          </w:tcPr>
          <w:p>
            <w:pPr>
              <w:jc w:val="right"/>
              <w:ind w:right="627"/>
              <w:spacing w:after="0"/>
              <w:rPr>
                <w:sz w:val="20"/>
                <w:szCs w:val="20"/>
                <w:color w:val="auto"/>
              </w:rPr>
            </w:pPr>
            <w:r>
              <w:rPr>
                <w:rFonts w:ascii="Arial" w:cs="Arial" w:eastAsia="Arial" w:hAnsi="Arial"/>
                <w:sz w:val="18"/>
                <w:szCs w:val="18"/>
                <w:color w:val="auto"/>
              </w:rPr>
              <w:t>F-22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A reconciliation of loss before income taxes for domestic and foreign locations for the years ended December 31, 2020, 2019 and 2018 is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8"/>
          </w:tcPr>
          <w:p>
            <w:pPr>
              <w:jc w:val="right"/>
              <w:ind w:right="581"/>
              <w:spacing w:after="0"/>
              <w:rPr>
                <w:sz w:val="20"/>
                <w:szCs w:val="20"/>
                <w:color w:val="auto"/>
              </w:rPr>
            </w:pPr>
            <w:r>
              <w:rPr>
                <w:rFonts w:ascii="Arial" w:cs="Arial" w:eastAsia="Arial" w:hAnsi="Arial"/>
                <w:sz w:val="14"/>
                <w:szCs w:val="14"/>
                <w:b w:val="1"/>
                <w:bCs w:val="1"/>
                <w:color w:val="auto"/>
              </w:rPr>
              <w:t>For the Year Ended December 31,</w:t>
            </w:r>
          </w:p>
        </w:tc>
      </w:tr>
      <w:tr>
        <w:trPr>
          <w:trHeight w:val="171"/>
        </w:trPr>
        <w:tc>
          <w:tcPr>
            <w:tcW w:w="4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before income taxes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unrecognized tax benefits for the years ended December 31, 2020 and 2019 is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980" w:type="dxa"/>
            <w:vAlign w:val="bottom"/>
            <w:gridSpan w:val="2"/>
            <w:vMerge w:val="restart"/>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 of unrecognized tax benefits</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Increase for prior period tax positions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of unrecognized tax benefits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60" w:firstLine="589"/>
        <w:spacing w:after="0" w:line="286" w:lineRule="auto"/>
        <w:rPr>
          <w:sz w:val="20"/>
          <w:szCs w:val="20"/>
          <w:color w:val="auto"/>
        </w:rPr>
      </w:pPr>
      <w:r>
        <w:rPr>
          <w:rFonts w:ascii="Arial" w:cs="Arial" w:eastAsia="Arial" w:hAnsi="Arial"/>
          <w:sz w:val="17"/>
          <w:szCs w:val="17"/>
          <w:color w:val="auto"/>
        </w:rPr>
        <w:t>Included in the balance of unrecognized tax benefits at December 31, 2020 and 2019 is $1.5 million and $0.4 million, respectively, that could impact the Company’s effective tax rate, if recognized, subject to a valuation allowance. None of the unrecognized tax benefits currently impact the Company’s effective tax rate due to the full valuation allowance the Company has recorded against its deferred tax assets.</w:t>
      </w:r>
    </w:p>
    <w:p>
      <w:pPr>
        <w:spacing w:after="0" w:line="5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The Company is subject to taxation and files income tax returns in the United States, California and Israel. The Company’s tax years from 2014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2020 and 2019, there are unrecognized tax benefits of $1.5 million and $0.4 million, respectively, for both the United States and California. There was no tax related interest or penalties recognized for the years ended December 31, 2020, 2019 and 2018.</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deferred income taxes at December 31,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Borders>
              <w:bottom w:val="single" w:sz="8" w:color="CFF0FC"/>
            </w:tcBorders>
            <w:vMerge w:val="continue"/>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20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33,896</w:t>
            </w:r>
          </w:p>
        </w:tc>
        <w:tc>
          <w:tcPr>
            <w:tcW w:w="120" w:type="dxa"/>
            <w:vAlign w:val="bottom"/>
          </w:tcPr>
          <w:p>
            <w:pPr>
              <w:spacing w:after="0"/>
              <w:rPr>
                <w:sz w:val="19"/>
                <w:szCs w:val="19"/>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17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480"/>
              <w:spacing w:after="0"/>
              <w:rPr>
                <w:sz w:val="20"/>
                <w:szCs w:val="20"/>
                <w:color w:val="auto"/>
              </w:rPr>
            </w:pPr>
            <w:r>
              <w:rPr>
                <w:rFonts w:ascii="Arial" w:cs="Arial" w:eastAsia="Arial" w:hAnsi="Arial"/>
                <w:sz w:val="18"/>
                <w:szCs w:val="18"/>
                <w:color w:val="auto"/>
              </w:rPr>
              <w:t>Total gross deferred tax assets</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asset</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7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w:t>
            </w:r>
          </w:p>
        </w:tc>
        <w:tc>
          <w:tcPr>
            <w:tcW w:w="17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76"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At December 31, 2020, the Company had federal and state net operating losses (“NOL”) carryforwards of approximately $125.8 million and $111.2 million, respectively. The federal NOL carryforwards begin to expire in 2034, and the state NOL carryforwards begin to expire in 2034. The federal net operating loss carryover includes $110.0 million of net operating losses generated in 2018 and after, which do not expire. The Company had foreign NOL carryforwards of approximately $89.0 million in the previous year which have been removed from the deferred tax assets in the current year as a result of the Company’s recent Redomiciliation.</w:t>
      </w:r>
    </w:p>
    <w:p>
      <w:pPr>
        <w:spacing w:after="0" w:line="80"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in response to coronavirus disease 2019 (“COVID-19”). The CARES Act, among other things, included several significant provisions that impacted corporate taxpayers’ accounting for income taxes. Prior to the enactment of the CARES Act, the 2017 Tax Cuts and Jobs Act generally eliminated the ability to carryback net operating losses (“NOLs”), and permitted the NOLs arising in tax years beginning after December 31, 2017 to be carried forward indefinitely, limited to 80% of the taxpayer’s income. The CARES Act amended the NOL rules, suspending the 80% limitation on the utilization of NOLs generated after December 31, 2017 and before January 1, 2021. Additionally, the CARES Act allows corporate NOLs arising in taxable years beginning after December 31, 2017 and before January 1, 2021, to be carried back to each of the five taxable years preceding the taxable year of the loss. Also, the CARES Act allows companies to defer making certain payroll tax payments until future years. With the enactment of the CARES Act, the company does not expect a financial statement impact from income taxes.</w:t>
      </w:r>
    </w:p>
    <w:p>
      <w:pPr>
        <w:spacing w:after="0" w:line="73" w:lineRule="exact"/>
        <w:rPr>
          <w:sz w:val="20"/>
          <w:szCs w:val="20"/>
          <w:color w:val="auto"/>
        </w:rPr>
      </w:pPr>
    </w:p>
    <w:p>
      <w:pPr>
        <w:jc w:val="both"/>
        <w:ind w:right="120" w:firstLine="589"/>
        <w:spacing w:after="0" w:line="286" w:lineRule="auto"/>
        <w:rPr>
          <w:sz w:val="20"/>
          <w:szCs w:val="20"/>
          <w:color w:val="auto"/>
        </w:rPr>
      </w:pPr>
      <w:r>
        <w:rPr>
          <w:rFonts w:ascii="Arial" w:cs="Arial" w:eastAsia="Arial" w:hAnsi="Arial"/>
          <w:sz w:val="17"/>
          <w:szCs w:val="17"/>
          <w:color w:val="auto"/>
        </w:rPr>
        <w:t>At December 31, 2020, the Company had federal and state research and development credit carryforwards of approximately $2.3 million and $1.9 million, respectively. The federal credit carryforwards begin to expire in 2033, and the state credits carry forward indefinitely. Additionally, the Company has an Orphan Drug Credit of $3.9 million as of December 31, 2020 which will begin to expire in 2039 unless previously utilized.</w:t>
      </w:r>
    </w:p>
    <w:p>
      <w:pPr>
        <w:spacing w:after="0" w:line="5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created by future ownership changes, if any, related to the Company’s operations in the U.S. will not impact the Company’s effective tax rate.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9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For the Year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3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w:t>
            </w:r>
          </w:p>
        </w:tc>
        <w:tc>
          <w:tcPr>
            <w:tcW w:w="162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Uncertain tax position</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Foreign net operating losses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(67.4%)</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3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On March 4, 2020, the Company was awarded a grant (the “Grant”)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Company entered into an amendment to the Grant on September 24, 2020 to update certain delivery and milestone timelines. The Grant has been paid in full by the EDB as a result of the achievement of certain milestones related to the progress of the development of the vaccine, as set forth in the award agreement. The funds received have been recognized as contra research and development expense in proportion to the percentage covered by the EDB of the overall budget. The Company is liable for certain expenses during the program and is also subject to certain conditions including the completion of an external audit within 183 days of the conclusion of the claim period on February 20, 2021, or August 22, 2021, and delivery of 10 grams of LUNAR-COV19 vaccine candidate suitable for use in a phase 3 trial in two shipments with a partial shipment by June 30, 2021 and a remaining shipment by September 30, 2021. Additionally, the Company is required to pay an agreed upon royalty rate to Duke-NUS on future net sales of the LUNAR-COV19 vaccine candidate in markets or jurisdictions outside of Singapore. For the year ended December 31, 2020, the Company recognized $8.7 million of contra expense, with $1.3 million remaining in accrued expenses.</w:t>
      </w:r>
    </w:p>
    <w:p>
      <w:pPr>
        <w:spacing w:after="0" w:line="64"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On October 2, 2020, the Company was awarded another grant from the Singapore EDB to support the further development of a potential COVID-19 vaccine. The grant provides for up to S$9.3 million (approximately US$6.7 million) to support the development of the vaccine candidate for costs incurred in Singapore subject to certain conditions including (i) completing an external audit within 183 days from March 31, 2021, or September 30, 2021,</w:t>
      </w:r>
    </w:p>
    <w:p>
      <w:pPr>
        <w:spacing w:after="0" w:line="2" w:lineRule="exact"/>
        <w:rPr>
          <w:sz w:val="20"/>
          <w:szCs w:val="20"/>
          <w:color w:val="auto"/>
        </w:rPr>
      </w:pPr>
    </w:p>
    <w:p>
      <w:pPr>
        <w:ind w:right="100" w:firstLine="8"/>
        <w:spacing w:after="0" w:line="252"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delivering 10 grams of LUNAR-COV19 vaccine candidate suitable for use in a phase 3 trial in two shipments with a partial shipment by June 30, 2021 and a remaining shipment by September 30, 2021 and (iii) creating an entity in Singapore which was completed during the fourth quarter of 2020. The grant will be paid in two installments upon the achievement of certain milestones related to the progress of the development of the vaccine candidate. The Company received the first installment of $3.6 million in the fourth quarter of 2020. The funds received have been recognized as contra research and development expense as costs are incurred. For the year ended December 31, 2020, the Company recognized $3.1 million of contra expense, with $0.5 million remaining in accrued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will increase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will be recognized as contra research and development expense in proportion to the percentage covered by CFF of the overall budget. For the years ended December 31, 2020 and 2019, the Company recognized $3.4 million and $2.0 million of contra expense with $6.6 million and $1.9 million remaining in accrued expenses,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jc w:val="both"/>
        <w:ind w:right="100" w:firstLine="589"/>
        <w:spacing w:after="0" w:line="257" w:lineRule="auto"/>
        <w:rPr>
          <w:sz w:val="20"/>
          <w:szCs w:val="20"/>
          <w:color w:val="auto"/>
        </w:rPr>
      </w:pPr>
      <w:r>
        <w:rPr>
          <w:rFonts w:ascii="Arial" w:cs="Arial" w:eastAsia="Arial" w:hAnsi="Arial"/>
          <w:sz w:val="18"/>
          <w:szCs w:val="18"/>
          <w:color w:val="auto"/>
        </w:rPr>
        <w:t>In February 2020, the Company entered into a non-cancellable operating lease agreement for office space near its current headquarters. The lease extends for 13 months from the commencement date. In conjunction with the new lease, the Company received free rent for one month. The lease may be extended for one twelve-month period, and in November 2020 the Company deemed the extension option reasonably certain to be exercised and included the option in the lease terms beginning in December 2020. In February 2021, the Company opted to extend the lease through March 2025 to coincide with the Company’s other lease term.</w:t>
      </w:r>
    </w:p>
    <w:p>
      <w:pPr>
        <w:spacing w:after="0" w:line="80"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w:t>
      </w:r>
    </w:p>
    <w:p>
      <w:pPr>
        <w:spacing w:after="0" w:line="62"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9160" w:type="dxa"/>
            <w:vAlign w:val="bottom"/>
          </w:tcPr>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60" w:type="dxa"/>
            <w:vAlign w:val="bottom"/>
          </w:tcPr>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160" w:type="dxa"/>
            <w:vAlign w:val="bottom"/>
          </w:tcPr>
          <w:p>
            <w:pPr>
              <w:ind w:left="600"/>
              <w:spacing w:after="0"/>
              <w:rPr>
                <w:sz w:val="20"/>
                <w:szCs w:val="20"/>
                <w:color w:val="auto"/>
              </w:rPr>
            </w:pPr>
            <w:r>
              <w:rPr>
                <w:rFonts w:ascii="Arial" w:cs="Arial" w:eastAsia="Arial" w:hAnsi="Arial"/>
                <w:sz w:val="18"/>
                <w:szCs w:val="18"/>
                <w:color w:val="auto"/>
              </w:rPr>
              <w:t>As of December 31, 2020, the payments of the operating lease liability were as follows: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Remaining Lease</w:t>
            </w:r>
          </w:p>
        </w:tc>
        <w:tc>
          <w:tcPr>
            <w:tcW w:w="0" w:type="dxa"/>
            <w:vAlign w:val="bottom"/>
          </w:tcPr>
          <w:p>
            <w:pPr>
              <w:spacing w:after="0"/>
              <w:rPr>
                <w:sz w:val="1"/>
                <w:szCs w:val="1"/>
                <w:color w:val="auto"/>
              </w:rPr>
            </w:pPr>
          </w:p>
        </w:tc>
      </w:tr>
      <w:tr>
        <w:trPr>
          <w:trHeight w:val="171"/>
        </w:trPr>
        <w:tc>
          <w:tcPr>
            <w:tcW w:w="9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remaining lease payments</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91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operating lease liabilities</w:t>
            </w:r>
            <w:r>
              <w:rPr>
                <w:rFonts w:ascii="Arial" w:cs="Arial" w:eastAsia="Arial" w:hAnsi="Arial"/>
                <w:sz w:val="15"/>
                <w:szCs w:val="15"/>
                <w:color w:val="auto"/>
              </w:rPr>
              <w:t>(1)</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 years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2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does not include the lease agreement and lease ammendment which were executed subsequent to December 31, 2020.</w:t>
      </w:r>
    </w:p>
    <w:p>
      <w:pPr>
        <w:spacing w:after="0" w:line="171"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color w:val="auto"/>
        </w:rPr>
        <w:t>Operating lease costs consist of the fixed lease payments included in operating lease liability and are recorded on a straight-line basis over the lease terms. Operating lease costs were $1.9 million, $1.2 million and $1.1 million for the years ended December 31, 2020, 2019 and 2018,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On June 17, 2019, Arcturus and Ultragenyx executed Amendment 3 to the Ultragenyx Agreement. Pursuant to the amended Ultragenyx Agreement, the Company also granted Ultragenyx a two-year option to purchase up to 600,000 additional shares of common stock at a price of $16.00 per share. Ultragenyx exercised the option in May 2020, and as a result, owns 8.4% of the outstanding common stock of the Company as of December 31, 2020. For the years ended December 31, 2020, 2019 and 2018, the Company has recognized revenue of $4.0 million, $5.9 million and $6.8 million, respectively, related to the Ultragenyx Agreement. As of December 31, 2020 and 2019, the Company holds accounts receivable balances of negligible amounts related to the Ultragenyx Agreement.</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As noted above at Note 2, 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During the third quarter of 2019, Vallon issued shares of its common stock at a share price greater than the initial investment which resulted in the Company recording a gain in its equity-method investment. The gain has been offset by additional losses incurred by Vallon. Vallon completed an initial public offering and began trading on The Nasdaq Stock Market under the ticker “VLON” in February 2021. Immediately after this offering, Arcturus owned 843,750 shares of Vallon, or approximately 12%.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Litigation</w:t>
      </w:r>
    </w:p>
    <w:p>
      <w:pPr>
        <w:spacing w:after="0" w:line="121"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On December 13, 2019, a former employee of the Company filed a complaint in San Diego County Superior Court, captioned Adonary Munoz v. Arcturus Therapeutics, Inc., et al, Case No. 37-2019-00066358-CU-PO-CTL. The lawsuit alleges sexual assault by an acquaintance of one of our employees and seeks to hold the Company liable on a number of causes of action. On January 17, 2020, a second amended complaint (“SAC”) was filed seeking $30 million in damages, including punitive damages and damages for emotional distress. The matter is scheduled for mediation on May 5, 2021. The Company believes the allegations of Ms. Munoz in her complaint are without merit,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344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and intends to vigorously defend itself in the foregoing action. However, in light of the preliminary stage of the litigation, the Company is unable to estimate a potential loss or range of losses relating to this matter.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 Pharmaceuticals License Agreement</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February 17, 2021, the Company entered into an exclusive license agreement with Alexion Pharmaceuticals, Inc. (“</w:t>
      </w:r>
      <w:r>
        <w:rPr>
          <w:rFonts w:ascii="Arial" w:cs="Arial" w:eastAsia="Arial" w:hAnsi="Arial"/>
          <w:sz w:val="18"/>
          <w:szCs w:val="18"/>
          <w:u w:val="single" w:color="auto"/>
          <w:color w:val="auto"/>
        </w:rPr>
        <w:t>Alexion</w:t>
      </w:r>
      <w:r>
        <w:rPr>
          <w:rFonts w:ascii="Arial" w:cs="Arial" w:eastAsia="Arial" w:hAnsi="Arial"/>
          <w:sz w:val="18"/>
          <w:szCs w:val="18"/>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at a price of $66.92 per share. The price was determined based on the volume weighted average closing price of the Company’s common stock on The NASDAQ Global Market for the thirty trading days ending on February 17,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Alexandria Lease Extension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8, Commitments and Contingences”</w:t>
      </w:r>
      <w:r>
        <w:rPr>
          <w:rFonts w:ascii="Arial" w:cs="Arial" w:eastAsia="Arial" w:hAnsi="Arial"/>
          <w:sz w:val="18"/>
          <w:szCs w:val="18"/>
          <w:color w:val="auto"/>
        </w:rPr>
        <w:t xml:space="preserve"> for discussion of the lease extension.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quarterly results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Second 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Fourth Quarter</w:t>
            </w: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2020:</w:t>
            </w: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Collaboration revenue</w:t>
            </w:r>
          </w:p>
        </w:tc>
        <w:tc>
          <w:tcPr>
            <w:tcW w:w="16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2,646</w:t>
            </w:r>
          </w:p>
        </w:tc>
        <w:tc>
          <w:tcPr>
            <w:tcW w:w="140" w:type="dxa"/>
            <w:vAlign w:val="bottom"/>
          </w:tcPr>
          <w:p>
            <w:pPr>
              <w:spacing w:after="0"/>
              <w:rPr>
                <w:sz w:val="19"/>
                <w:szCs w:val="19"/>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2,322</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2,333</w:t>
            </w:r>
          </w:p>
        </w:tc>
        <w:tc>
          <w:tcPr>
            <w:tcW w:w="140" w:type="dxa"/>
            <w:vAlign w:val="bottom"/>
          </w:tcPr>
          <w:p>
            <w:pPr>
              <w:spacing w:after="0"/>
              <w:rPr>
                <w:sz w:val="19"/>
                <w:szCs w:val="19"/>
                <w:color w:val="auto"/>
              </w:rPr>
            </w:pPr>
          </w:p>
        </w:tc>
        <w:tc>
          <w:tcPr>
            <w:tcW w:w="4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net</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24,286</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9,034</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(9,462)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(20,938)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(31,082)</w:t>
            </w: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(21,004)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(31,104)</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2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(0.92)</w:t>
            </w:r>
          </w:p>
        </w:tc>
        <w:tc>
          <w:tcPr>
            <w:tcW w:w="4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24,886</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62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(7,616)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(10,817)</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(6,884)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(7,433)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(10,989)</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6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4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4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(0.76)</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w:t>
            </w:r>
          </w:p>
        </w:tc>
        <w:tc>
          <w:tcPr>
            <w:tcW w:w="120" w:type="dxa"/>
            <w:vAlign w:val="bottom"/>
            <w:shd w:val="clear" w:color="auto" w:fill="CFF0FC"/>
          </w:tcPr>
          <w:p>
            <w:pPr>
              <w:spacing w:after="0"/>
              <w:rPr>
                <w:sz w:val="19"/>
                <w:szCs w:val="19"/>
                <w:color w:val="auto"/>
              </w:rPr>
            </w:pPr>
          </w:p>
        </w:tc>
      </w:tr>
      <w:tr>
        <w:trPr>
          <w:trHeight w:val="891"/>
        </w:trPr>
        <w:tc>
          <w:tcPr>
            <w:tcW w:w="4720" w:type="dxa"/>
            <w:vAlign w:val="bottom"/>
          </w:tcPr>
          <w:p>
            <w:pPr>
              <w:spacing w:after="0"/>
              <w:rPr>
                <w:sz w:val="24"/>
                <w:szCs w:val="24"/>
                <w:color w:val="auto"/>
              </w:rPr>
            </w:pPr>
          </w:p>
        </w:tc>
        <w:tc>
          <w:tcPr>
            <w:tcW w:w="1620" w:type="dxa"/>
            <w:vAlign w:val="bottom"/>
            <w:gridSpan w:val="3"/>
          </w:tcPr>
          <w:p>
            <w:pPr>
              <w:jc w:val="right"/>
              <w:ind w:right="468"/>
              <w:spacing w:after="0"/>
              <w:rPr>
                <w:sz w:val="20"/>
                <w:szCs w:val="20"/>
                <w:color w:val="auto"/>
              </w:rPr>
            </w:pPr>
            <w:r>
              <w:rPr>
                <w:rFonts w:ascii="Arial" w:cs="Arial" w:eastAsia="Arial" w:hAnsi="Arial"/>
                <w:sz w:val="18"/>
                <w:szCs w:val="18"/>
                <w:color w:val="auto"/>
              </w:rPr>
              <w:t>F-28</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As of February 24, 2021, there were 26,205,562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fully paid and non-assessable. The rights, preferences and privileges of holders of our common stock are subject to, and may be adversely affected by, the rights of the holders of shares of any of our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3"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both"/>
        <w:ind w:right="20"/>
        <w:spacing w:after="0" w:line="277" w:lineRule="auto"/>
        <w:rPr>
          <w:sz w:val="20"/>
          <w:szCs w:val="20"/>
          <w:color w:val="auto"/>
        </w:rPr>
      </w:pPr>
      <w:r>
        <w:rPr>
          <w:rFonts w:ascii="Arial" w:cs="Arial" w:eastAsia="Arial" w:hAnsi="Arial"/>
          <w:sz w:val="18"/>
          <w:szCs w:val="18"/>
          <w:color w:val="auto"/>
        </w:rPr>
        <w:t>removal or otherwise or newly created directorships may be filled by the vote of the majority of directors then in office, although less than a quorum, or by a sole remaining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3"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ectPr>
          <w:pgSz w:w="11900" w:h="16838" w:orient="portrait"/>
          <w:cols w:equalWidth="0" w:num="1">
            <w:col w:w="11180"/>
          </w:cols>
          <w:pgMar w:left="320" w:top="341" w:right="39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10.29</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Page - </w:t>
      </w:r>
      <w:r>
        <w:rPr>
          <w:rFonts w:ascii="Arial" w:cs="Arial" w:eastAsia="Arial" w:hAnsi="Arial"/>
          <w:sz w:val="14"/>
          <w:szCs w:val="14"/>
          <w:color w:val="auto"/>
        </w:rPr>
        <w:t>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LEASE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THIS SECOND AMENDMENT TO LEASE </w:t>
      </w:r>
      <w:r>
        <w:rPr>
          <w:rFonts w:ascii="Arial" w:cs="Arial" w:eastAsia="Arial" w:hAnsi="Arial"/>
          <w:sz w:val="19"/>
          <w:szCs w:val="19"/>
          <w:color w:val="auto"/>
        </w:rPr>
        <w:t>(the “</w:t>
      </w:r>
      <w:r>
        <w:rPr>
          <w:rFonts w:ascii="Arial" w:cs="Arial" w:eastAsia="Arial" w:hAnsi="Arial"/>
          <w:sz w:val="19"/>
          <w:szCs w:val="19"/>
          <w:b w:val="1"/>
          <w:bCs w:val="1"/>
          <w:color w:val="auto"/>
        </w:rPr>
        <w:t>Amendment</w:t>
      </w:r>
      <w:r>
        <w:rPr>
          <w:rFonts w:ascii="Arial" w:cs="Arial" w:eastAsia="Arial" w:hAnsi="Arial"/>
          <w:sz w:val="19"/>
          <w:szCs w:val="19"/>
          <w:color w:val="auto"/>
        </w:rPr>
        <w:t>”) is made this ________________, 2020 (the “</w:t>
      </w:r>
      <w:r>
        <w:rPr>
          <w:rFonts w:ascii="Arial" w:cs="Arial" w:eastAsia="Arial" w:hAnsi="Arial"/>
          <w:sz w:val="19"/>
          <w:szCs w:val="19"/>
          <w:b w:val="1"/>
          <w:bCs w:val="1"/>
          <w:color w:val="auto"/>
        </w:rPr>
        <w:t>Effective</w:t>
      </w:r>
    </w:p>
    <w:p>
      <w:pPr>
        <w:spacing w:after="0" w:line="33"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color w:val="auto"/>
        </w:rPr>
        <w:t>Date</w:t>
      </w:r>
      <w:r>
        <w:rPr>
          <w:rFonts w:ascii="Arial" w:cs="Arial" w:eastAsia="Arial" w:hAnsi="Arial"/>
          <w:sz w:val="20"/>
          <w:szCs w:val="20"/>
          <w:color w:val="auto"/>
        </w:rPr>
        <w:t>”), by and between</w:t>
      </w:r>
      <w:r>
        <w:rPr>
          <w:rFonts w:ascii="Arial" w:cs="Arial" w:eastAsia="Arial" w:hAnsi="Arial"/>
          <w:sz w:val="20"/>
          <w:szCs w:val="20"/>
          <w:b w:val="1"/>
          <w:bCs w:val="1"/>
          <w:color w:val="auto"/>
        </w:rPr>
        <w:t xml:space="preserve"> ARE-SD REGION NO. 44,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ARCTURUS THERAPEUTICS,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firstLine="872"/>
        <w:spacing w:after="0" w:line="263" w:lineRule="auto"/>
        <w:tabs>
          <w:tab w:leader="none" w:pos="1704" w:val="left"/>
        </w:tabs>
        <w:numPr>
          <w:ilvl w:val="0"/>
          <w:numId w:val="53"/>
        </w:numPr>
        <w:rPr>
          <w:rFonts w:ascii="Arial" w:cs="Arial" w:eastAsia="Arial" w:hAnsi="Arial"/>
          <w:sz w:val="19"/>
          <w:szCs w:val="19"/>
          <w:color w:val="auto"/>
        </w:rPr>
      </w:pPr>
      <w:r>
        <w:rPr>
          <w:rFonts w:ascii="Arial" w:cs="Arial" w:eastAsia="Arial" w:hAnsi="Arial"/>
          <w:sz w:val="19"/>
          <w:szCs w:val="19"/>
          <w:color w:val="auto"/>
        </w:rPr>
        <w:t>Landlord and Tenant are parties to a certain Lease Agreement dated as of October 4, 2017, as amended by a First Amendment to Lease dated January 31, 2020 (as so amended, the “</w:t>
      </w:r>
      <w:r>
        <w:rPr>
          <w:rFonts w:ascii="Arial" w:cs="Arial" w:eastAsia="Arial" w:hAnsi="Arial"/>
          <w:sz w:val="19"/>
          <w:szCs w:val="19"/>
          <w:b w:val="1"/>
          <w:bCs w:val="1"/>
          <w:color w:val="auto"/>
        </w:rPr>
        <w:t>Lease</w:t>
      </w:r>
      <w:r>
        <w:rPr>
          <w:rFonts w:ascii="Arial" w:cs="Arial" w:eastAsia="Arial" w:hAnsi="Arial"/>
          <w:sz w:val="19"/>
          <w:szCs w:val="19"/>
          <w:color w:val="auto"/>
        </w:rPr>
        <w:t>”), wherein, in addition to Premises located at 10628 Science Center Drive, La Jolla, California, Landlord leased to Tenant certain premises on a temporary basis (the “</w:t>
      </w:r>
      <w:r>
        <w:rPr>
          <w:rFonts w:ascii="Arial" w:cs="Arial" w:eastAsia="Arial" w:hAnsi="Arial"/>
          <w:sz w:val="19"/>
          <w:szCs w:val="19"/>
          <w:b w:val="1"/>
          <w:bCs w:val="1"/>
          <w:color w:val="auto"/>
        </w:rPr>
        <w:t>Temporary Premises</w:t>
      </w:r>
      <w:r>
        <w:rPr>
          <w:rFonts w:ascii="Arial" w:cs="Arial" w:eastAsia="Arial" w:hAnsi="Arial"/>
          <w:sz w:val="19"/>
          <w:szCs w:val="19"/>
          <w:color w:val="auto"/>
        </w:rPr>
        <w:t>”) located at 10578 Science Center Drive, La Jolla, California as more particularly described therein.</w:t>
      </w:r>
    </w:p>
    <w:p>
      <w:pPr>
        <w:spacing w:after="0" w:line="170" w:lineRule="exact"/>
        <w:rPr>
          <w:rFonts w:ascii="Arial" w:cs="Arial" w:eastAsia="Arial" w:hAnsi="Arial"/>
          <w:sz w:val="19"/>
          <w:szCs w:val="19"/>
          <w:color w:val="auto"/>
        </w:rPr>
      </w:pPr>
    </w:p>
    <w:p>
      <w:pPr>
        <w:jc w:val="both"/>
        <w:ind w:firstLine="872"/>
        <w:spacing w:after="0" w:line="253" w:lineRule="auto"/>
        <w:tabs>
          <w:tab w:leader="none" w:pos="1693"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term of the Lease with respect to the Temporary Premises expires on February 28, 2021 (the “</w:t>
      </w:r>
      <w:r>
        <w:rPr>
          <w:rFonts w:ascii="Arial" w:cs="Arial" w:eastAsia="Arial" w:hAnsi="Arial"/>
          <w:sz w:val="20"/>
          <w:szCs w:val="20"/>
          <w:b w:val="1"/>
          <w:bCs w:val="1"/>
          <w:color w:val="auto"/>
        </w:rPr>
        <w:t>Termination</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Tenant desires to extend the term of Lease as it affects the Temporary Premises for a period of twelve (12) months, and Landlord is</w:t>
      </w:r>
      <w:r>
        <w:rPr>
          <w:rFonts w:ascii="Arial" w:cs="Arial" w:eastAsia="Arial" w:hAnsi="Arial"/>
          <w:sz w:val="20"/>
          <w:szCs w:val="20"/>
          <w:b w:val="1"/>
          <w:bCs w:val="1"/>
          <w:color w:val="auto"/>
        </w:rPr>
        <w:t xml:space="preserve"> </w:t>
      </w:r>
      <w:r>
        <w:rPr>
          <w:rFonts w:ascii="Arial" w:cs="Arial" w:eastAsia="Arial" w:hAnsi="Arial"/>
          <w:sz w:val="20"/>
          <w:szCs w:val="20"/>
          <w:color w:val="auto"/>
        </w:rPr>
        <w:t>willing to extend the term of the Lease on the terms herein set forth.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parties hereto agree that the Lease is amended as follows:</w:t>
      </w:r>
    </w:p>
    <w:p>
      <w:pPr>
        <w:spacing w:after="0" w:line="210"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Extension; Rent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735"/>
        <w:spacing w:after="0" w:line="385" w:lineRule="auto"/>
        <w:tabs>
          <w:tab w:leader="none" w:pos="25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Lease, the term of the Lease as it affects the Temporary Premises shall expire, unless terminated earlier pursuant to the Lease, on February 28, 2022 (the “</w:t>
      </w:r>
      <w:r>
        <w:rPr>
          <w:rFonts w:ascii="Arial" w:cs="Arial" w:eastAsia="Arial" w:hAnsi="Arial"/>
          <w:sz w:val="16"/>
          <w:szCs w:val="16"/>
          <w:b w:val="1"/>
          <w:bCs w:val="1"/>
          <w:color w:val="auto"/>
        </w:rPr>
        <w:t>Amended Termination Date</w:t>
      </w:r>
      <w:r>
        <w:rPr>
          <w:rFonts w:ascii="Arial" w:cs="Arial" w:eastAsia="Arial" w:hAnsi="Arial"/>
          <w:sz w:val="16"/>
          <w:szCs w:val="16"/>
          <w:color w:val="auto"/>
        </w:rPr>
        <w:t>”).</w:t>
      </w:r>
    </w:p>
    <w:p>
      <w:pPr>
        <w:spacing w:after="0" w:line="84" w:lineRule="exact"/>
        <w:rPr>
          <w:rFonts w:ascii="Arial" w:cs="Arial" w:eastAsia="Arial" w:hAnsi="Arial"/>
          <w:sz w:val="16"/>
          <w:szCs w:val="16"/>
          <w:color w:val="auto"/>
        </w:rPr>
      </w:pPr>
    </w:p>
    <w:p>
      <w:pPr>
        <w:jc w:val="both"/>
        <w:ind w:firstLine="1735"/>
        <w:spacing w:after="0" w:line="263" w:lineRule="auto"/>
        <w:tabs>
          <w:tab w:leader="none" w:pos="2606" w:val="left"/>
        </w:tabs>
        <w:numPr>
          <w:ilvl w:val="1"/>
          <w:numId w:val="54"/>
        </w:numPr>
        <w:rPr>
          <w:rFonts w:ascii="Arial" w:cs="Arial" w:eastAsia="Arial" w:hAnsi="Arial"/>
          <w:sz w:val="19"/>
          <w:szCs w:val="19"/>
          <w:color w:val="auto"/>
        </w:rPr>
      </w:pPr>
      <w:r>
        <w:rPr>
          <w:rFonts w:ascii="Arial" w:cs="Arial" w:eastAsia="Arial" w:hAnsi="Arial"/>
          <w:sz w:val="19"/>
          <w:szCs w:val="19"/>
          <w:color w:val="auto"/>
        </w:rPr>
        <w:t>Tenant shall continue to pay, through the Amended Termination Date, all amounts due and owing under the Lease including, without limitation, Base Rent and Operating Expenses as provided under the Lease. Commencing on March 1, 2021 (the “</w:t>
      </w:r>
      <w:r>
        <w:rPr>
          <w:rFonts w:ascii="Arial" w:cs="Arial" w:eastAsia="Arial" w:hAnsi="Arial"/>
          <w:sz w:val="19"/>
          <w:szCs w:val="19"/>
          <w:b w:val="1"/>
          <w:bCs w:val="1"/>
          <w:color w:val="auto"/>
        </w:rPr>
        <w:t>Adjustment Date</w:t>
      </w:r>
      <w:r>
        <w:rPr>
          <w:rFonts w:ascii="Arial" w:cs="Arial" w:eastAsia="Arial" w:hAnsi="Arial"/>
          <w:sz w:val="19"/>
          <w:szCs w:val="19"/>
          <w:color w:val="auto"/>
        </w:rPr>
        <w:t>”), Base Rent shall be increased by multiplying the Base Rent payable immediately before such Adjustment Date by 3% and adding the resulting amount to the Base Rent payable immediately before such Adjustment Date.</w:t>
      </w:r>
    </w:p>
    <w:p>
      <w:pPr>
        <w:spacing w:after="0" w:line="176" w:lineRule="exact"/>
        <w:rPr>
          <w:rFonts w:ascii="Arial" w:cs="Arial" w:eastAsia="Arial" w:hAnsi="Arial"/>
          <w:sz w:val="19"/>
          <w:szCs w:val="19"/>
          <w:color w:val="auto"/>
        </w:rPr>
      </w:pPr>
    </w:p>
    <w:p>
      <w:pPr>
        <w:jc w:val="both"/>
        <w:ind w:firstLine="1735"/>
        <w:spacing w:after="0" w:line="246" w:lineRule="auto"/>
        <w:tabs>
          <w:tab w:leader="none" w:pos="2595" w:val="left"/>
        </w:tabs>
        <w:numPr>
          <w:ilvl w:val="1"/>
          <w:numId w:val="54"/>
        </w:numPr>
        <w:rPr>
          <w:rFonts w:ascii="Arial" w:cs="Arial" w:eastAsia="Arial" w:hAnsi="Arial"/>
          <w:sz w:val="20"/>
          <w:szCs w:val="20"/>
          <w:color w:val="auto"/>
        </w:rPr>
      </w:pPr>
      <w:r>
        <w:rPr>
          <w:rFonts w:ascii="Arial" w:cs="Arial" w:eastAsia="Arial" w:hAnsi="Arial"/>
          <w:sz w:val="20"/>
          <w:szCs w:val="20"/>
          <w:color w:val="auto"/>
        </w:rPr>
        <w:t>Tenant shall voluntarily surrender the Temporary Premises on or before the Amended Termination Date. Tenant agrees to cooperate reasonably with Landlord in all matters, as applicable, relating to (i) surrendering the Temporary Premises in accordance with the surrender requirements and in the condition required pursuant to the Lease, and (ii) all other matters related to restoring the Temporary Premises to the condition required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1186180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492125</wp:posOffset>
            </wp:positionV>
            <wp:extent cx="2682875" cy="548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 xml:space="preserve">Page - </w:t>
      </w:r>
      <w:r>
        <w:rPr>
          <w:rFonts w:ascii="Arial" w:cs="Arial" w:eastAsia="Arial" w:hAnsi="Arial"/>
          <w:sz w:val="14"/>
          <w:szCs w:val="14"/>
          <w:color w:val="auto"/>
        </w:rPr>
        <w:t>2</w:t>
      </w:r>
    </w:p>
    <w:p>
      <w:pPr>
        <w:spacing w:after="0" w:line="209" w:lineRule="exact"/>
        <w:rPr>
          <w:sz w:val="20"/>
          <w:szCs w:val="20"/>
          <w:color w:val="auto"/>
        </w:rPr>
      </w:pPr>
    </w:p>
    <w:p>
      <w:pPr>
        <w:jc w:val="both"/>
        <w:ind w:firstLine="1735"/>
        <w:spacing w:after="0" w:line="251" w:lineRule="auto"/>
        <w:tabs>
          <w:tab w:leader="none" w:pos="2606"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and all rights of Tenant to extend the term of the Lease with respect to the Temporary Premises beyond the Amended Termination Date are hereby revoked, and Tenant shall have no further rights to extend the term of the Lease with respect to the Temporary Premises after the Amended Termination Date. Nothing herein shall excuse Tenant from its obligations under the Lease prior to the Amended Termination Date.</w:t>
      </w:r>
    </w:p>
    <w:p>
      <w:pPr>
        <w:spacing w:after="0" w:line="185" w:lineRule="exact"/>
        <w:rPr>
          <w:rFonts w:ascii="Arial" w:cs="Arial" w:eastAsia="Arial" w:hAnsi="Arial"/>
          <w:sz w:val="20"/>
          <w:szCs w:val="20"/>
          <w:color w:val="auto"/>
        </w:rPr>
      </w:pPr>
    </w:p>
    <w:p>
      <w:pPr>
        <w:ind w:firstLine="1735"/>
        <w:spacing w:after="0" w:line="260" w:lineRule="auto"/>
        <w:tabs>
          <w:tab w:leader="none" w:pos="2595"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parties agree and acknowledge that Tenant’s right to terminate the Temporary Premises on the Early Temporary Premises Termination Date is hereby revoked and of no further force or effect.</w:t>
      </w:r>
    </w:p>
    <w:p>
      <w:pPr>
        <w:spacing w:after="0" w:line="170" w:lineRule="exact"/>
        <w:rPr>
          <w:rFonts w:ascii="Arial" w:cs="Arial" w:eastAsia="Arial" w:hAnsi="Arial"/>
          <w:sz w:val="20"/>
          <w:szCs w:val="20"/>
          <w:color w:val="auto"/>
        </w:rPr>
      </w:pPr>
    </w:p>
    <w:p>
      <w:pPr>
        <w:jc w:val="both"/>
        <w:ind w:firstLine="8"/>
        <w:spacing w:after="0" w:line="259" w:lineRule="auto"/>
        <w:tabs>
          <w:tab w:leader="none" w:pos="796"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OFAC. </w:t>
      </w:r>
      <w:r>
        <w:rPr>
          <w:rFonts w:ascii="Arial" w:cs="Arial" w:eastAsia="Arial" w:hAnsi="Arial"/>
          <w:sz w:val="19"/>
          <w:szCs w:val="19"/>
          <w:color w:val="auto"/>
        </w:rPr>
        <w:t>Tenant and all beneficial owners of Tenant are currently (a) in compliance with and shall at all times during the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Lease remain in compliance with the regulations of the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xml:space="preserve"> of the U.S. Department of Treasury and any statute, executive order, or regulation relating thereto (collectively, the </w:t>
      </w:r>
      <w:r>
        <w:rPr>
          <w:rFonts w:ascii="Arial" w:cs="Arial" w:eastAsia="Arial" w:hAnsi="Arial"/>
          <w:sz w:val="19"/>
          <w:szCs w:val="19"/>
          <w:b w:val="1"/>
          <w:bCs w:val="1"/>
          <w:color w:val="auto"/>
        </w:rPr>
        <w:t>"OFAC Rules"),</w:t>
      </w:r>
      <w:r>
        <w:rPr>
          <w:rFonts w:ascii="Arial" w:cs="Arial" w:eastAsia="Arial" w:hAnsi="Arial"/>
          <w:sz w:val="19"/>
          <w:szCs w:val="19"/>
          <w:color w:val="auto"/>
        </w:rPr>
        <w:t xml:space="preserve">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2" w:lineRule="exact"/>
        <w:rPr>
          <w:rFonts w:ascii="Arial" w:cs="Arial" w:eastAsia="Arial" w:hAnsi="Arial"/>
          <w:sz w:val="19"/>
          <w:szCs w:val="19"/>
          <w:color w:val="auto"/>
        </w:rPr>
      </w:pPr>
    </w:p>
    <w:p>
      <w:pPr>
        <w:ind w:left="800" w:hanging="792"/>
        <w:spacing w:after="0"/>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2600" w:hanging="865"/>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Capitalized terms used herein but not defined herein shall have the respective meanings ascribed to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terms in the Lease.</w:t>
      </w:r>
    </w:p>
    <w:p>
      <w:pPr>
        <w:spacing w:after="0" w:line="199" w:lineRule="exact"/>
        <w:rPr>
          <w:rFonts w:ascii="Arial" w:cs="Arial" w:eastAsia="Arial" w:hAnsi="Arial"/>
          <w:sz w:val="18"/>
          <w:szCs w:val="18"/>
          <w:color w:val="auto"/>
        </w:rPr>
      </w:pPr>
    </w:p>
    <w:p>
      <w:pPr>
        <w:jc w:val="both"/>
        <w:ind w:firstLine="1735"/>
        <w:spacing w:after="0" w:line="250" w:lineRule="auto"/>
        <w:tabs>
          <w:tab w:leader="none" w:pos="2606"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This Amendment is the entire agreement between the parties with respect to the subject matter hereof and supersedes all prior and contemporaneous oral and written agreements and discussions. This Amendment may be amended only by an agreement in writing, signed by the parties hereto.</w:t>
      </w:r>
    </w:p>
    <w:p>
      <w:pPr>
        <w:spacing w:after="0" w:line="185" w:lineRule="exact"/>
        <w:rPr>
          <w:rFonts w:ascii="Arial" w:cs="Arial" w:eastAsia="Arial" w:hAnsi="Arial"/>
          <w:sz w:val="20"/>
          <w:szCs w:val="20"/>
          <w:color w:val="auto"/>
        </w:rPr>
      </w:pPr>
    </w:p>
    <w:p>
      <w:pPr>
        <w:jc w:val="both"/>
        <w:ind w:firstLine="1735"/>
        <w:spacing w:after="0" w:line="244" w:lineRule="auto"/>
        <w:tabs>
          <w:tab w:leader="none" w:pos="2595"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Except as amended and/or modified by this Amendment, the Lease is hereby ratified and confirmed and all other terms of the Lease shall remain in full force and effect, unaltered and unchanged by this Amendment. In the event of any conflict between the provisions of this Amendment and the provisions of the Lease, the provisions of this Amendment shall prevail. Whether or not specifically amended by this Amendment, all of the terms and provisions of the Lease are hereby amended to the extent necessary to give effect to the purpose and intent of this Amendment.</w:t>
      </w:r>
    </w:p>
    <w:p>
      <w:pPr>
        <w:spacing w:after="0" w:line="194" w:lineRule="exact"/>
        <w:rPr>
          <w:rFonts w:ascii="Arial" w:cs="Arial" w:eastAsia="Arial" w:hAnsi="Arial"/>
          <w:sz w:val="20"/>
          <w:szCs w:val="20"/>
          <w:color w:val="auto"/>
        </w:rPr>
      </w:pPr>
    </w:p>
    <w:p>
      <w:pPr>
        <w:ind w:firstLine="1735"/>
        <w:spacing w:after="0" w:line="316" w:lineRule="auto"/>
        <w:tabs>
          <w:tab w:leader="none" w:pos="26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Amendment is binding upon and shall inure to the benefit of the parties hereto, their respective agents, employees, representatives, officers, directors, divisions, subsidiaries, affiliates, assigns, heirs, successors in interest and shareholders.</w:t>
      </w:r>
    </w:p>
    <w:p>
      <w:pPr>
        <w:spacing w:after="0" w:line="129" w:lineRule="exact"/>
        <w:rPr>
          <w:rFonts w:ascii="Arial" w:cs="Arial" w:eastAsia="Arial" w:hAnsi="Arial"/>
          <w:sz w:val="18"/>
          <w:szCs w:val="18"/>
          <w:color w:val="auto"/>
        </w:rPr>
      </w:pPr>
    </w:p>
    <w:p>
      <w:pPr>
        <w:jc w:val="both"/>
        <w:ind w:firstLine="1735"/>
        <w:spacing w:after="0" w:line="263" w:lineRule="auto"/>
        <w:tabs>
          <w:tab w:leader="none" w:pos="2595" w:val="left"/>
        </w:tabs>
        <w:numPr>
          <w:ilvl w:val="1"/>
          <w:numId w:val="56"/>
        </w:numPr>
        <w:rPr>
          <w:rFonts w:ascii="Arial" w:cs="Arial" w:eastAsia="Arial" w:hAnsi="Arial"/>
          <w:sz w:val="19"/>
          <w:szCs w:val="19"/>
          <w:color w:val="auto"/>
        </w:rPr>
      </w:pPr>
      <w:r>
        <w:rPr>
          <w:rFonts w:ascii="Arial" w:cs="Arial" w:eastAsia="Arial" w:hAnsi="Arial"/>
          <w:sz w:val="19"/>
          <w:szCs w:val="19"/>
          <w:color w:val="auto"/>
        </w:rPr>
        <w:t>Landlord and Tenant each represent and warrant that it has not dealt with any broker, agent or other person (collectively, “</w:t>
      </w:r>
      <w:r>
        <w:rPr>
          <w:rFonts w:ascii="Arial" w:cs="Arial" w:eastAsia="Arial" w:hAnsi="Arial"/>
          <w:sz w:val="19"/>
          <w:szCs w:val="19"/>
          <w:b w:val="1"/>
          <w:bCs w:val="1"/>
          <w:color w:val="auto"/>
        </w:rPr>
        <w:t>Broker</w:t>
      </w:r>
      <w:r>
        <w:rPr>
          <w:rFonts w:ascii="Arial" w:cs="Arial" w:eastAsia="Arial" w:hAnsi="Arial"/>
          <w:sz w:val="19"/>
          <w:szCs w:val="19"/>
          <w:color w:val="auto"/>
        </w:rPr>
        <w:t>”) in connection with this transaction other than Cushman &amp; Wakefield and CBRE, and that no Broker brought about this transaction other than Cushman &amp; Wakefield and CBRE. Landlord and Tenant each hereby agree to indemnify and hold the other harmless from and against any claims by any Broker, other than Cushman &amp; Wakefield and CBRE, claiming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200025</wp:posOffset>
            </wp:positionV>
            <wp:extent cx="2682875" cy="548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ind w:left="10760"/>
        <w:spacing w:after="0"/>
        <w:rPr>
          <w:sz w:val="20"/>
          <w:szCs w:val="20"/>
          <w:color w:val="auto"/>
        </w:rPr>
      </w:pPr>
      <w:r>
        <w:rPr>
          <w:rFonts w:ascii="Arial" w:cs="Arial" w:eastAsia="Arial" w:hAnsi="Arial"/>
          <w:sz w:val="12"/>
          <w:szCs w:val="12"/>
          <w:b w:val="1"/>
          <w:bCs w:val="1"/>
          <w:color w:val="auto"/>
        </w:rPr>
        <w:t xml:space="preserve">Page - </w:t>
      </w:r>
      <w:r>
        <w:rPr>
          <w:rFonts w:ascii="Arial" w:cs="Arial" w:eastAsia="Arial" w:hAnsi="Arial"/>
          <w:sz w:val="12"/>
          <w:szCs w:val="12"/>
          <w:color w:val="auto"/>
        </w:rPr>
        <w:t>3</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commission or other form of compensation by virtue of having dealt with Tenant or Landlord, as applicable, with regard to this leasing transaction.</w:t>
      </w:r>
    </w:p>
    <w:p>
      <w:pPr>
        <w:spacing w:after="0" w:line="177" w:lineRule="exact"/>
        <w:rPr>
          <w:sz w:val="20"/>
          <w:szCs w:val="20"/>
          <w:color w:val="auto"/>
        </w:rPr>
      </w:pPr>
    </w:p>
    <w:p>
      <w:pPr>
        <w:jc w:val="both"/>
        <w:ind w:firstLine="1735"/>
        <w:spacing w:after="0" w:line="243" w:lineRule="auto"/>
        <w:tabs>
          <w:tab w:leader="none" w:pos="2573"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This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Amendment and all matters related thereto, with such electronic signatures having the same legal effect as original signatures.</w:t>
      </w:r>
    </w:p>
    <w:p>
      <w:pPr>
        <w:spacing w:after="0" w:line="195" w:lineRule="exact"/>
        <w:rPr>
          <w:rFonts w:ascii="Arial" w:cs="Arial" w:eastAsia="Arial" w:hAnsi="Arial"/>
          <w:sz w:val="20"/>
          <w:szCs w:val="20"/>
          <w:color w:val="auto"/>
        </w:rPr>
      </w:pPr>
    </w:p>
    <w:p>
      <w:pPr>
        <w:ind w:firstLine="1735"/>
        <w:spacing w:after="0" w:line="260" w:lineRule="auto"/>
        <w:tabs>
          <w:tab w:leader="none" w:pos="2606" w:val="left"/>
        </w:tabs>
        <w:numPr>
          <w:ilvl w:val="0"/>
          <w:numId w:val="57"/>
        </w:numPr>
        <w:rPr>
          <w:rFonts w:ascii="Arial" w:cs="Arial" w:eastAsia="Arial" w:hAnsi="Arial"/>
          <w:sz w:val="20"/>
          <w:szCs w:val="20"/>
          <w:color w:val="auto"/>
        </w:rPr>
      </w:pPr>
      <w:r>
        <w:rPr>
          <w:rFonts w:ascii="Arial" w:cs="Arial" w:eastAsia="Arial" w:hAnsi="Arial"/>
          <w:sz w:val="20"/>
          <w:szCs w:val="20"/>
          <w:color w:val="auto"/>
        </w:rPr>
        <w:t>For purposes of Section 1938 of the California Civil Code, as of the date of this Amendment, the Building has not been inspected by a certified access specialist.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1214120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520065</wp:posOffset>
            </wp:positionV>
            <wp:extent cx="2682875" cy="548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ind w:left="620"/>
        <w:spacing w:after="0"/>
        <w:rPr>
          <w:sz w:val="20"/>
          <w:szCs w:val="20"/>
          <w:color w:val="auto"/>
        </w:rPr>
      </w:pPr>
      <w:r>
        <w:rPr>
          <w:rFonts w:ascii="Arial" w:cs="Arial" w:eastAsia="Arial" w:hAnsi="Arial"/>
          <w:sz w:val="16"/>
          <w:szCs w:val="16"/>
          <w:color w:val="auto"/>
        </w:rPr>
        <w:t>IN WITNESS WHEREOF, the parties hereto have executed this Amendment as of the day and year first above written.</w:t>
      </w:r>
    </w:p>
    <w:p>
      <w:pPr>
        <w:spacing w:after="0" w:line="25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ARCTURUS THERAPEUTICS, INC.</w:t>
      </w:r>
      <w:r>
        <w:rPr>
          <w:rFonts w:ascii="Arial" w:cs="Arial" w:eastAsia="Arial" w:hAnsi="Arial"/>
          <w:sz w:val="20"/>
          <w:szCs w:val="20"/>
          <w:color w:val="auto"/>
        </w:rPr>
        <w:t>,</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10160</wp:posOffset>
            </wp:positionV>
            <wp:extent cx="39776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5715</wp:posOffset>
            </wp:positionV>
            <wp:extent cx="39776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40" w:right="1780" w:hanging="157"/>
        <w:spacing w:after="0" w:line="260" w:lineRule="auto"/>
        <w:tabs>
          <w:tab w:leader="none" w:pos="3561"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hereby certify that the signature, name, and title above are my signature, name and title.</w:t>
      </w:r>
    </w:p>
    <w:p>
      <w:pPr>
        <w:spacing w:after="0" w:line="387"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ARE-SD REGION NO. 44, LLC</w:t>
      </w:r>
      <w:r>
        <w:rPr>
          <w:rFonts w:ascii="Arial" w:cs="Arial" w:eastAsia="Arial" w:hAnsi="Arial"/>
          <w:sz w:val="20"/>
          <w:szCs w:val="20"/>
          <w:color w:val="auto"/>
        </w:rPr>
        <w:t>,</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ALEXANDRIA REAL ESTATE EQUITIES, L.P.,</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 Delaware limited partnership,</w:t>
      </w:r>
    </w:p>
    <w:p>
      <w:pPr>
        <w:ind w:left="386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29" w:lineRule="exact"/>
        <w:rPr>
          <w:sz w:val="20"/>
          <w:szCs w:val="20"/>
          <w:color w:val="auto"/>
        </w:rPr>
      </w:pPr>
    </w:p>
    <w:p>
      <w:pPr>
        <w:ind w:left="3840"/>
        <w:spacing w:after="0"/>
        <w:tabs>
          <w:tab w:leader="none" w:pos="4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ARE-QRS CORP.,</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a Maryland corporation,</w:t>
      </w:r>
    </w:p>
    <w:p>
      <w:pPr>
        <w:ind w:left="4280"/>
        <w:spacing w:after="0"/>
        <w:rPr>
          <w:sz w:val="20"/>
          <w:szCs w:val="20"/>
          <w:color w:val="auto"/>
        </w:rPr>
      </w:pPr>
      <w:r>
        <w:rPr>
          <w:rFonts w:ascii="Arial" w:cs="Arial" w:eastAsia="Arial" w:hAnsi="Arial"/>
          <w:sz w:val="20"/>
          <w:szCs w:val="20"/>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10160</wp:posOffset>
            </wp:positionV>
            <wp:extent cx="33858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507365</wp:posOffset>
            </wp:positionV>
            <wp:extent cx="2691765" cy="548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691765" cy="548640"/>
                    </a:xfrm>
                    <a:prstGeom prst="rect">
                      <a:avLst/>
                    </a:prstGeom>
                    <a:noFill/>
                  </pic:spPr>
                </pic:pic>
              </a:graphicData>
            </a:graphic>
          </wp:anchor>
        </w:drawing>
      </w:r>
    </w:p>
    <w:p>
      <w:pPr>
        <w:sectPr>
          <w:pgSz w:w="11900" w:h="16838" w:orient="portrait"/>
          <w:cols w:equalWidth="0" w:num="1">
            <w:col w:w="10040"/>
          </w:cols>
          <w:pgMar w:left="1440" w:top="339" w:right="41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10.30</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Page - </w:t>
      </w:r>
      <w:r>
        <w:rPr>
          <w:rFonts w:ascii="Arial" w:cs="Arial" w:eastAsia="Arial" w:hAnsi="Arial"/>
          <w:sz w:val="14"/>
          <w:szCs w:val="14"/>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THIRD AMENDMENT TO LEASE</w:t>
      </w:r>
    </w:p>
    <w:p>
      <w:pPr>
        <w:spacing w:after="0" w:line="241" w:lineRule="exact"/>
        <w:rPr>
          <w:sz w:val="20"/>
          <w:szCs w:val="20"/>
          <w:color w:val="auto"/>
        </w:rPr>
      </w:pPr>
    </w:p>
    <w:p>
      <w:pPr>
        <w:ind w:right="220" w:firstLine="895"/>
        <w:spacing w:after="0" w:line="252" w:lineRule="auto"/>
        <w:rPr>
          <w:sz w:val="20"/>
          <w:szCs w:val="20"/>
          <w:color w:val="auto"/>
        </w:rPr>
      </w:pPr>
      <w:r>
        <w:rPr>
          <w:rFonts w:ascii="Arial" w:cs="Arial" w:eastAsia="Arial" w:hAnsi="Arial"/>
          <w:sz w:val="19"/>
          <w:szCs w:val="19"/>
          <w:b w:val="1"/>
          <w:bCs w:val="1"/>
          <w:color w:val="auto"/>
        </w:rPr>
        <w:t xml:space="preserve">THIS THIRD AMENDMENT TO LEASE </w:t>
      </w:r>
      <w:r>
        <w:rPr>
          <w:rFonts w:ascii="Arial" w:cs="Arial" w:eastAsia="Arial" w:hAnsi="Arial"/>
          <w:sz w:val="19"/>
          <w:szCs w:val="19"/>
          <w:color w:val="auto"/>
        </w:rPr>
        <w:t>(the</w:t>
      </w:r>
      <w:r>
        <w:rPr>
          <w:rFonts w:ascii="Arial" w:cs="Arial" w:eastAsia="Arial" w:hAnsi="Arial"/>
          <w:sz w:val="19"/>
          <w:szCs w:val="19"/>
          <w:b w:val="1"/>
          <w:bCs w:val="1"/>
          <w:color w:val="auto"/>
        </w:rPr>
        <w:t xml:space="preserve"> "Amendment") </w:t>
      </w:r>
      <w:r>
        <w:rPr>
          <w:rFonts w:ascii="Arial" w:cs="Arial" w:eastAsia="Arial" w:hAnsi="Arial"/>
          <w:sz w:val="19"/>
          <w:szCs w:val="19"/>
          <w:color w:val="auto"/>
        </w:rPr>
        <w:t>is made this February 25, 2021 (the</w:t>
      </w:r>
      <w:r>
        <w:rPr>
          <w:rFonts w:ascii="Arial" w:cs="Arial" w:eastAsia="Arial" w:hAnsi="Arial"/>
          <w:sz w:val="19"/>
          <w:szCs w:val="19"/>
          <w:b w:val="1"/>
          <w:bCs w:val="1"/>
          <w:color w:val="auto"/>
        </w:rPr>
        <w:t xml:space="preserve"> "Effective Date"), </w:t>
      </w:r>
      <w:r>
        <w:rPr>
          <w:rFonts w:ascii="Arial" w:cs="Arial" w:eastAsia="Arial" w:hAnsi="Arial"/>
          <w:sz w:val="19"/>
          <w:szCs w:val="19"/>
          <w:color w:val="auto"/>
        </w:rPr>
        <w:t>by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between </w:t>
      </w:r>
      <w:r>
        <w:rPr>
          <w:rFonts w:ascii="Arial" w:cs="Arial" w:eastAsia="Arial" w:hAnsi="Arial"/>
          <w:sz w:val="19"/>
          <w:szCs w:val="19"/>
          <w:b w:val="1"/>
          <w:bCs w:val="1"/>
          <w:color w:val="auto"/>
        </w:rPr>
        <w:t>ARE-SD REGION NO. 44, LLC,</w:t>
      </w:r>
      <w:r>
        <w:rPr>
          <w:rFonts w:ascii="Arial" w:cs="Arial" w:eastAsia="Arial" w:hAnsi="Arial"/>
          <w:sz w:val="19"/>
          <w:szCs w:val="19"/>
          <w:color w:val="auto"/>
        </w:rPr>
        <w:t xml:space="preserve">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xml:space="preserve"> and </w:t>
      </w:r>
      <w:r>
        <w:rPr>
          <w:rFonts w:ascii="Arial" w:cs="Arial" w:eastAsia="Arial" w:hAnsi="Arial"/>
          <w:sz w:val="19"/>
          <w:szCs w:val="19"/>
          <w:b w:val="1"/>
          <w:bCs w:val="1"/>
          <w:color w:val="auto"/>
        </w:rPr>
        <w:t>ARCTURUS THERAPEUTICS, INC.,</w:t>
      </w:r>
      <w:r>
        <w:rPr>
          <w:rFonts w:ascii="Arial" w:cs="Arial" w:eastAsia="Arial" w:hAnsi="Arial"/>
          <w:sz w:val="19"/>
          <w:szCs w:val="19"/>
          <w:color w:val="auto"/>
        </w:rPr>
        <w:t xml:space="preserve"> a Delaware corporation </w:t>
      </w:r>
      <w:r>
        <w:rPr>
          <w:rFonts w:ascii="Arial" w:cs="Arial" w:eastAsia="Arial" w:hAnsi="Arial"/>
          <w:sz w:val="19"/>
          <w:szCs w:val="19"/>
          <w:b w:val="1"/>
          <w:bCs w:val="1"/>
          <w:color w:val="auto"/>
        </w:rPr>
        <w:t>("Tenant").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247" w:lineRule="exact"/>
        <w:rPr>
          <w:sz w:val="20"/>
          <w:szCs w:val="20"/>
          <w:color w:val="auto"/>
        </w:rPr>
      </w:pPr>
    </w:p>
    <w:p>
      <w:pPr>
        <w:ind w:right="60" w:firstLine="903"/>
        <w:spacing w:after="0" w:line="283" w:lineRule="auto"/>
        <w:tabs>
          <w:tab w:leader="none" w:pos="1716" w:val="left"/>
        </w:tabs>
        <w:numPr>
          <w:ilvl w:val="0"/>
          <w:numId w:val="59"/>
        </w:numPr>
        <w:rPr>
          <w:rFonts w:ascii="Arial" w:cs="Arial" w:eastAsia="Arial" w:hAnsi="Arial"/>
          <w:sz w:val="16"/>
          <w:szCs w:val="16"/>
          <w:color w:val="232323"/>
        </w:rPr>
      </w:pPr>
      <w:r>
        <w:rPr>
          <w:rFonts w:ascii="Arial" w:cs="Arial" w:eastAsia="Arial" w:hAnsi="Arial"/>
          <w:sz w:val="17"/>
          <w:szCs w:val="17"/>
          <w:color w:val="auto"/>
        </w:rPr>
        <w:t xml:space="preserve">Landlord and Tenant are parties to a ce1tain Lease Agreement dated as of October 4, 2017, as amended by a First Amendment to Lease dated January 31, 2020, and a Second Amendment to Lease dated November 13, 2020 (as so amended,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wherein , in addition to Premises located at 10628 Science Center Drive, La Jolla, California, Landlord leased to Tenant ce1tain premises on a temporary basis (the </w:t>
      </w:r>
      <w:r>
        <w:rPr>
          <w:rFonts w:ascii="Arial" w:cs="Arial" w:eastAsia="Arial" w:hAnsi="Arial"/>
          <w:sz w:val="17"/>
          <w:szCs w:val="17"/>
          <w:b w:val="1"/>
          <w:bCs w:val="1"/>
          <w:color w:val="auto"/>
        </w:rPr>
        <w:t xml:space="preserve">"Temporary Premises") </w:t>
      </w:r>
      <w:r>
        <w:rPr>
          <w:rFonts w:ascii="Arial" w:cs="Arial" w:eastAsia="Arial" w:hAnsi="Arial"/>
          <w:sz w:val="17"/>
          <w:szCs w:val="17"/>
          <w:color w:val="auto"/>
        </w:rPr>
        <w:t>located at 10578 Science Center D1ive, La Jolla, California as more particularly described therein .</w:t>
      </w:r>
    </w:p>
    <w:p>
      <w:pPr>
        <w:spacing w:after="0" w:line="179" w:lineRule="exact"/>
        <w:rPr>
          <w:rFonts w:ascii="Arial" w:cs="Arial" w:eastAsia="Arial" w:hAnsi="Arial"/>
          <w:sz w:val="16"/>
          <w:szCs w:val="16"/>
          <w:color w:val="232323"/>
        </w:rPr>
      </w:pPr>
    </w:p>
    <w:p>
      <w:pPr>
        <w:ind w:right="60" w:firstLine="903"/>
        <w:spacing w:after="0" w:line="252" w:lineRule="auto"/>
        <w:tabs>
          <w:tab w:leader="none" w:pos="1706" w:val="left"/>
        </w:tabs>
        <w:numPr>
          <w:ilvl w:val="0"/>
          <w:numId w:val="59"/>
        </w:numPr>
        <w:rPr>
          <w:rFonts w:ascii="Arial" w:cs="Arial" w:eastAsia="Arial" w:hAnsi="Arial"/>
          <w:sz w:val="18"/>
          <w:szCs w:val="18"/>
          <w:color w:val="232323"/>
        </w:rPr>
      </w:pPr>
      <w:r>
        <w:rPr>
          <w:rFonts w:ascii="Arial" w:cs="Arial" w:eastAsia="Arial" w:hAnsi="Arial"/>
          <w:sz w:val="19"/>
          <w:szCs w:val="19"/>
          <w:color w:val="auto"/>
        </w:rPr>
        <w:t xml:space="preserve">The term of the Lease with respect to the Temporary Premises expires on February 28, 2022 (the </w:t>
      </w:r>
      <w:r>
        <w:rPr>
          <w:rFonts w:ascii="Arial" w:cs="Arial" w:eastAsia="Arial" w:hAnsi="Arial"/>
          <w:sz w:val="19"/>
          <w:szCs w:val="19"/>
          <w:b w:val="1"/>
          <w:bCs w:val="1"/>
          <w:color w:val="auto"/>
        </w:rPr>
        <w:t>"Termination Date").</w:t>
      </w:r>
      <w:r>
        <w:rPr>
          <w:rFonts w:ascii="Arial" w:cs="Arial" w:eastAsia="Arial" w:hAnsi="Arial"/>
          <w:sz w:val="19"/>
          <w:szCs w:val="19"/>
          <w:color w:val="auto"/>
        </w:rPr>
        <w:t xml:space="preserve"> Tenant desires to extend the term of Lease as it affects the Temporary Premises for a period of thi1ty-seven months, and Landlord is willing to extend the term of the Lease on the terns herein set forth .</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9"/>
          <w:szCs w:val="19"/>
          <w:color w:val="auto"/>
        </w:rPr>
        <w:t>NOW , THEREFORE, the parties hereto agree that the Lease is amended as follows:</w:t>
      </w:r>
    </w:p>
    <w:p>
      <w:pPr>
        <w:spacing w:after="0" w:line="235" w:lineRule="exact"/>
        <w:rPr>
          <w:sz w:val="20"/>
          <w:szCs w:val="20"/>
          <w:color w:val="auto"/>
        </w:rPr>
      </w:pPr>
    </w:p>
    <w:p>
      <w:pPr>
        <w:ind w:left="760"/>
        <w:spacing w:after="0"/>
        <w:tabs>
          <w:tab w:leader="none" w:pos="988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b w:val="1"/>
          <w:bCs w:val="1"/>
          <w:u w:val="single" w:color="auto"/>
          <w:color w:val="auto"/>
        </w:rPr>
        <w:t>Extension; Rent.</w:t>
      </w:r>
    </w:p>
    <w:p>
      <w:pPr>
        <w:spacing w:after="0" w:line="281" w:lineRule="exact"/>
        <w:rPr>
          <w:sz w:val="20"/>
          <w:szCs w:val="20"/>
          <w:color w:val="auto"/>
        </w:rPr>
      </w:pPr>
    </w:p>
    <w:p>
      <w:pPr>
        <w:jc w:val="both"/>
        <w:ind w:left="1680" w:firstLine="122"/>
        <w:spacing w:after="0" w:line="355" w:lineRule="auto"/>
        <w:tabs>
          <w:tab w:leader="none" w:pos="265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the Lease, the tern.1 of the Lease as it affects the Tempora1y Premises shall expire, unless terminated earlier pursuant to the Lease, on March 31, 2025 (the </w:t>
      </w:r>
      <w:r>
        <w:rPr>
          <w:rFonts w:ascii="Arial" w:cs="Arial" w:eastAsia="Arial" w:hAnsi="Arial"/>
          <w:sz w:val="16"/>
          <w:szCs w:val="16"/>
          <w:b w:val="1"/>
          <w:bCs w:val="1"/>
          <w:color w:val="auto"/>
        </w:rPr>
        <w:t>"Amended Termination Date").</w:t>
      </w:r>
    </w:p>
    <w:p>
      <w:pPr>
        <w:spacing w:after="0" w:line="130" w:lineRule="exact"/>
        <w:rPr>
          <w:rFonts w:ascii="Arial" w:cs="Arial" w:eastAsia="Arial" w:hAnsi="Arial"/>
          <w:sz w:val="16"/>
          <w:szCs w:val="16"/>
          <w:color w:val="auto"/>
        </w:rPr>
      </w:pPr>
    </w:p>
    <w:p>
      <w:pPr>
        <w:jc w:val="both"/>
        <w:ind w:left="380" w:firstLine="1560"/>
        <w:spacing w:after="0" w:line="292" w:lineRule="auto"/>
        <w:tabs>
          <w:tab w:leader="none" w:pos="2796" w:val="left"/>
        </w:tabs>
        <w:numPr>
          <w:ilvl w:val="1"/>
          <w:numId w:val="60"/>
        </w:numPr>
        <w:rPr>
          <w:rFonts w:ascii="Arial" w:cs="Arial" w:eastAsia="Arial" w:hAnsi="Arial"/>
          <w:sz w:val="16"/>
          <w:szCs w:val="16"/>
          <w:color w:val="auto"/>
        </w:rPr>
      </w:pPr>
      <w:r>
        <w:rPr>
          <w:rFonts w:ascii="Arial" w:cs="Arial" w:eastAsia="Arial" w:hAnsi="Arial"/>
          <w:sz w:val="16"/>
          <w:szCs w:val="16"/>
          <w:color w:val="auto"/>
        </w:rPr>
        <w:t>Tenant shall continue to pay, through the Amended Termination Date, all amounts due and owing under the Lease including, without limitation , Base Rent and Operating Expenses as provided under the Lease. Commencing on March 1, 2022, Tenant shall pay</w:t>
      </w:r>
    </w:p>
    <w:p>
      <w:pPr>
        <w:jc w:val="right"/>
        <w:ind w:left="160"/>
        <w:spacing w:after="0" w:line="239" w:lineRule="auto"/>
        <w:rPr>
          <w:sz w:val="20"/>
          <w:szCs w:val="20"/>
          <w:color w:val="auto"/>
        </w:rPr>
      </w:pPr>
      <w:r>
        <w:rPr>
          <w:rFonts w:ascii="Arial" w:cs="Arial" w:eastAsia="Arial" w:hAnsi="Arial"/>
          <w:sz w:val="19"/>
          <w:szCs w:val="19"/>
          <w:color w:val="auto"/>
        </w:rPr>
        <w:t xml:space="preserve">Base Rent with respect to theTempora1y Premises in the amount of $5.50 per rentable square foot of the Temporary Premises per month . Base Rent with respect to the Temporary Premises shall be increased on March 1, 2023 and on each March pt thereafter (each, an </w:t>
      </w:r>
      <w:r>
        <w:rPr>
          <w:rFonts w:ascii="Arial" w:cs="Arial" w:eastAsia="Arial" w:hAnsi="Arial"/>
          <w:sz w:val="19"/>
          <w:szCs w:val="19"/>
          <w:b w:val="1"/>
          <w:bCs w:val="1"/>
          <w:color w:val="auto"/>
        </w:rPr>
        <w:t>"Adjustment Date"),</w:t>
      </w:r>
      <w:r>
        <w:rPr>
          <w:rFonts w:ascii="Arial" w:cs="Arial" w:eastAsia="Arial" w:hAnsi="Arial"/>
          <w:sz w:val="19"/>
          <w:szCs w:val="19"/>
          <w:color w:val="auto"/>
        </w:rPr>
        <w:t xml:space="preserve"> by multiplying the Base Rent payable immediately before such Adjustment Date by 3% and adding the resulting amount to the Base Rent payable in1lllediately before such Adjustment Date.</w:t>
      </w:r>
    </w:p>
    <w:p>
      <w:pPr>
        <w:spacing w:after="0" w:line="221" w:lineRule="exact"/>
        <w:rPr>
          <w:sz w:val="20"/>
          <w:szCs w:val="20"/>
          <w:color w:val="auto"/>
        </w:rPr>
      </w:pPr>
    </w:p>
    <w:p>
      <w:pPr>
        <w:jc w:val="both"/>
        <w:ind w:left="420" w:firstLine="1674"/>
        <w:spacing w:after="0" w:line="292" w:lineRule="auto"/>
        <w:tabs>
          <w:tab w:leader="none" w:pos="29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so long as Tenant is not in Default under the Lease, Tenant shall not be required to pay Base Rent for the months of March 2022, and Ap1il 2022 (collectively, </w:t>
      </w:r>
      <w:r>
        <w:rPr>
          <w:rFonts w:ascii="Arial" w:cs="Arial" w:eastAsia="Arial" w:hAnsi="Arial"/>
          <w:sz w:val="16"/>
          <w:szCs w:val="16"/>
          <w:b w:val="1"/>
          <w:bCs w:val="1"/>
          <w:color w:val="auto"/>
        </w:rPr>
        <w:t>"Abatement Months").</w:t>
      </w:r>
      <w:r>
        <w:rPr>
          <w:rFonts w:ascii="Arial" w:cs="Arial" w:eastAsia="Arial" w:hAnsi="Arial"/>
          <w:sz w:val="16"/>
          <w:szCs w:val="16"/>
          <w:color w:val="auto"/>
        </w:rPr>
        <w:t xml:space="preserve"> Tenant shall</w:t>
      </w:r>
    </w:p>
    <w:p>
      <w:pPr>
        <w:jc w:val="right"/>
        <w:spacing w:after="0"/>
        <w:rPr>
          <w:sz w:val="20"/>
          <w:szCs w:val="20"/>
          <w:color w:val="auto"/>
        </w:rPr>
      </w:pPr>
      <w:r>
        <w:rPr>
          <w:rFonts w:ascii="Arial" w:cs="Arial" w:eastAsia="Arial" w:hAnsi="Arial"/>
          <w:sz w:val="19"/>
          <w:szCs w:val="19"/>
          <w:color w:val="auto"/>
        </w:rPr>
        <w:t>continue to pay Tenant's Share of Operating Expenses as required under the Lease during the Abatement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1056640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362585</wp:posOffset>
            </wp:positionV>
            <wp:extent cx="2682875" cy="548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ind w:left="10720"/>
        <w:spacing w:after="0"/>
        <w:rPr>
          <w:sz w:val="20"/>
          <w:szCs w:val="20"/>
          <w:color w:val="auto"/>
        </w:rPr>
      </w:pPr>
      <w:r>
        <w:rPr>
          <w:rFonts w:ascii="Arial" w:cs="Arial" w:eastAsia="Arial" w:hAnsi="Arial"/>
          <w:sz w:val="12"/>
          <w:szCs w:val="12"/>
          <w:b w:val="1"/>
          <w:bCs w:val="1"/>
          <w:color w:val="auto"/>
        </w:rPr>
        <w:t xml:space="preserve">Page - </w:t>
      </w:r>
      <w:r>
        <w:rPr>
          <w:rFonts w:ascii="Arial" w:cs="Arial" w:eastAsia="Arial" w:hAnsi="Arial"/>
          <w:sz w:val="12"/>
          <w:szCs w:val="12"/>
          <w:color w:val="auto"/>
        </w:rPr>
        <w:t>2</w:t>
      </w:r>
    </w:p>
    <w:p>
      <w:pPr>
        <w:spacing w:after="0" w:line="132" w:lineRule="exact"/>
        <w:rPr>
          <w:sz w:val="20"/>
          <w:szCs w:val="20"/>
          <w:color w:val="auto"/>
        </w:rPr>
      </w:pPr>
    </w:p>
    <w:p>
      <w:pPr>
        <w:jc w:val="both"/>
        <w:ind w:left="220" w:firstLine="1722"/>
        <w:spacing w:after="0" w:line="292" w:lineRule="auto"/>
        <w:tabs>
          <w:tab w:leader="none" w:pos="281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Tenant shall voluntarily surrender the Tempora1y Premises on or before the Amended Termination Date. Tenant agrees to cooperate reasonably with Landlord in all matters , as applicable, relating to (i) surrendering the Tempora1y Premises in accordance with</w:t>
      </w:r>
    </w:p>
    <w:p>
      <w:pPr>
        <w:jc w:val="right"/>
        <w:ind w:left="140"/>
        <w:spacing w:after="0" w:line="243" w:lineRule="auto"/>
        <w:rPr>
          <w:sz w:val="20"/>
          <w:szCs w:val="20"/>
          <w:color w:val="auto"/>
        </w:rPr>
      </w:pPr>
      <w:r>
        <w:rPr>
          <w:rFonts w:ascii="Arial" w:cs="Arial" w:eastAsia="Arial" w:hAnsi="Arial"/>
          <w:sz w:val="19"/>
          <w:szCs w:val="19"/>
          <w:color w:val="auto"/>
        </w:rPr>
        <w:t>the surrender requirements and in the condition required pursuant to the Lease, and (ii) all other matters related to restoring the Temporary Premises to the condition required under the Lease.</w:t>
      </w:r>
    </w:p>
    <w:p>
      <w:pPr>
        <w:spacing w:after="0" w:line="217" w:lineRule="exact"/>
        <w:rPr>
          <w:sz w:val="20"/>
          <w:szCs w:val="20"/>
          <w:color w:val="auto"/>
        </w:rPr>
      </w:pPr>
    </w:p>
    <w:p>
      <w:pPr>
        <w:jc w:val="right"/>
        <w:ind w:left="20" w:firstLine="1990"/>
        <w:spacing w:after="0" w:line="288" w:lineRule="auto"/>
        <w:tabs>
          <w:tab w:leader="none" w:pos="28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and all rights of Tenant to extend the term of the Lease with respect to the Temporary Premises beyond the Amended Termination Date are hereby revoked, and Tenant shall have no further rights to extend the term of the Lease with respect to the Temporary Premises after the Amended Termination Date. Nothing herein shall excuse Tenant from its obligations under the Lease prior to the Amended</w:t>
      </w:r>
    </w:p>
    <w:p>
      <w:pPr>
        <w:spacing w:after="0" w:line="2"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Termination Date.</w:t>
      </w:r>
    </w:p>
    <w:p>
      <w:pPr>
        <w:spacing w:after="0" w:line="242" w:lineRule="exact"/>
        <w:rPr>
          <w:sz w:val="20"/>
          <w:szCs w:val="20"/>
          <w:color w:val="auto"/>
        </w:rPr>
      </w:pPr>
    </w:p>
    <w:p>
      <w:pPr>
        <w:jc w:val="both"/>
        <w:ind w:left="260" w:hanging="194"/>
        <w:spacing w:after="0" w:line="278" w:lineRule="auto"/>
        <w:tabs>
          <w:tab w:leader="none" w:pos="846"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OFAC. </w:t>
      </w:r>
      <w:r>
        <w:rPr>
          <w:rFonts w:ascii="Arial" w:cs="Arial" w:eastAsia="Arial" w:hAnsi="Arial"/>
          <w:sz w:val="17"/>
          <w:szCs w:val="17"/>
          <w:color w:val="auto"/>
        </w:rPr>
        <w:t>Tenant and all beneficial owners of Tenant are currently (a) in compliance with and shall at all times during the Term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xml:space="preserve"> of the U.S. Department of Treasury and any statute,</w:t>
      </w:r>
    </w:p>
    <w:p>
      <w:pPr>
        <w:spacing w:after="0" w:line="1" w:lineRule="exact"/>
        <w:rPr>
          <w:sz w:val="20"/>
          <w:szCs w:val="20"/>
          <w:color w:val="auto"/>
        </w:rPr>
      </w:pPr>
    </w:p>
    <w:p>
      <w:pPr>
        <w:jc w:val="right"/>
        <w:spacing w:after="0" w:line="277" w:lineRule="auto"/>
        <w:rPr>
          <w:sz w:val="20"/>
          <w:szCs w:val="20"/>
          <w:color w:val="auto"/>
        </w:rPr>
      </w:pPr>
      <w:r>
        <w:rPr>
          <w:rFonts w:ascii="Arial" w:cs="Arial" w:eastAsia="Arial" w:hAnsi="Arial"/>
          <w:sz w:val="17"/>
          <w:szCs w:val="17"/>
          <w:color w:val="auto"/>
        </w:rPr>
        <w:t xml:space="preserve">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xml:space="preserve">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personis prohibited from conducting business under the OFAC Rules.</w:t>
      </w:r>
    </w:p>
    <w:p>
      <w:pPr>
        <w:spacing w:after="0" w:line="183" w:lineRule="exact"/>
        <w:rPr>
          <w:sz w:val="20"/>
          <w:szCs w:val="20"/>
          <w:color w:val="auto"/>
        </w:rPr>
      </w:pPr>
    </w:p>
    <w:p>
      <w:pPr>
        <w:ind w:left="720"/>
        <w:spacing w:after="0"/>
        <w:tabs>
          <w:tab w:leader="none" w:pos="1002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6"/>
          <w:szCs w:val="16"/>
          <w:b w:val="1"/>
          <w:bCs w:val="1"/>
          <w:u w:val="single" w:color="auto"/>
          <w:color w:val="auto"/>
        </w:rPr>
        <w:t>Miscellaneous.</w:t>
      </w:r>
    </w:p>
    <w:p>
      <w:pPr>
        <w:spacing w:after="0" w:line="281" w:lineRule="exact"/>
        <w:rPr>
          <w:sz w:val="20"/>
          <w:szCs w:val="20"/>
          <w:color w:val="auto"/>
        </w:rPr>
      </w:pPr>
    </w:p>
    <w:p>
      <w:pPr>
        <w:jc w:val="right"/>
        <w:ind w:left="10440" w:hanging="8548"/>
        <w:spacing w:after="0" w:line="355" w:lineRule="auto"/>
        <w:tabs>
          <w:tab w:leader="none" w:pos="2741" w:val="left"/>
        </w:tabs>
        <w:numPr>
          <w:ilvl w:val="0"/>
          <w:numId w:val="65"/>
        </w:numPr>
        <w:rPr>
          <w:rFonts w:ascii="Arial" w:cs="Arial" w:eastAsia="Arial" w:hAnsi="Arial"/>
          <w:sz w:val="16"/>
          <w:szCs w:val="16"/>
          <w:color w:val="auto"/>
        </w:rPr>
      </w:pPr>
      <w:r>
        <w:rPr>
          <w:rFonts w:ascii="Arial" w:cs="Arial" w:eastAsia="Arial" w:hAnsi="Arial"/>
          <w:sz w:val="16"/>
          <w:szCs w:val="16"/>
          <w:color w:val="auto"/>
        </w:rPr>
        <w:t>Capitalized terms used herein but not defined herein shall have the respective meanings ascribed to such terms in the Lease.</w:t>
      </w:r>
    </w:p>
    <w:p>
      <w:pPr>
        <w:spacing w:after="0" w:line="130" w:lineRule="exact"/>
        <w:rPr>
          <w:rFonts w:ascii="Arial" w:cs="Arial" w:eastAsia="Arial" w:hAnsi="Arial"/>
          <w:sz w:val="16"/>
          <w:szCs w:val="16"/>
          <w:color w:val="auto"/>
        </w:rPr>
      </w:pPr>
    </w:p>
    <w:p>
      <w:pPr>
        <w:jc w:val="both"/>
        <w:ind w:left="160" w:firstLine="2279"/>
        <w:spacing w:after="0" w:line="292" w:lineRule="auto"/>
        <w:tabs>
          <w:tab w:leader="none" w:pos="3306"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This Amendment is the entire agreement between the parties with respect to the subject matter hereof and supersedes all prior and contemporaneous oral and written agreements and discussions. This Amendment may be amended only by an agreement in</w:t>
      </w:r>
    </w:p>
    <w:p>
      <w:pPr>
        <w:ind w:left="8460"/>
        <w:spacing w:after="0"/>
        <w:rPr>
          <w:sz w:val="20"/>
          <w:szCs w:val="20"/>
          <w:color w:val="auto"/>
        </w:rPr>
      </w:pPr>
      <w:r>
        <w:rPr>
          <w:rFonts w:ascii="Arial" w:cs="Arial" w:eastAsia="Arial" w:hAnsi="Arial"/>
          <w:sz w:val="17"/>
          <w:szCs w:val="17"/>
          <w:color w:val="auto"/>
        </w:rPr>
        <w:t>writing, signed by the parties hereto.</w:t>
      </w:r>
    </w:p>
    <w:p>
      <w:pPr>
        <w:spacing w:after="0" w:line="248" w:lineRule="exact"/>
        <w:rPr>
          <w:sz w:val="20"/>
          <w:szCs w:val="20"/>
          <w:color w:val="auto"/>
        </w:rPr>
      </w:pPr>
    </w:p>
    <w:p>
      <w:pPr>
        <w:jc w:val="both"/>
        <w:ind w:left="620" w:firstLine="1288"/>
        <w:spacing w:after="0" w:line="292" w:lineRule="auto"/>
        <w:tabs>
          <w:tab w:leader="none" w:pos="2772"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amended and/or modified by this Amendment, the Lease is hereby ratified and confirmed and all other terms of the Lease shall remain in full force and effect, unaltered and unchanged by this Amendment. In the event of any conflict between the</w:t>
      </w:r>
    </w:p>
    <w:p>
      <w:pPr>
        <w:jc w:val="right"/>
        <w:spacing w:after="0"/>
        <w:rPr>
          <w:sz w:val="20"/>
          <w:szCs w:val="20"/>
          <w:color w:val="auto"/>
        </w:rPr>
      </w:pPr>
      <w:r>
        <w:rPr>
          <w:rFonts w:ascii="Arial" w:cs="Arial" w:eastAsia="Arial" w:hAnsi="Arial"/>
          <w:sz w:val="19"/>
          <w:szCs w:val="19"/>
          <w:color w:val="auto"/>
        </w:rPr>
        <w:t>provisions of this Amendment and the provisions of the Lease, the provisions of this Amendment shall prevail. Whether or not specifically amended by this Amendment, all of the terms and provisions of the Lease are hereby amended to the extent necessary to give effect to the purpose and intent of this Amendment.</w:t>
      </w:r>
    </w:p>
    <w:p>
      <w:pPr>
        <w:spacing w:after="0" w:line="220" w:lineRule="exact"/>
        <w:rPr>
          <w:sz w:val="20"/>
          <w:szCs w:val="20"/>
          <w:color w:val="auto"/>
        </w:rPr>
      </w:pPr>
    </w:p>
    <w:p>
      <w:pPr>
        <w:jc w:val="both"/>
        <w:ind w:left="1180" w:firstLine="1121"/>
        <w:spacing w:after="0" w:line="355" w:lineRule="auto"/>
        <w:tabs>
          <w:tab w:leader="none" w:pos="317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Amendment is binding upon and shall inure to the benefit of the parties hereto, their respective agents, employees, representatives, officers, directors, divisions, subsidiaries, affiliates, assigns, heirs, successors in interest and shareholders.</w:t>
      </w:r>
    </w:p>
    <w:p>
      <w:pPr>
        <w:spacing w:after="0" w:line="130" w:lineRule="exact"/>
        <w:rPr>
          <w:rFonts w:ascii="Arial" w:cs="Arial" w:eastAsia="Arial" w:hAnsi="Arial"/>
          <w:sz w:val="16"/>
          <w:szCs w:val="16"/>
          <w:color w:val="auto"/>
        </w:rPr>
      </w:pPr>
    </w:p>
    <w:p>
      <w:pPr>
        <w:jc w:val="both"/>
        <w:ind w:left="420" w:firstLine="1953"/>
        <w:spacing w:after="0" w:line="292" w:lineRule="auto"/>
        <w:tabs>
          <w:tab w:leader="none" w:pos="3221"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Landlord and Tenant each represent and warrant that it has not dealt with any broker, agent or other person (collectively, </w:t>
      </w:r>
      <w:r>
        <w:rPr>
          <w:rFonts w:ascii="Arial" w:cs="Arial" w:eastAsia="Arial" w:hAnsi="Arial"/>
          <w:sz w:val="16"/>
          <w:szCs w:val="16"/>
          <w:b w:val="1"/>
          <w:bCs w:val="1"/>
          <w:color w:val="auto"/>
        </w:rPr>
        <w:t>"Broker")</w:t>
      </w:r>
      <w:r>
        <w:rPr>
          <w:rFonts w:ascii="Arial" w:cs="Arial" w:eastAsia="Arial" w:hAnsi="Arial"/>
          <w:sz w:val="16"/>
          <w:szCs w:val="16"/>
          <w:color w:val="auto"/>
        </w:rPr>
        <w:t xml:space="preserve"> in connection with this transaction other than Cushman &amp; Wakefield and CBRE, and that no Broker brought about this</w:t>
      </w:r>
    </w:p>
    <w:p>
      <w:pPr>
        <w:jc w:val="right"/>
        <w:ind w:left="80"/>
        <w:spacing w:after="0" w:line="243" w:lineRule="auto"/>
        <w:rPr>
          <w:sz w:val="20"/>
          <w:szCs w:val="20"/>
          <w:color w:val="auto"/>
        </w:rPr>
      </w:pPr>
      <w:r>
        <w:rPr>
          <w:rFonts w:ascii="Arial" w:cs="Arial" w:eastAsia="Arial" w:hAnsi="Arial"/>
          <w:sz w:val="19"/>
          <w:szCs w:val="19"/>
          <w:color w:val="auto"/>
        </w:rPr>
        <w:t>transaction other than Cushman &amp; Wakefield and CBRE. Landlord and Tenant each hereby agree to indemnify and hold the other harmless from and against any claims by any Broker, other than Cushman &amp; Wakefield and CBRE, claiming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906145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211455</wp:posOffset>
            </wp:positionV>
            <wp:extent cx="2682875" cy="548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1200"/>
          </w:cols>
          <w:pgMar w:left="360" w:top="118" w:right="339" w:bottom="1440" w:gutter="0" w:footer="0" w:header="0"/>
        </w:sectPr>
      </w:pPr>
    </w:p>
    <w:bookmarkStart w:id="127" w:name="page128"/>
    <w:bookmarkEnd w:id="127"/>
    <w:p>
      <w:pPr>
        <w:ind w:left="10660"/>
        <w:spacing w:after="0"/>
        <w:rPr>
          <w:sz w:val="20"/>
          <w:szCs w:val="20"/>
          <w:color w:val="auto"/>
        </w:rPr>
      </w:pPr>
      <w:r>
        <w:rPr>
          <w:rFonts w:ascii="Arial" w:cs="Arial" w:eastAsia="Arial" w:hAnsi="Arial"/>
          <w:sz w:val="12"/>
          <w:szCs w:val="12"/>
          <w:b w:val="1"/>
          <w:bCs w:val="1"/>
          <w:color w:val="auto"/>
        </w:rPr>
        <w:t xml:space="preserve">Page - </w:t>
      </w:r>
      <w:r>
        <w:rPr>
          <w:rFonts w:ascii="Arial" w:cs="Arial" w:eastAsia="Arial" w:hAnsi="Arial"/>
          <w:sz w:val="12"/>
          <w:szCs w:val="12"/>
          <w:color w:val="auto"/>
        </w:rPr>
        <w:t>3</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or other form of compensation by virtue of having dealt with Tenant or Landlord, as applicable, with regard to this leasing transaction.</w:t>
      </w:r>
    </w:p>
    <w:p>
      <w:pPr>
        <w:spacing w:after="0" w:line="264" w:lineRule="exact"/>
        <w:rPr>
          <w:sz w:val="20"/>
          <w:szCs w:val="20"/>
          <w:color w:val="auto"/>
        </w:rPr>
      </w:pPr>
    </w:p>
    <w:p>
      <w:pPr>
        <w:jc w:val="right"/>
        <w:ind w:firstLine="1737"/>
        <w:spacing w:after="0" w:line="285" w:lineRule="auto"/>
        <w:tabs>
          <w:tab w:leader="none" w:pos="257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Amendment and all matters related thereto, with such electronic signatures having the same legal effect as original</w:t>
      </w:r>
    </w:p>
    <w:p>
      <w:pPr>
        <w:spacing w:after="0" w:line="4"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signatures.</w:t>
      </w:r>
    </w:p>
    <w:p>
      <w:pPr>
        <w:spacing w:after="0" w:line="246" w:lineRule="exact"/>
        <w:rPr>
          <w:sz w:val="20"/>
          <w:szCs w:val="20"/>
          <w:color w:val="auto"/>
        </w:rPr>
      </w:pPr>
    </w:p>
    <w:p>
      <w:pPr>
        <w:jc w:val="right"/>
        <w:ind w:left="7680" w:hanging="5928"/>
        <w:spacing w:after="0" w:line="355" w:lineRule="auto"/>
        <w:tabs>
          <w:tab w:leader="none" w:pos="26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purposes of Section 1938 of the California Civil Code, as of the date of this Amendment, the Building has not been inspected by a certified access specialist.</w:t>
      </w: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925195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230505</wp:posOffset>
            </wp:positionV>
            <wp:extent cx="2682875" cy="548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b w:val="1"/>
          <w:bCs w:val="1"/>
          <w:color w:val="auto"/>
        </w:rPr>
        <w:t xml:space="preserve">Page - </w:t>
      </w:r>
      <w:r>
        <w:rPr>
          <w:rFonts w:ascii="Arial" w:cs="Arial" w:eastAsia="Arial" w:hAnsi="Arial"/>
          <w:sz w:val="14"/>
          <w:szCs w:val="14"/>
          <w:color w:val="auto"/>
        </w:rPr>
        <w:t>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505257"/>
        </w:rPr>
        <w:t>IN WITNESS WHEREOF, the parties hereto have exec</w:t>
      </w:r>
      <w:r>
        <w:rPr>
          <w:rFonts w:ascii="Arial" w:cs="Arial" w:eastAsia="Arial" w:hAnsi="Arial"/>
          <w:sz w:val="18"/>
          <w:szCs w:val="18"/>
          <w:color w:val="3A3B3D"/>
        </w:rPr>
        <w:t>u</w:t>
      </w:r>
      <w:r>
        <w:rPr>
          <w:rFonts w:ascii="Arial" w:cs="Arial" w:eastAsia="Arial" w:hAnsi="Arial"/>
          <w:sz w:val="18"/>
          <w:szCs w:val="18"/>
          <w:color w:val="505257"/>
        </w:rPr>
        <w:t xml:space="preserve">ted this Amendment as of the day and year first </w:t>
      </w:r>
      <w:r>
        <w:rPr>
          <w:rFonts w:ascii="Arial" w:cs="Arial" w:eastAsia="Arial" w:hAnsi="Arial"/>
          <w:sz w:val="18"/>
          <w:szCs w:val="18"/>
          <w:color w:val="000000"/>
        </w:rPr>
        <w:t>above</w:t>
      </w:r>
      <w:r>
        <w:rPr>
          <w:rFonts w:ascii="Arial" w:cs="Arial" w:eastAsia="Arial" w:hAnsi="Arial"/>
          <w:sz w:val="18"/>
          <w:szCs w:val="18"/>
          <w:color w:val="505257"/>
        </w:rPr>
        <w:t xml:space="preserve"> written.</w:t>
      </w:r>
    </w:p>
    <w:p>
      <w:pPr>
        <w:spacing w:after="0" w:line="23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TENANT:</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ARCTURUS THERAPEUTICS, INC.</w:t>
      </w:r>
      <w:r>
        <w:rPr>
          <w:rFonts w:ascii="Arial" w:cs="Arial" w:eastAsia="Arial" w:hAnsi="Arial"/>
          <w:sz w:val="20"/>
          <w:szCs w:val="20"/>
          <w:color w:val="auto"/>
        </w:rPr>
        <w:t>,</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3600"/>
        <w:spacing w:after="0"/>
        <w:tabs>
          <w:tab w:leader="none" w:pos="4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10160</wp:posOffset>
            </wp:positionV>
            <wp:extent cx="39776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ind w:left="3600"/>
        <w:spacing w:after="0"/>
        <w:tabs>
          <w:tab w:leader="none" w:pos="4060" w:val="left"/>
        </w:tabs>
        <w:rPr>
          <w:sz w:val="20"/>
          <w:szCs w:val="20"/>
          <w:color w:val="auto"/>
        </w:rPr>
      </w:pPr>
      <w:r>
        <w:rPr>
          <w:rFonts w:ascii="Arial" w:cs="Arial" w:eastAsia="Arial" w:hAnsi="Arial"/>
          <w:sz w:val="20"/>
          <w:szCs w:val="20"/>
          <w:color w:val="auto"/>
        </w:rPr>
        <w:t>Its:</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5715</wp:posOffset>
            </wp:positionV>
            <wp:extent cx="39776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I hereby certify that the signature, name, and title above are</w:t>
      </w:r>
    </w:p>
    <w:p>
      <w:pPr>
        <w:spacing w:after="0" w:line="1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my signature, name and title.</w:t>
      </w:r>
    </w:p>
    <w:p>
      <w:pPr>
        <w:spacing w:after="0" w:line="207"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LANDLORD:</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ARE-SD REGION NO. 44, LLC</w:t>
      </w:r>
      <w:r>
        <w:rPr>
          <w:rFonts w:ascii="Arial" w:cs="Arial" w:eastAsia="Arial" w:hAnsi="Arial"/>
          <w:sz w:val="20"/>
          <w:szCs w:val="20"/>
          <w:color w:val="auto"/>
        </w:rPr>
        <w:t>,</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3600"/>
        <w:spacing w:after="0"/>
        <w:tabs>
          <w:tab w:leader="none" w:pos="4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ALEXANDRIA REAL ESTATE EQUITIES, L.P.,</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 Delaware limited partnership,</w:t>
      </w:r>
    </w:p>
    <w:p>
      <w:pPr>
        <w:ind w:left="406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jc w:val="center"/>
        <w:ind w:right="260"/>
        <w:spacing w:after="0"/>
        <w:tabs>
          <w:tab w:leader="none" w:pos="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ARE-QRS CORP.,</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 Maryland corporation,</w:t>
      </w:r>
    </w:p>
    <w:p>
      <w:pPr>
        <w:ind w:left="4520"/>
        <w:spacing w:after="0"/>
        <w:rPr>
          <w:sz w:val="20"/>
          <w:szCs w:val="20"/>
          <w:color w:val="auto"/>
        </w:rPr>
      </w:pPr>
      <w:r>
        <w:rPr>
          <w:rFonts w:ascii="Arial" w:cs="Arial" w:eastAsia="Arial" w:hAnsi="Arial"/>
          <w:sz w:val="20"/>
          <w:szCs w:val="20"/>
          <w:color w:val="auto"/>
        </w:rPr>
        <w:t>general partner</w:t>
      </w:r>
    </w:p>
    <w:p>
      <w:pPr>
        <w:spacing w:after="0" w:line="207"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Gary Dean, EVP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13970</wp:posOffset>
            </wp:positionV>
            <wp:extent cx="34118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382905</wp:posOffset>
            </wp:positionV>
            <wp:extent cx="2682875" cy="548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2682875" cy="548640"/>
                    </a:xfrm>
                    <a:prstGeom prst="rect">
                      <a:avLst/>
                    </a:prstGeom>
                    <a:noFill/>
                  </pic:spPr>
                </pic:pic>
              </a:graphicData>
            </a:graphic>
          </wp:anchor>
        </w:drawing>
      </w:r>
    </w:p>
    <w:p>
      <w:pPr>
        <w:sectPr>
          <w:pgSz w:w="11900" w:h="16838" w:orient="portrait"/>
          <w:cols w:equalWidth="0" w:num="1">
            <w:col w:w="10340"/>
          </w:cols>
          <w:pgMar w:left="12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74" w:lineRule="exact"/>
        <w:rPr>
          <w:sz w:val="20"/>
          <w:szCs w:val="20"/>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S-4 No. 333-230353) of Arcturus Therapeutics Holdings Inc.,</w:t>
      </w:r>
    </w:p>
    <w:p>
      <w:pPr>
        <w:spacing w:after="0" w:line="23" w:lineRule="exact"/>
        <w:rPr>
          <w:rFonts w:ascii="Arial" w:cs="Arial" w:eastAsia="Arial" w:hAnsi="Arial"/>
          <w:sz w:val="18"/>
          <w:szCs w:val="18"/>
          <w:color w:val="auto"/>
        </w:rPr>
      </w:pPr>
    </w:p>
    <w:p>
      <w:pPr>
        <w:ind w:left="880" w:right="400" w:hanging="440"/>
        <w:spacing w:after="0" w:line="250"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333-232272) pertaining to the Arcturus Therapeutics Holdings Inc. 2019 Omnibus Equity Incentive Plan,</w:t>
      </w:r>
    </w:p>
    <w:p>
      <w:pPr>
        <w:ind w:left="880" w:right="640" w:hanging="440"/>
        <w:spacing w:after="0" w:line="250"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333-240397) pertaining to the Arcturus Therapeutics Holdings Inc. Amended and Restated 2019 Omnibus Equity Incentive Plan, and</w:t>
      </w:r>
    </w:p>
    <w:p>
      <w:pPr>
        <w:ind w:left="880" w:right="580" w:hanging="440"/>
        <w:spacing w:after="0" w:line="260"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Statements (Form S-3 Nos. 333-232281, 333-235475, 333-237703, 333-238139, 333-235475 and 333-251175) of Arcturus Therapeutics Holdings Inc.;</w:t>
      </w:r>
    </w:p>
    <w:p>
      <w:pPr>
        <w:spacing w:after="0" w:line="7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of our reports dated March 1, 2021, with respect to the consolidated financial statements of Arcturus Therapeutics Holdings Inc., and the effectiveness of internal control over financial reporting of Arcturus Therapeutics Holdings Inc. included in this Annual Report (Form 10-K) for the year ended December 31, 2020.</w:t>
      </w:r>
    </w:p>
    <w:p>
      <w:pPr>
        <w:spacing w:after="0" w:line="31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Joseph E. Payne, certify that:</w:t>
      </w:r>
    </w:p>
    <w:p>
      <w:pPr>
        <w:spacing w:after="0" w:line="175"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7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March 1, 2021</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240"/>
          </w:cols>
          <w:pgMar w:left="320" w:top="35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Andrew Sassine, certify that:</w:t>
      </w:r>
    </w:p>
    <w:p>
      <w:pPr>
        <w:spacing w:after="0" w:line="175"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7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March 1, 2021</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240"/>
          </w:cols>
          <w:pgMar w:left="320" w:top="35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Keith C. Kummerfeld, certify that:</w:t>
      </w:r>
    </w:p>
    <w:p>
      <w:pPr>
        <w:spacing w:after="0" w:line="175"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Holdings Inc.;</w:t>
      </w:r>
    </w:p>
    <w:p>
      <w:pPr>
        <w:spacing w:after="0" w:line="175" w:lineRule="exact"/>
        <w:rPr>
          <w:rFonts w:ascii="Arial" w:cs="Arial" w:eastAsia="Arial" w:hAnsi="Arial"/>
          <w:sz w:val="20"/>
          <w:szCs w:val="20"/>
          <w:color w:val="auto"/>
        </w:rPr>
      </w:pPr>
    </w:p>
    <w:p>
      <w:pPr>
        <w:ind w:left="580" w:hanging="572"/>
        <w:spacing w:after="0" w:line="250" w:lineRule="auto"/>
        <w:tabs>
          <w:tab w:leader="none" w:pos="5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580" w:right="80" w:hanging="572"/>
        <w:spacing w:after="0" w:line="250" w:lineRule="auto"/>
        <w:tabs>
          <w:tab w:leader="none" w:pos="5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580" w:right="60" w:hanging="572"/>
        <w:spacing w:after="0" w:line="250" w:lineRule="auto"/>
        <w:tabs>
          <w:tab w:leader="none" w:pos="5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ind w:left="1160" w:right="100" w:hanging="572"/>
        <w:spacing w:after="0" w:line="291"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160" w:right="140" w:hanging="572"/>
        <w:spacing w:after="0" w:line="269" w:lineRule="auto"/>
        <w:tabs>
          <w:tab w:leader="none" w:pos="1160" w:val="left"/>
        </w:tabs>
        <w:numPr>
          <w:ilvl w:val="1"/>
          <w:numId w:val="7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160" w:right="220" w:hanging="572"/>
        <w:spacing w:after="0" w:line="250" w:lineRule="auto"/>
        <w:tabs>
          <w:tab w:leader="none" w:pos="1160" w:val="left"/>
        </w:tabs>
        <w:numPr>
          <w:ilvl w:val="1"/>
          <w:numId w:val="7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ind w:left="1160" w:right="220" w:hanging="572"/>
        <w:spacing w:after="0" w:line="291"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160" w:right="520" w:hanging="572"/>
        <w:spacing w:after="0" w:line="250" w:lineRule="auto"/>
        <w:tabs>
          <w:tab w:leader="none" w:pos="1160" w:val="left"/>
        </w:tabs>
        <w:numPr>
          <w:ilvl w:val="1"/>
          <w:numId w:val="7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160" w:right="20" w:hanging="572"/>
        <w:spacing w:after="0" w:line="260" w:lineRule="auto"/>
        <w:tabs>
          <w:tab w:leader="none" w:pos="1160" w:val="left"/>
        </w:tabs>
        <w:numPr>
          <w:ilvl w:val="1"/>
          <w:numId w:val="7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March 1, 2021</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ectPr>
          <w:pgSz w:w="11900" w:h="16838" w:orient="portrait"/>
          <w:cols w:equalWidth="0" w:num="1">
            <w:col w:w="11240"/>
          </w:cols>
          <w:pgMar w:left="320" w:top="35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220" w:firstLine="288"/>
        <w:spacing w:after="0" w:line="291" w:lineRule="auto"/>
        <w:rPr>
          <w:sz w:val="20"/>
          <w:szCs w:val="20"/>
          <w:color w:val="auto"/>
        </w:rPr>
      </w:pPr>
      <w:r>
        <w:rPr>
          <w:rFonts w:ascii="Arial" w:cs="Arial" w:eastAsia="Arial" w:hAnsi="Arial"/>
          <w:sz w:val="18"/>
          <w:szCs w:val="18"/>
          <w:color w:val="auto"/>
        </w:rPr>
        <w:t>In connection with the Annual Report of Arcturus Therapeutics Holdings Inc. (the “Company”) on Form 10-K for the fiscal year ended December 31, 2020 (the “Report”), I, Joseph E. Payne, President, Chief Executive Officer and Director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860" w:hanging="276"/>
        <w:spacing w:after="0"/>
        <w:tabs>
          <w:tab w:leader="none" w:pos="8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520" w:type="dxa"/>
            <w:vAlign w:val="bottom"/>
          </w:tcPr>
          <w:p>
            <w:pPr>
              <w:spacing w:after="0"/>
              <w:rPr>
                <w:sz w:val="20"/>
                <w:szCs w:val="20"/>
                <w:color w:val="auto"/>
              </w:rPr>
            </w:pPr>
            <w:r>
              <w:rPr>
                <w:rFonts w:ascii="Arial" w:cs="Arial" w:eastAsia="Arial" w:hAnsi="Arial"/>
                <w:sz w:val="18"/>
                <w:szCs w:val="18"/>
                <w:color w:val="auto"/>
              </w:rPr>
              <w:t>Date: March 1, 2021</w:t>
            </w:r>
          </w:p>
        </w:tc>
        <w:tc>
          <w:tcPr>
            <w:tcW w:w="2320" w:type="dxa"/>
            <w:vAlign w:val="bottom"/>
          </w:tcPr>
          <w:p>
            <w:pPr>
              <w:ind w:left="206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218"/>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In connection with the Annual Report of Arcturus Therapeutics Holdings Inc. (the “Company”) on Form 10-K for the fiscal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2020 (the “Report”), I, Andrew Sassine, Chief Financial Officer and Director of the Company, hereby certify, pursuant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18 U.S.C. Section 1350, as adopted pursuant to Section 906 of the Sarbanes-Oxley Act of 2002, that, to my knowledge:</w:t>
      </w:r>
    </w:p>
    <w:p>
      <w:pPr>
        <w:spacing w:after="0" w:line="213" w:lineRule="exact"/>
        <w:rPr>
          <w:sz w:val="20"/>
          <w:szCs w:val="20"/>
          <w:color w:val="auto"/>
        </w:rPr>
      </w:pPr>
    </w:p>
    <w:p>
      <w:pPr>
        <w:ind w:left="860" w:hanging="276"/>
        <w:spacing w:after="0"/>
        <w:tabs>
          <w:tab w:leader="none" w:pos="8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spacing w:after="0"/>
              <w:rPr>
                <w:sz w:val="20"/>
                <w:szCs w:val="20"/>
                <w:color w:val="auto"/>
              </w:rPr>
            </w:pPr>
            <w:r>
              <w:rPr>
                <w:rFonts w:ascii="Arial" w:cs="Arial" w:eastAsia="Arial" w:hAnsi="Arial"/>
                <w:sz w:val="18"/>
                <w:szCs w:val="18"/>
                <w:color w:val="auto"/>
              </w:rPr>
              <w:t>Date: March 1, 2021</w:t>
            </w:r>
          </w:p>
        </w:tc>
        <w:tc>
          <w:tcPr>
            <w:tcW w:w="2320" w:type="dxa"/>
            <w:vAlign w:val="bottom"/>
          </w:tcPr>
          <w:p>
            <w:pPr>
              <w:ind w:left="206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Andrew Sassine</w:t>
            </w:r>
          </w:p>
        </w:tc>
      </w:tr>
      <w:tr>
        <w:trPr>
          <w:trHeight w:val="218"/>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440" w:firstLine="288"/>
        <w:spacing w:after="0" w:line="246" w:lineRule="auto"/>
        <w:rPr>
          <w:sz w:val="20"/>
          <w:szCs w:val="20"/>
          <w:color w:val="auto"/>
        </w:rPr>
      </w:pPr>
      <w:r>
        <w:rPr>
          <w:rFonts w:ascii="Arial" w:cs="Arial" w:eastAsia="Arial" w:hAnsi="Arial"/>
          <w:sz w:val="20"/>
          <w:szCs w:val="20"/>
          <w:color w:val="auto"/>
        </w:rPr>
        <w:t>In connection with the Annual Report of Arcturus Therapeutics Holdings Inc. (the “Company”) on Form 10-K for the fiscal year ended December 31, 2020 (the “Report”), I, Keith C. Kummerfeld, Vice President of Finance and Corporate Controller of the Company, hereby certify, pursuant to 18 U.S.C. Section 1350, as adopted pursuant to Section 906 of the Sarbanes-Oxley Act of 2002, that, to my knowledge:</w:t>
      </w:r>
    </w:p>
    <w:p>
      <w:pPr>
        <w:spacing w:after="0" w:line="205" w:lineRule="exact"/>
        <w:rPr>
          <w:sz w:val="20"/>
          <w:szCs w:val="20"/>
          <w:color w:val="auto"/>
        </w:rPr>
      </w:pPr>
    </w:p>
    <w:p>
      <w:pPr>
        <w:ind w:left="860" w:hanging="276"/>
        <w:spacing w:after="0"/>
        <w:tabs>
          <w:tab w:leader="none" w:pos="8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0" w:lineRule="exact"/>
        <w:rPr>
          <w:rFonts w:ascii="Arial" w:cs="Arial" w:eastAsia="Arial" w:hAnsi="Arial"/>
          <w:sz w:val="19"/>
          <w:szCs w:val="19"/>
          <w:color w:val="auto"/>
        </w:rPr>
      </w:pPr>
    </w:p>
    <w:p>
      <w:pPr>
        <w:ind w:right="40" w:firstLine="584"/>
        <w:spacing w:after="0" w:line="260" w:lineRule="auto"/>
        <w:tabs>
          <w:tab w:leader="none" w:pos="856"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520" w:type="dxa"/>
            <w:vAlign w:val="bottom"/>
          </w:tcPr>
          <w:p>
            <w:pPr>
              <w:spacing w:after="0"/>
              <w:rPr>
                <w:sz w:val="20"/>
                <w:szCs w:val="20"/>
                <w:color w:val="auto"/>
              </w:rPr>
            </w:pPr>
            <w:r>
              <w:rPr>
                <w:rFonts w:ascii="Arial" w:cs="Arial" w:eastAsia="Arial" w:hAnsi="Arial"/>
                <w:sz w:val="18"/>
                <w:szCs w:val="18"/>
                <w:color w:val="auto"/>
              </w:rPr>
              <w:t>Date: March 1, 2021</w:t>
            </w:r>
          </w:p>
        </w:tc>
        <w:tc>
          <w:tcPr>
            <w:tcW w:w="2320" w:type="dxa"/>
            <w:vAlign w:val="bottom"/>
          </w:tcPr>
          <w:p>
            <w:pPr>
              <w:ind w:left="2060"/>
              <w:spacing w:after="0"/>
              <w:rPr>
                <w:sz w:val="20"/>
                <w:szCs w:val="20"/>
                <w:color w:val="auto"/>
              </w:rPr>
            </w:pPr>
            <w:r>
              <w:rPr>
                <w:rFonts w:ascii="Arial" w:cs="Arial" w:eastAsia="Arial" w:hAnsi="Arial"/>
                <w:sz w:val="18"/>
                <w:szCs w:val="18"/>
                <w:color w:val="auto"/>
                <w:w w:val="92"/>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218"/>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lowerRoman"/>
      <w:start w:val="1"/>
    </w:lvl>
  </w:abstractNum>
  <w:abstractNum w:abstractNumId="45">
    <w:nsid w:val="10233C99"/>
    <w:multiLevelType w:val="hybridMultilevel"/>
    <w:lvl w:ilvl="0">
      <w:lvlJc w:val="left"/>
      <w:lvlText w:val="%1"/>
      <w:numFmt w:val="lowerLetter"/>
      <w:start w:val="1"/>
    </w:lvl>
    <w:lvl w:ilvl="1">
      <w:lvlJc w:val="left"/>
      <w:lvlText w:val="(%2)"/>
      <w:numFmt w:val="decimal"/>
      <w:start w:val="1"/>
    </w:lvl>
  </w:abstractNum>
  <w:abstractNum w:abstractNumId="46">
    <w:nsid w:val="3F6AB60F"/>
    <w:multiLevelType w:val="hybridMultilevel"/>
    <w:lvl w:ilvl="0">
      <w:lvlJc w:val="left"/>
      <w:lvlText w:val="(%1)"/>
      <w:numFmt w:val="lowerLetter"/>
      <w:start w:val="2"/>
    </w:lvl>
    <w:lvl w:ilvl="1">
      <w:lvlJc w:val="left"/>
      <w:lvlText w:val="%2"/>
      <w:numFmt w:val="decimal"/>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606"/>
    </w:lvl>
  </w:abstractNum>
  <w:abstractNum w:abstractNumId="51">
    <w:nsid w:val="310C50B3"/>
    <w:multiLevelType w:val="hybridMultilevel"/>
    <w:lvl w:ilvl="0">
      <w:lvlJc w:val="left"/>
      <w:lvlText w:val="(%1)"/>
      <w:numFmt w:val="lowerRoman"/>
      <w:start w:val="2"/>
    </w:lvl>
  </w:abstractNum>
  <w:abstractNum w:abstractNumId="52">
    <w:nsid w:val="5FF87E05"/>
    <w:multiLevelType w:val="hybridMultilevel"/>
    <w:lvl w:ilvl="0">
      <w:lvlJc w:val="left"/>
      <w:lvlText w:val="%1."/>
      <w:numFmt w:val="upperLetter"/>
      <w:start w:val="1"/>
    </w:lvl>
  </w:abstractNum>
  <w:abstractNum w:abstractNumId="53">
    <w:nsid w:val="2F305DEF"/>
    <w:multiLevelType w:val="hybridMultilevel"/>
    <w:lvl w:ilvl="0">
      <w:lvlJc w:val="left"/>
      <w:lvlText w:val="%1."/>
      <w:numFmt w:val="decimal"/>
      <w:start w:val="1"/>
    </w:lvl>
    <w:lvl w:ilvl="1">
      <w:lvlJc w:val="left"/>
      <w:lvlText w:val="(%2)"/>
      <w:numFmt w:val="lowerLetter"/>
      <w:start w:val="1"/>
    </w:lvl>
  </w:abstractNum>
  <w:abstractNum w:abstractNumId="54">
    <w:nsid w:val="25A70BF7"/>
    <w:multiLevelType w:val="hybridMultilevel"/>
    <w:lvl w:ilvl="0">
      <w:lvlJc w:val="left"/>
      <w:lvlText w:val="%1"/>
      <w:numFmt w:val="decimal"/>
      <w:start w:val="1"/>
    </w:lvl>
    <w:lvl w:ilvl="1">
      <w:lvlJc w:val="left"/>
      <w:lvlText w:val="(%2)"/>
      <w:numFmt w:val="lowerLetter"/>
      <w:start w:val="4"/>
    </w:lvl>
  </w:abstractNum>
  <w:abstractNum w:abstractNumId="55">
    <w:nsid w:val="1DBABF00"/>
    <w:multiLevelType w:val="hybridMultilevel"/>
    <w:lvl w:ilvl="0">
      <w:lvlJc w:val="left"/>
      <w:lvlText w:val="%1."/>
      <w:numFmt w:val="decimal"/>
      <w:start w:val="2"/>
    </w:lvl>
    <w:lvl w:ilvl="1">
      <w:lvlJc w:val="left"/>
      <w:lvlText w:val="(%2)"/>
      <w:numFmt w:val="lowerLetter"/>
      <w:start w:val="1"/>
    </w:lvl>
  </w:abstractNum>
  <w:abstractNum w:abstractNumId="56">
    <w:nsid w:val="4AD084E9"/>
    <w:multiLevelType w:val="hybridMultilevel"/>
    <w:lvl w:ilvl="0">
      <w:lvlJc w:val="left"/>
      <w:lvlText w:val="(%1)"/>
      <w:numFmt w:val="lowerLetter"/>
      <w:start w:val="6"/>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upperLetter"/>
      <w:start w:val="1"/>
    </w:lvl>
  </w:abstractNum>
  <w:abstractNum w:abstractNumId="59">
    <w:nsid w:val="5DB70AE5"/>
    <w:multiLevelType w:val="hybridMultilevel"/>
    <w:lvl w:ilvl="0">
      <w:lvlJc w:val="left"/>
      <w:lvlText w:val="(%1)"/>
      <w:numFmt w:val="lowerLetter"/>
      <w:start w:val="1"/>
    </w:lvl>
    <w:lvl w:ilvl="1">
      <w:lvlJc w:val="left"/>
      <w:lvlText w:val="(%2)"/>
      <w:numFmt w:val="lowerLetter"/>
      <w:start w:val="2"/>
    </w:lvl>
  </w:abstractNum>
  <w:abstractNum w:abstractNumId="60">
    <w:nsid w:val="100F8FCA"/>
    <w:multiLevelType w:val="hybridMultilevel"/>
    <w:lvl w:ilvl="0">
      <w:lvlJc w:val="left"/>
      <w:lvlText w:val="(%1)"/>
      <w:numFmt w:val="lowerLetter"/>
      <w:start w:val="3"/>
    </w:lvl>
  </w:abstractNum>
  <w:abstractNum w:abstractNumId="61">
    <w:nsid w:val="6590700B"/>
    <w:multiLevelType w:val="hybridMultilevel"/>
    <w:lvl w:ilvl="0">
      <w:lvlJc w:val="left"/>
      <w:lvlText w:val="(%1)"/>
      <w:numFmt w:val="lowerLetter"/>
      <w:start w:val="4"/>
    </w:lvl>
  </w:abstractNum>
  <w:abstractNum w:abstractNumId="62">
    <w:nsid w:val="15014ACB"/>
    <w:multiLevelType w:val="hybridMultilevel"/>
    <w:lvl w:ilvl="0">
      <w:lvlJc w:val="left"/>
      <w:lvlText w:val="(%1)"/>
      <w:numFmt w:val="lowerLetter"/>
      <w:start w:val="5"/>
    </w:lvl>
  </w:abstractNum>
  <w:abstractNum w:abstractNumId="63">
    <w:nsid w:val="5F5E7FD0"/>
    <w:multiLevelType w:val="hybridMultilevel"/>
    <w:lvl w:ilvl="0">
      <w:lvlJc w:val="left"/>
      <w:lvlText w:val="%1."/>
      <w:numFmt w:val="decimal"/>
      <w:start w:val="2"/>
    </w:lvl>
  </w:abstractNum>
  <w:abstractNum w:abstractNumId="64">
    <w:nsid w:val="98A3148"/>
    <w:multiLevelType w:val="hybridMultilevel"/>
    <w:lvl w:ilvl="0">
      <w:lvlJc w:val="left"/>
      <w:lvlText w:val="(%1)"/>
      <w:numFmt w:val="lowerLetter"/>
      <w:start w:val="1"/>
    </w:lvl>
    <w:lvl w:ilvl="1">
      <w:lvlJc w:val="left"/>
      <w:lvlText w:val="(%2)"/>
      <w:numFmt w:val="lowerLetter"/>
      <w:start w:val="2"/>
    </w:lvl>
  </w:abstractNum>
  <w:abstractNum w:abstractNumId="65">
    <w:nsid w:val="799D0247"/>
    <w:multiLevelType w:val="hybridMultilevel"/>
    <w:lvl w:ilvl="0">
      <w:lvlJc w:val="left"/>
      <w:lvlText w:val="(%1)"/>
      <w:numFmt w:val="lowerLetter"/>
      <w:start w:val="3"/>
    </w:lvl>
  </w:abstractNum>
  <w:abstractNum w:abstractNumId="66">
    <w:nsid w:val="6B94764"/>
    <w:multiLevelType w:val="hybridMultilevel"/>
    <w:lvl w:ilvl="0">
      <w:lvlJc w:val="left"/>
      <w:lvlText w:val="(%1)"/>
      <w:numFmt w:val="lowerLetter"/>
      <w:start w:val="4"/>
    </w:lvl>
    <w:lvl w:ilvl="1">
      <w:lvlJc w:val="left"/>
      <w:lvlText w:val="(%2)"/>
      <w:numFmt w:val="lowerLetter"/>
      <w:start w:val="5"/>
    </w:lvl>
  </w:abstractNum>
  <w:abstractNum w:abstractNumId="67">
    <w:nsid w:val="42C296BD"/>
    <w:multiLevelType w:val="hybridMultilevel"/>
    <w:lvl w:ilvl="0">
      <w:lvlJc w:val="left"/>
      <w:lvlText w:val="(%1)"/>
      <w:numFmt w:val="lowerLetter"/>
      <w:start w:val="6"/>
    </w:lvl>
  </w:abstractNum>
  <w:abstractNum w:abstractNumId="68">
    <w:nsid w:val="168E121F"/>
    <w:multiLevelType w:val="hybridMultilevel"/>
    <w:lvl w:ilvl="0">
      <w:lvlJc w:val="left"/>
      <w:lvlText w:val="(%1)"/>
      <w:numFmt w:val="lowerLetter"/>
      <w:start w:val="7"/>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jpeg"/><Relationship Id="rId188" Type="http://schemas.openxmlformats.org/officeDocument/2006/relationships/image" Target="media/image150.png"/><Relationship Id="rId189" Type="http://schemas.openxmlformats.org/officeDocument/2006/relationships/image" Target="media/image151.jpeg"/><Relationship Id="rId190" Type="http://schemas.openxmlformats.org/officeDocument/2006/relationships/image" Target="media/image152.png"/><Relationship Id="rId191" Type="http://schemas.openxmlformats.org/officeDocument/2006/relationships/image" Target="media/image153.jpe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jpeg"/><Relationship Id="rId196" Type="http://schemas.openxmlformats.org/officeDocument/2006/relationships/image" Target="media/image158.png"/><Relationship Id="rId197" Type="http://schemas.openxmlformats.org/officeDocument/2006/relationships/image" Target="media/image159.jpeg"/><Relationship Id="rId198" Type="http://schemas.openxmlformats.org/officeDocument/2006/relationships/image" Target="media/image160.png"/><Relationship Id="rId199" Type="http://schemas.openxmlformats.org/officeDocument/2006/relationships/image" Target="media/image161.jpeg"/><Relationship Id="rId200" Type="http://schemas.openxmlformats.org/officeDocument/2006/relationships/image" Target="media/image162.png"/><Relationship Id="rId201" Type="http://schemas.openxmlformats.org/officeDocument/2006/relationships/image" Target="media/image163.jpe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jpeg"/><Relationship Id="rId116" Type="http://schemas.openxmlformats.org/officeDocument/2006/relationships/hyperlink" Target="http://www.sec.gov/Archives/edgar/data/0001768224/000119380520001508/e620125_ex1-1.htm" TargetMode="External"/><Relationship Id="rId117" Type="http://schemas.openxmlformats.org/officeDocument/2006/relationships/hyperlink" Target="http://www.sec.gov/Archives/edgar/data/0001566049/000119312519077140/d721306ds4.htm" TargetMode="External"/><Relationship Id="rId118" Type="http://schemas.openxmlformats.org/officeDocument/2006/relationships/hyperlink" Target="http://www.sec.gov/Archives/edgar/data/0001768224/000119380520001470/e620104_ex3-1.htm" TargetMode="External"/><Relationship Id="rId119" Type="http://schemas.openxmlformats.org/officeDocument/2006/relationships/hyperlink" Target="http://www.sec.gov/Archives/edgar/data/0001768224/000119380520000569/e619613_ex3-2.htm" TargetMode="External"/><Relationship Id="rId120" Type="http://schemas.openxmlformats.org/officeDocument/2006/relationships/hyperlink" Target="http://www.sec.gov/Archives/edgar/data/0001768224/000119312519259220/d781986ddef14a.htm" TargetMode="External"/><Relationship Id="rId121" Type="http://schemas.openxmlformats.org/officeDocument/2006/relationships/hyperlink" Target="http://www.sec.gov/Archives/edgar/data/0001566049/000119380518001024/e618195_ex99-2.htm" TargetMode="External"/><Relationship Id="rId122" Type="http://schemas.openxmlformats.org/officeDocument/2006/relationships/hyperlink" Target="http://www.sec.gov/Archives/edgar/data/0001566049/000156459018024268/arct-ex101_7.htm" TargetMode="External"/><Relationship Id="rId123" Type="http://schemas.openxmlformats.org/officeDocument/2006/relationships/hyperlink" Target="http://www.sec.gov/Archives/edgar/data/0001566049/000156459018023735/arct-ex992_6.htm" TargetMode="External"/><Relationship Id="rId124" Type="http://schemas.openxmlformats.org/officeDocument/2006/relationships/hyperlink" Target="http://www.sec.gov/Archives/edgar/data/0001566049/000156459018013460/arct-ex47_880.htm" TargetMode="External"/><Relationship Id="rId125" Type="http://schemas.openxmlformats.org/officeDocument/2006/relationships/hyperlink" Target="http://www.sec.gov/Archives/edgar/data/0001566049/000156459018013460/arct-ex48_879.htm" TargetMode="External"/><Relationship Id="rId126" Type="http://schemas.openxmlformats.org/officeDocument/2006/relationships/hyperlink" Target="http://www.sec.gov/Archives/edgar/data/0001566049/000156459018013460/arct-ex49_884.htm" TargetMode="External"/><Relationship Id="rId127" Type="http://schemas.openxmlformats.org/officeDocument/2006/relationships/hyperlink" Target="http://www.sec.gov/Archives/edgar/data/0001566049/000156459018013460/arct-ex410_883.htm" TargetMode="External"/><Relationship Id="rId130" Type="http://schemas.openxmlformats.org/officeDocument/2006/relationships/hyperlink" Target="http://www.sec.gov/Archives/edgar/data/0001566049/000119312519176908/d721252dex102.htm" TargetMode="External"/><Relationship Id="rId131" Type="http://schemas.openxmlformats.org/officeDocument/2006/relationships/hyperlink" Target="http://www.sec.gov/Archives/edgar/data/0001566049/000156459018013460/arct-ex411_878.htm" TargetMode="External"/><Relationship Id="rId132" Type="http://schemas.openxmlformats.org/officeDocument/2006/relationships/hyperlink" Target="http://www.sec.gov/Archives/edgar/data/0001768224/000156459019032166/arct-ex1016_165.htm" TargetMode="External"/><Relationship Id="rId133" Type="http://schemas.openxmlformats.org/officeDocument/2006/relationships/hyperlink" Target="http://www.sec.gov/Archives/edgar/data/0001566049/000156459018013460/arct-ex412_1677.htm" TargetMode="External"/><Relationship Id="rId134" Type="http://schemas.openxmlformats.org/officeDocument/2006/relationships/hyperlink" Target="http://www.sec.gov/Archives/edgar/data/0001768224/000156459019032166/arct-ex1020_166.htm" TargetMode="External"/><Relationship Id="rId135" Type="http://schemas.openxmlformats.org/officeDocument/2006/relationships/hyperlink" Target="http://www.sec.gov/Archives/edgar/data/0001566049/000156459018013460/arct-ex413_1676.htm" TargetMode="External"/><Relationship Id="rId136" Type="http://schemas.openxmlformats.org/officeDocument/2006/relationships/hyperlink" Target="http://www.sec.gov/Archives/edgar/data/0001768224/000156459019032166/arct-ex1021_167.htm" TargetMode="External"/><Relationship Id="rId137" Type="http://schemas.openxmlformats.org/officeDocument/2006/relationships/hyperlink" Target="http://www.sec.gov/Archives/edgar/data/0001566049/000156459018016705/arct-ex414_7.htm" TargetMode="External"/><Relationship Id="rId138" Type="http://schemas.openxmlformats.org/officeDocument/2006/relationships/hyperlink" Target="http://www.sec.gov/Archives/edgar/data/0001566049/000156459018013460/arct-ex415_876.htm" TargetMode="External"/><Relationship Id="rId139" Type="http://schemas.openxmlformats.org/officeDocument/2006/relationships/hyperlink" Target="http://www.sec.gov/Archives/edgar/data/0001566049/000156459019008092/arct-ex1013_446.htm" TargetMode="External"/><Relationship Id="rId140" Type="http://schemas.openxmlformats.org/officeDocument/2006/relationships/hyperlink" Target="http://www.sec.gov/Archives/edgar/data/0001566049/000156459019008092/arct-ex1014_583.htm" TargetMode="External"/><Relationship Id="rId141" Type="http://schemas.openxmlformats.org/officeDocument/2006/relationships/hyperlink" Target="http://www.sec.gov/Archives/edgar/data/0001566049/000156459019008092/arct-ex1015_582.htm" TargetMode="External"/><Relationship Id="rId142" Type="http://schemas.openxmlformats.org/officeDocument/2006/relationships/hyperlink" Target="http://www.sec.gov/Archives/edgar/data/0001566049/000156459018013460/arct-ex46_882.htm" TargetMode="External"/><Relationship Id="rId145" Type="http://schemas.openxmlformats.org/officeDocument/2006/relationships/hyperlink" Target="http://www.sec.gov/Archives/edgar/data/0001768224/000156459020011037/arct-ex1023_426.htm" TargetMode="External"/><Relationship Id="rId146" Type="http://schemas.openxmlformats.org/officeDocument/2006/relationships/hyperlink" Target="http://www.sec.gov/Archives/edgar/data/0001768224/000156459020011037/arct-ex1024_365.htm" TargetMode="External"/><Relationship Id="rId147" Type="http://schemas.openxmlformats.org/officeDocument/2006/relationships/hyperlink" Target="http://www.sec.gov/Archives/edgar/data/0001768224/000156459020052527/arct-ex1032_97.htm" TargetMode="External"/><Relationship Id="rId148" Type="http://schemas.openxmlformats.org/officeDocument/2006/relationships/hyperlink" Target="http://www.sec.gov/Archives/edgar/data/0001768224/000156459020052527/arct-ex1033_98.htm" TargetMode="External"/><Relationship Id="rId149" Type="http://schemas.openxmlformats.org/officeDocument/2006/relationships/hyperlink" Target="http://www.sec.gov/Archives/edgar/data/0001768224/000119380520001498/e620119_ex10-1.htm" TargetMode="External"/><Relationship Id="rId150" Type="http://schemas.openxmlformats.org/officeDocument/2006/relationships/hyperlink" Target="http://www.sec.gov/Archives/edgar/data/0001768224/000119380520000940/e619825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2021-03-01T15:50:29Z</dcterms:created>
  <dcterms:modified xsi:type="dcterms:W3CDTF">2021-03-01T15:50:29Z</dcterms:modified>
</cp:coreProperties>
</file>