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14,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680" w:type="dxa"/>
            <w:vAlign w:val="bottom"/>
          </w:tcPr>
          <w:p>
            <w:pPr>
              <w:jc w:val="center"/>
              <w:ind w:right="550"/>
              <w:spacing w:after="0"/>
              <w:rPr>
                <w:sz w:val="20"/>
                <w:szCs w:val="20"/>
                <w:color w:val="auto"/>
              </w:rPr>
            </w:pPr>
            <w:r>
              <w:rPr>
                <w:rFonts w:ascii="Arial" w:cs="Arial" w:eastAsia="Arial" w:hAnsi="Arial"/>
                <w:sz w:val="18"/>
                <w:szCs w:val="18"/>
                <w:b w:val="1"/>
                <w:bCs w:val="1"/>
                <w:color w:val="auto"/>
                <w:w w:val="91"/>
              </w:rPr>
              <w:t>Delaware</w:t>
            </w:r>
          </w:p>
        </w:tc>
        <w:tc>
          <w:tcPr>
            <w:tcW w:w="43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001-38942</w:t>
            </w:r>
          </w:p>
        </w:tc>
        <w:tc>
          <w:tcPr>
            <w:tcW w:w="2200" w:type="dxa"/>
            <w:vAlign w:val="bottom"/>
          </w:tcPr>
          <w:p>
            <w:pPr>
              <w:jc w:val="center"/>
              <w:ind w:left="690"/>
              <w:spacing w:after="0"/>
              <w:rPr>
                <w:sz w:val="20"/>
                <w:szCs w:val="20"/>
                <w:color w:val="auto"/>
              </w:rPr>
            </w:pPr>
            <w:r>
              <w:rPr>
                <w:rFonts w:ascii="Arial" w:cs="Arial" w:eastAsia="Arial" w:hAnsi="Arial"/>
                <w:sz w:val="18"/>
                <w:szCs w:val="18"/>
                <w:b w:val="1"/>
                <w:bCs w:val="1"/>
                <w:color w:val="auto"/>
                <w:w w:val="89"/>
              </w:rPr>
              <w:t>32-0595345</w:t>
            </w:r>
          </w:p>
        </w:tc>
      </w:tr>
      <w:tr>
        <w:trPr>
          <w:trHeight w:val="216"/>
        </w:trPr>
        <w:tc>
          <w:tcPr>
            <w:tcW w:w="2680" w:type="dxa"/>
            <w:vAlign w:val="bottom"/>
          </w:tcPr>
          <w:p>
            <w:pPr>
              <w:jc w:val="center"/>
              <w:ind w:right="530"/>
              <w:spacing w:after="0"/>
              <w:rPr>
                <w:sz w:val="20"/>
                <w:szCs w:val="20"/>
                <w:color w:val="auto"/>
              </w:rPr>
            </w:pPr>
            <w:r>
              <w:rPr>
                <w:rFonts w:ascii="Arial" w:cs="Arial" w:eastAsia="Arial" w:hAnsi="Arial"/>
                <w:sz w:val="18"/>
                <w:szCs w:val="18"/>
                <w:b w:val="1"/>
                <w:bCs w:val="1"/>
                <w:color w:val="auto"/>
                <w:w w:val="91"/>
              </w:rPr>
              <w:t>(State or other jurisdiction</w:t>
            </w:r>
          </w:p>
        </w:tc>
        <w:tc>
          <w:tcPr>
            <w:tcW w:w="43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2200" w:type="dxa"/>
            <w:vAlign w:val="bottom"/>
          </w:tcPr>
          <w:p>
            <w:pPr>
              <w:jc w:val="center"/>
              <w:ind w:left="6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80" w:type="dxa"/>
            <w:vAlign w:val="bottom"/>
          </w:tcPr>
          <w:p>
            <w:pPr>
              <w:jc w:val="center"/>
              <w:ind w:right="550"/>
              <w:spacing w:after="0"/>
              <w:rPr>
                <w:sz w:val="20"/>
                <w:szCs w:val="20"/>
                <w:color w:val="auto"/>
              </w:rPr>
            </w:pPr>
            <w:r>
              <w:rPr>
                <w:rFonts w:ascii="Arial" w:cs="Arial" w:eastAsia="Arial" w:hAnsi="Arial"/>
                <w:sz w:val="18"/>
                <w:szCs w:val="18"/>
                <w:b w:val="1"/>
                <w:bCs w:val="1"/>
                <w:color w:val="auto"/>
                <w:w w:val="91"/>
              </w:rPr>
              <w:t>of incorporation)</w:t>
            </w:r>
          </w:p>
        </w:tc>
        <w:tc>
          <w:tcPr>
            <w:tcW w:w="43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2200" w:type="dxa"/>
            <w:vAlign w:val="bottom"/>
          </w:tcPr>
          <w:p>
            <w:pPr>
              <w:jc w:val="center"/>
              <w:ind w:left="690"/>
              <w:spacing w:after="0"/>
              <w:rPr>
                <w:sz w:val="20"/>
                <w:szCs w:val="20"/>
                <w:color w:val="auto"/>
              </w:rPr>
            </w:pPr>
            <w:r>
              <w:rPr>
                <w:rFonts w:ascii="Arial" w:cs="Arial" w:eastAsia="Arial" w:hAnsi="Arial"/>
                <w:sz w:val="18"/>
                <w:szCs w:val="18"/>
                <w:b w:val="1"/>
                <w:bCs w:val="1"/>
                <w:color w:val="auto"/>
                <w:w w:val="93"/>
              </w:rPr>
              <w:t>Identification No.)</w:t>
            </w:r>
          </w:p>
        </w:tc>
      </w:tr>
      <w:tr>
        <w:trPr>
          <w:trHeight w:val="441"/>
        </w:trPr>
        <w:tc>
          <w:tcPr>
            <w:tcW w:w="2680" w:type="dxa"/>
            <w:vAlign w:val="bottom"/>
          </w:tcPr>
          <w:p>
            <w:pPr>
              <w:spacing w:after="0"/>
              <w:rPr>
                <w:sz w:val="24"/>
                <w:szCs w:val="24"/>
                <w:color w:val="auto"/>
              </w:rPr>
            </w:pPr>
          </w:p>
        </w:tc>
        <w:tc>
          <w:tcPr>
            <w:tcW w:w="43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10628 Science Center Drive, Suite 250</w:t>
            </w:r>
          </w:p>
        </w:tc>
        <w:tc>
          <w:tcPr>
            <w:tcW w:w="2200" w:type="dxa"/>
            <w:vAlign w:val="bottom"/>
          </w:tcPr>
          <w:p>
            <w:pPr>
              <w:spacing w:after="0"/>
              <w:rPr>
                <w:sz w:val="24"/>
                <w:szCs w:val="24"/>
                <w:color w:val="auto"/>
              </w:rPr>
            </w:pPr>
          </w:p>
        </w:tc>
      </w:tr>
      <w:tr>
        <w:trPr>
          <w:trHeight w:val="216"/>
        </w:trPr>
        <w:tc>
          <w:tcPr>
            <w:tcW w:w="2680" w:type="dxa"/>
            <w:vAlign w:val="bottom"/>
          </w:tcPr>
          <w:p>
            <w:pPr>
              <w:spacing w:after="0"/>
              <w:rPr>
                <w:sz w:val="18"/>
                <w:szCs w:val="18"/>
                <w:color w:val="auto"/>
              </w:rPr>
            </w:pPr>
          </w:p>
        </w:tc>
        <w:tc>
          <w:tcPr>
            <w:tcW w:w="43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San Diego, California 92121</w:t>
            </w:r>
          </w:p>
        </w:tc>
        <w:tc>
          <w:tcPr>
            <w:tcW w:w="2200" w:type="dxa"/>
            <w:vAlign w:val="bottom"/>
          </w:tcPr>
          <w:p>
            <w:pPr>
              <w:spacing w:after="0"/>
              <w:rPr>
                <w:sz w:val="18"/>
                <w:szCs w:val="18"/>
                <w:color w:val="auto"/>
              </w:rPr>
            </w:pPr>
          </w:p>
        </w:tc>
      </w:tr>
      <w:tr>
        <w:trPr>
          <w:trHeight w:val="234"/>
        </w:trPr>
        <w:tc>
          <w:tcPr>
            <w:tcW w:w="2680" w:type="dxa"/>
            <w:vAlign w:val="bottom"/>
          </w:tcPr>
          <w:p>
            <w:pPr>
              <w:spacing w:after="0"/>
              <w:rPr>
                <w:sz w:val="20"/>
                <w:szCs w:val="20"/>
                <w:color w:val="auto"/>
              </w:rPr>
            </w:pPr>
          </w:p>
        </w:tc>
        <w:tc>
          <w:tcPr>
            <w:tcW w:w="43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2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900-2660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14"/>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8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3"/>
              </w:rPr>
              <w:t>Trading</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0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278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Symbol(s)</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b w:val="1"/>
                <w:bCs w:val="1"/>
                <w:color w:val="auto"/>
                <w:w w:val="99"/>
              </w:rPr>
              <w:t>ARCT</w:t>
            </w:r>
          </w:p>
        </w:tc>
        <w:tc>
          <w:tcPr>
            <w:tcW w:w="12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r>
        <w:rPr>
          <w:rFonts w:ascii="Arial" w:cs="Arial" w:eastAsia="Arial" w:hAnsi="Arial"/>
          <w:sz w:val="18"/>
          <w:szCs w:val="18"/>
          <w:color w:val="auto"/>
        </w:rPr>
        <w:t>.</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October 14, 2020, Arcturus Therapeutics Holdings Inc., or the Company, received a non-refundable First Reserve Payment of $12.5 million USD from the Israeli Ministry of Health, or MOH. This First Reserve Payment of $12.5 million USD is associated with a specified clinical trial milestone, and was provided after a data review process during which the MOH had access to material preclinical and clinical data for the Company’s COVID-19 vaccine candidate, ARCT-021. This payment serves as an initial reserve payment for a specified number of doses of ARCT-021 pursuant to a Supply Agreement executed by the Company and the MOH on August 17, 2020. As a result of the making of this payment, the MOH has become bound to purchase the reserved vaccine doses, as defined in and subject to the terms and conditions of the Supply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No.  Description of Exhibit</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to this Current Report on Form 8-K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October 14, 2020</w:t>
      </w:r>
    </w:p>
    <w:p>
      <w:pPr>
        <w:spacing w:after="0" w:line="211"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2020-10-15T05:39:01Z</dcterms:created>
  <dcterms:modified xsi:type="dcterms:W3CDTF">2020-10-15T05:39:01Z</dcterms:modified>
</cp:coreProperties>
</file>