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539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5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9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9"/>
                </w:rPr>
                <w:t>Arcturus Therapeutics</w:t>
              </w:r>
            </w:hyperlink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Holdings Inc.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02/09/2021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Vallon Pharmaceuticals,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VLON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5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VALLON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PHARMACEUTICALS, INC.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100 N. 18TH STREET, SUITE 300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2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PHILADELPHIA PA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19103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62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843,750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3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3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3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-1388110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40" w:right="240"/>
        <w:spacing w:after="0" w:line="2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securities are held in the name of Arcturus Therapeutics, Inc., a wholly-owned subsidiary of the Reporting Person. Arcturus Therapeutics, Inc. became the stockholder of record of the securities in connection with the liquidation of Arcturus Therapeutics, Ltd. as a result of the redomiciliation of Arcturus Therapeutics, Ltd. from Israel to the United States.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Ilan Katz, attorney-in-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02/09/2021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768224" TargetMode="External"/><Relationship Id="rId11" Type="http://schemas.openxmlformats.org/officeDocument/2006/relationships/hyperlink" Target="http://www.sec.gov/cgi-bin/browse-edgar?action=getcompany&amp;CIK=00018242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2021-02-10T07:32:42Z</dcterms:created>
  <dcterms:modified xsi:type="dcterms:W3CDTF">2021-02-10T07:32:42Z</dcterms:modified>
</cp:coreProperties>
</file>