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9"/>
          <w:szCs w:val="19"/>
          <w:b w:val="1"/>
          <w:bCs w:val="1"/>
          <w:color w:val="auto"/>
        </w:rPr>
        <w:t>UNITED STATES</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219"/>
        <w:spacing w:after="0"/>
        <w:rPr>
          <w:sz w:val="20"/>
          <w:szCs w:val="20"/>
          <w:color w:val="auto"/>
        </w:rPr>
      </w:pPr>
      <w:r>
        <w:rPr>
          <w:rFonts w:ascii="Arial" w:cs="Arial" w:eastAsia="Arial" w:hAnsi="Arial"/>
          <w:sz w:val="19"/>
          <w:szCs w:val="19"/>
          <w:b w:val="1"/>
          <w:bCs w:val="1"/>
          <w:color w:val="auto"/>
        </w:rPr>
        <w:t>WASHINGTON, DC 20549</w:t>
      </w:r>
    </w:p>
    <w:p>
      <w:pPr>
        <w:spacing w:after="0" w:line="2" w:lineRule="exact"/>
        <w:rPr>
          <w:sz w:val="24"/>
          <w:szCs w:val="24"/>
          <w:color w:val="auto"/>
        </w:rPr>
      </w:pPr>
    </w:p>
    <w:p>
      <w:pPr>
        <w:ind w:left="4900"/>
        <w:spacing w:after="0"/>
        <w:rPr>
          <w:sz w:val="20"/>
          <w:szCs w:val="20"/>
          <w:color w:val="auto"/>
        </w:rPr>
      </w:pPr>
      <w:r>
        <w:rPr>
          <w:rFonts w:ascii="Arial" w:cs="Arial" w:eastAsia="Arial" w:hAnsi="Arial"/>
          <w:sz w:val="17"/>
          <w:szCs w:val="17"/>
          <w:color w:val="auto"/>
        </w:rPr>
        <w:t>___________________</w:t>
      </w:r>
    </w:p>
    <w:p>
      <w:pPr>
        <w:spacing w:after="0" w:line="192"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FORM 8-K</w:t>
      </w:r>
    </w:p>
    <w:p>
      <w:pPr>
        <w:spacing w:after="0" w:line="29"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CURRENT REPORT</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PURSUANT TO SECTION 13 OR 15(d) OF THE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SECURITIES EXCHANGE ACT OF 1934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February 27, 2019</w:t>
      </w:r>
    </w:p>
    <w:p>
      <w:pPr>
        <w:spacing w:after="0" w:line="188" w:lineRule="exact"/>
        <w:rPr>
          <w:sz w:val="24"/>
          <w:szCs w:val="24"/>
          <w:color w:val="auto"/>
        </w:rPr>
      </w:pPr>
    </w:p>
    <w:p>
      <w:pPr>
        <w:jc w:val="center"/>
        <w:ind w:right="-219"/>
        <w:spacing w:after="0"/>
        <w:rPr>
          <w:sz w:val="20"/>
          <w:szCs w:val="20"/>
          <w:color w:val="auto"/>
        </w:rPr>
      </w:pPr>
      <w:r>
        <w:rPr>
          <w:rFonts w:ascii="Arial" w:cs="Arial" w:eastAsia="Arial" w:hAnsi="Arial"/>
          <w:sz w:val="30"/>
          <w:szCs w:val="30"/>
          <w:b w:val="1"/>
          <w:bCs w:val="1"/>
          <w:color w:val="auto"/>
        </w:rPr>
        <w:t>ARCTURUS THERAPEUTICS LTD.</w:t>
      </w:r>
    </w:p>
    <w:p>
      <w:pPr>
        <w:spacing w:after="0" w:line="41" w:lineRule="exact"/>
        <w:rPr>
          <w:sz w:val="24"/>
          <w:szCs w:val="24"/>
          <w:color w:val="auto"/>
        </w:rPr>
      </w:pPr>
    </w:p>
    <w:p>
      <w:pPr>
        <w:jc w:val="center"/>
        <w:ind w:right="-219"/>
        <w:spacing w:after="0"/>
        <w:rPr>
          <w:sz w:val="20"/>
          <w:szCs w:val="20"/>
          <w:color w:val="auto"/>
        </w:rPr>
      </w:pPr>
      <w:r>
        <w:rPr>
          <w:rFonts w:ascii="Arial" w:cs="Arial" w:eastAsia="Arial" w:hAnsi="Arial"/>
          <w:sz w:val="17"/>
          <w:szCs w:val="17"/>
          <w:color w:val="auto"/>
        </w:rPr>
        <w:t>(Exact Name of Registrant as Specified in Charter)</w:t>
      </w:r>
    </w:p>
    <w:p>
      <w:pPr>
        <w:sectPr>
          <w:pgSz w:w="11900" w:h="16838" w:orient="portrait"/>
          <w:cols w:equalWidth="0" w:num="1">
            <w:col w:w="11220"/>
          </w:cols>
          <w:pgMar w:left="240" w:top="439" w:right="439" w:bottom="1440" w:gutter="0" w:footer="0" w:header="0"/>
        </w:sectPr>
      </w:pPr>
    </w:p>
    <w:p>
      <w:pPr>
        <w:spacing w:after="0" w:line="196" w:lineRule="exact"/>
        <w:rPr>
          <w:sz w:val="24"/>
          <w:szCs w:val="24"/>
          <w:color w:val="auto"/>
        </w:rPr>
      </w:pPr>
    </w:p>
    <w:p>
      <w:pPr>
        <w:jc w:val="center"/>
        <w:ind w:right="160"/>
        <w:spacing w:after="0"/>
        <w:rPr>
          <w:sz w:val="20"/>
          <w:szCs w:val="20"/>
          <w:color w:val="auto"/>
        </w:rPr>
      </w:pPr>
      <w:r>
        <w:rPr>
          <w:rFonts w:ascii="Arial" w:cs="Arial" w:eastAsia="Arial" w:hAnsi="Arial"/>
          <w:sz w:val="17"/>
          <w:szCs w:val="17"/>
          <w:b w:val="1"/>
          <w:bCs w:val="1"/>
          <w:color w:val="auto"/>
        </w:rPr>
        <w:t>State of Israel</w:t>
      </w:r>
    </w:p>
    <w:p>
      <w:pPr>
        <w:spacing w:after="0" w:line="25" w:lineRule="exact"/>
        <w:rPr>
          <w:sz w:val="24"/>
          <w:szCs w:val="24"/>
          <w:color w:val="auto"/>
        </w:rPr>
      </w:pPr>
    </w:p>
    <w:p>
      <w:pPr>
        <w:jc w:val="center"/>
        <w:ind w:right="160"/>
        <w:spacing w:after="0"/>
        <w:rPr>
          <w:sz w:val="20"/>
          <w:szCs w:val="20"/>
          <w:color w:val="auto"/>
        </w:rPr>
      </w:pPr>
      <w:r>
        <w:rPr>
          <w:rFonts w:ascii="Arial" w:cs="Arial" w:eastAsia="Arial" w:hAnsi="Arial"/>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740"/>
        <w:spacing w:after="0"/>
        <w:rPr>
          <w:sz w:val="20"/>
          <w:szCs w:val="20"/>
          <w:color w:val="auto"/>
        </w:rPr>
      </w:pPr>
      <w:r>
        <w:rPr>
          <w:rFonts w:ascii="Arial" w:cs="Arial" w:eastAsia="Arial" w:hAnsi="Arial"/>
          <w:sz w:val="17"/>
          <w:szCs w:val="17"/>
          <w:b w:val="1"/>
          <w:bCs w:val="1"/>
          <w:color w:val="auto"/>
        </w:rPr>
        <w:t>001-35932</w:t>
      </w:r>
    </w:p>
    <w:p>
      <w:pPr>
        <w:spacing w:after="0" w:line="25" w:lineRule="exact"/>
        <w:rPr>
          <w:sz w:val="24"/>
          <w:szCs w:val="24"/>
          <w:color w:val="auto"/>
        </w:rPr>
      </w:pPr>
    </w:p>
    <w:p>
      <w:pPr>
        <w:jc w:val="center"/>
        <w:ind w:right="7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380"/>
        <w:spacing w:after="0"/>
        <w:rPr>
          <w:sz w:val="20"/>
          <w:szCs w:val="20"/>
          <w:color w:val="auto"/>
        </w:rPr>
      </w:pPr>
      <w:r>
        <w:rPr>
          <w:rFonts w:ascii="Arial" w:cs="Arial" w:eastAsia="Arial" w:hAnsi="Arial"/>
          <w:sz w:val="17"/>
          <w:szCs w:val="17"/>
          <w:b w:val="1"/>
          <w:bCs w:val="1"/>
          <w:color w:val="auto"/>
        </w:rPr>
        <w:t>Not applicable</w:t>
      </w:r>
    </w:p>
    <w:p>
      <w:pPr>
        <w:spacing w:after="0" w:line="25"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300" w:space="720"/>
            <w:col w:w="2620" w:space="720"/>
            <w:col w:w="2860"/>
          </w:cols>
          <w:pgMar w:left="240" w:top="439" w:right="439" w:bottom="1440" w:gutter="0" w:footer="0" w:header="0"/>
          <w:type w:val="continuous"/>
        </w:sectPr>
      </w:pPr>
    </w:p>
    <w:p>
      <w:pPr>
        <w:spacing w:after="0" w:line="11" w:lineRule="exact"/>
        <w:rPr>
          <w:sz w:val="24"/>
          <w:szCs w:val="24"/>
          <w:color w:val="auto"/>
        </w:rPr>
      </w:pPr>
    </w:p>
    <w:p>
      <w:pPr>
        <w:jc w:val="center"/>
        <w:ind w:right="1740"/>
        <w:spacing w:after="0"/>
        <w:rPr>
          <w:sz w:val="20"/>
          <w:szCs w:val="20"/>
          <w:color w:val="auto"/>
        </w:rPr>
      </w:pPr>
      <w:r>
        <w:rPr>
          <w:rFonts w:ascii="Arial" w:cs="Arial" w:eastAsia="Arial" w:hAnsi="Arial"/>
          <w:sz w:val="15"/>
          <w:szCs w:val="15"/>
          <w:b w:val="1"/>
          <w:bCs w:val="1"/>
          <w:color w:val="auto"/>
        </w:rPr>
        <w:t>10628 Science Center Drive, Suite 250</w:t>
      </w:r>
    </w:p>
    <w:p>
      <w:pPr>
        <w:spacing w:after="0" w:line="48" w:lineRule="exact"/>
        <w:rPr>
          <w:sz w:val="24"/>
          <w:szCs w:val="24"/>
          <w:color w:val="auto"/>
        </w:rPr>
      </w:pPr>
    </w:p>
    <w:p>
      <w:pPr>
        <w:jc w:val="center"/>
        <w:ind w:right="1740"/>
        <w:spacing w:after="0"/>
        <w:rPr>
          <w:sz w:val="20"/>
          <w:szCs w:val="20"/>
          <w:color w:val="auto"/>
        </w:rPr>
      </w:pPr>
      <w:r>
        <w:rPr>
          <w:rFonts w:ascii="Arial" w:cs="Arial" w:eastAsia="Arial" w:hAnsi="Arial"/>
          <w:sz w:val="17"/>
          <w:szCs w:val="17"/>
          <w:b w:val="1"/>
          <w:bCs w:val="1"/>
          <w:color w:val="auto"/>
        </w:rPr>
        <w:t>San Diego, California</w:t>
      </w:r>
    </w:p>
    <w:p>
      <w:pPr>
        <w:spacing w:after="0" w:line="9" w:lineRule="exact"/>
        <w:rPr>
          <w:sz w:val="24"/>
          <w:szCs w:val="24"/>
          <w:color w:val="auto"/>
        </w:rPr>
      </w:pPr>
    </w:p>
    <w:p>
      <w:pPr>
        <w:jc w:val="center"/>
        <w:ind w:right="174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92121</w:t>
      </w:r>
    </w:p>
    <w:p>
      <w:pPr>
        <w:spacing w:after="0" w:line="25" w:lineRule="exact"/>
        <w:rPr>
          <w:sz w:val="24"/>
          <w:szCs w:val="24"/>
          <w:color w:val="auto"/>
        </w:rPr>
      </w:pPr>
    </w:p>
    <w:p>
      <w:pPr>
        <w:jc w:val="center"/>
        <w:ind w:right="216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600" w:space="720"/>
            <w:col w:w="2900"/>
          </w:cols>
          <w:pgMar w:left="240" w:top="439" w:right="439" w:bottom="1440" w:gutter="0" w:footer="0" w:header="0"/>
          <w:type w:val="continuous"/>
        </w:sectPr>
      </w:pPr>
    </w:p>
    <w:p>
      <w:pPr>
        <w:spacing w:after="0" w:line="22" w:lineRule="exact"/>
        <w:rPr>
          <w:sz w:val="24"/>
          <w:szCs w:val="24"/>
          <w:color w:val="auto"/>
        </w:rPr>
      </w:pPr>
    </w:p>
    <w:p>
      <w:pPr>
        <w:jc w:val="center"/>
        <w:ind w:right="-199"/>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(858) 900-2660</w:t>
      </w:r>
    </w:p>
    <w:p>
      <w:pPr>
        <w:spacing w:after="0" w:line="218" w:lineRule="exact"/>
        <w:rPr>
          <w:sz w:val="24"/>
          <w:szCs w:val="24"/>
          <w:color w:val="auto"/>
        </w:rPr>
      </w:pPr>
    </w:p>
    <w:p>
      <w:pPr>
        <w:ind w:right="500"/>
        <w:spacing w:after="0" w:line="276"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65"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14" w:lineRule="exact"/>
        <w:rPr>
          <w:sz w:val="24"/>
          <w:szCs w:val="24"/>
          <w:color w:val="auto"/>
        </w:rPr>
      </w:pPr>
    </w:p>
    <w:p>
      <w:pPr>
        <w:ind w:right="140"/>
        <w:spacing w:after="0" w:line="276" w:lineRule="auto"/>
        <w:rPr>
          <w:sz w:val="20"/>
          <w:szCs w:val="20"/>
          <w:color w:val="auto"/>
        </w:rPr>
      </w:pPr>
      <w:r>
        <w:rPr>
          <w:rFonts w:ascii="Arial" w:cs="Arial" w:eastAsia="Arial" w:hAnsi="Arial"/>
          <w:sz w:val="17"/>
          <w:szCs w:val="17"/>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47"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5360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220"/>
          </w:cols>
          <w:pgMar w:left="240" w:top="439"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7.01</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FD Disclosure.</w:t>
      </w:r>
    </w:p>
    <w:p>
      <w:pPr>
        <w:spacing w:after="0" w:line="218" w:lineRule="exact"/>
        <w:rPr>
          <w:sz w:val="20"/>
          <w:szCs w:val="20"/>
          <w:color w:val="auto"/>
        </w:rPr>
      </w:pPr>
    </w:p>
    <w:p>
      <w:pPr>
        <w:ind w:firstLine="615"/>
        <w:spacing w:after="0" w:line="276" w:lineRule="auto"/>
        <w:rPr>
          <w:sz w:val="20"/>
          <w:szCs w:val="20"/>
          <w:color w:val="auto"/>
        </w:rPr>
      </w:pPr>
      <w:r>
        <w:rPr>
          <w:rFonts w:ascii="Arial" w:cs="Arial" w:eastAsia="Arial" w:hAnsi="Arial"/>
          <w:sz w:val="17"/>
          <w:szCs w:val="17"/>
          <w:color w:val="auto"/>
        </w:rPr>
        <w:t>Arcturus Therapeutics Ltd. (the “Company”) has made available a presentation about the Company’s business (the “Presentation”), a copy of which is filed as Exhibit 99.1 to this Current Report on Form 8-K (the “Report”) and is hereby incorporated by reference.</w:t>
      </w:r>
    </w:p>
    <w:p>
      <w:pPr>
        <w:spacing w:after="0" w:line="165" w:lineRule="exact"/>
        <w:rPr>
          <w:sz w:val="20"/>
          <w:szCs w:val="20"/>
          <w:color w:val="auto"/>
        </w:rPr>
      </w:pPr>
    </w:p>
    <w:p>
      <w:pPr>
        <w:ind w:right="200" w:firstLine="615"/>
        <w:spacing w:after="0" w:line="257" w:lineRule="auto"/>
        <w:rPr>
          <w:sz w:val="20"/>
          <w:szCs w:val="20"/>
          <w:color w:val="auto"/>
        </w:rPr>
      </w:pPr>
      <w:r>
        <w:rPr>
          <w:rFonts w:ascii="Arial" w:cs="Arial" w:eastAsia="Arial" w:hAnsi="Arial"/>
          <w:sz w:val="17"/>
          <w:szCs w:val="17"/>
          <w:color w:val="auto"/>
        </w:rPr>
        <w:t>The furnishing of the Presentation is not an admission as to the materiality of any information therein. The information contained in the Presentation is summary information that should be considered in the context of the Company’s filings with the Securities and Exchange Commission (the “SEC”) and other public announcements the Company may make by press release or otherwise from time to time. The Presentation speaks as of the date of this Report. While the Company may elect to update the Presentation in the future to reflect events and circumstances occurring or existing after the date of this Report, the Company specifically disclaims any obligation to do so.</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Presentation contains forward-looking statements, and as a result, investors should not place undue reliance on these forward-looking statements.</w:t>
      </w:r>
    </w:p>
    <w:p>
      <w:pPr>
        <w:spacing w:after="0" w:line="226" w:lineRule="exact"/>
        <w:rPr>
          <w:sz w:val="20"/>
          <w:szCs w:val="20"/>
          <w:color w:val="auto"/>
        </w:rPr>
      </w:pPr>
    </w:p>
    <w:p>
      <w:pPr>
        <w:ind w:right="300" w:firstLine="615"/>
        <w:spacing w:after="0" w:line="264" w:lineRule="auto"/>
        <w:rPr>
          <w:sz w:val="20"/>
          <w:szCs w:val="20"/>
          <w:color w:val="auto"/>
        </w:rPr>
      </w:pPr>
      <w:r>
        <w:rPr>
          <w:rFonts w:ascii="Arial" w:cs="Arial" w:eastAsia="Arial" w:hAnsi="Arial"/>
          <w:sz w:val="17"/>
          <w:szCs w:val="17"/>
          <w:color w:val="auto"/>
        </w:rPr>
        <w:t>The information set forth in this Item 7.01 or the Presentation is not deemed “filed” for purposes of Section 18 of the Securities Exchange Act of 1934, as amended (the “Exchange Act”), or incorporated by reference in any filing under the Securities Act of 1933, as amended, or the Exchange Act, except as may be expressly set forth by specific reference in such a filing.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8" w:lineRule="exact"/>
        <w:rPr>
          <w:sz w:val="20"/>
          <w:szCs w:val="20"/>
          <w:color w:val="auto"/>
        </w:rPr>
      </w:pPr>
    </w:p>
    <w:p>
      <w:pPr>
        <w:ind w:right="40" w:firstLine="615"/>
        <w:spacing w:after="0" w:line="257" w:lineRule="auto"/>
        <w:rPr>
          <w:sz w:val="20"/>
          <w:szCs w:val="20"/>
          <w:color w:val="auto"/>
        </w:rPr>
      </w:pPr>
      <w:r>
        <w:rPr>
          <w:rFonts w:ascii="Arial" w:cs="Arial" w:eastAsia="Arial" w:hAnsi="Arial"/>
          <w:sz w:val="17"/>
          <w:szCs w:val="17"/>
          <w:color w:val="auto"/>
        </w:rPr>
        <w:t>Certain statements in this communication, including statements relating to the Company’s future ownership, capitalization, listing status, financial condition, performance, operating results, strategy and plans are “forward-looking statements” within the meaning of the Private Securities Litigation Reform Act of 1995 giving the Company’s expectations or predictions of future financial or business performance or conditions. These forward-looking statements are subject to numerous assumptions, risks and uncertainties which change over time. Forward-looking statements speak only as of the date they are made and the Company assumes no duty to update forward-looking statements, except as required by law.</w:t>
      </w:r>
    </w:p>
    <w:p>
      <w:pPr>
        <w:spacing w:after="0" w:line="183" w:lineRule="exact"/>
        <w:rPr>
          <w:sz w:val="20"/>
          <w:szCs w:val="20"/>
          <w:color w:val="auto"/>
        </w:rPr>
      </w:pPr>
    </w:p>
    <w:p>
      <w:pPr>
        <w:ind w:right="100" w:firstLine="615"/>
        <w:spacing w:after="0" w:line="255" w:lineRule="auto"/>
        <w:rPr>
          <w:sz w:val="20"/>
          <w:szCs w:val="20"/>
          <w:color w:val="auto"/>
        </w:rPr>
      </w:pPr>
      <w:r>
        <w:rPr>
          <w:rFonts w:ascii="Arial" w:cs="Arial" w:eastAsia="Arial" w:hAnsi="Arial"/>
          <w:sz w:val="17"/>
          <w:szCs w:val="17"/>
          <w:color w:val="auto"/>
        </w:rPr>
        <w:t>In addition to factors previously disclosed in the Company’s reports filed with the SEC and those identified elsewhere in this communication, the following factors, among others, could cause actual results to differ materially from forward-looking statements and historical performance: the availability and access, in general, of funds to fund operations and necessary capital expenditures, the strength of our intellectual property portfolio, the expected safety profiles of our product candidates, the proof of concept of our product candidates, the target opportunities for certain of our product candidates, our expected dates of submission of one or more Investigational New Drug Applications to the FDA, market opportunities with respect to certain diseases connected with our product candidates, manufacturing and formulation capabilities of the Company or our manufacturing partners with respect to our product candidates, as well as our management’s response to the preceding factors. The foregoing factors are in addition to the other factors set forth in the Company’s reports on Form 20-F, Form 6-K, and other documents on file with the SEC.</w:t>
      </w:r>
    </w:p>
    <w:p>
      <w:pPr>
        <w:spacing w:after="0" w:line="183" w:lineRule="exact"/>
        <w:rPr>
          <w:sz w:val="20"/>
          <w:szCs w:val="20"/>
          <w:color w:val="auto"/>
        </w:rPr>
      </w:pPr>
    </w:p>
    <w:p>
      <w:pPr>
        <w:ind w:firstLine="615"/>
        <w:spacing w:after="0" w:line="274" w:lineRule="auto"/>
        <w:rPr>
          <w:sz w:val="20"/>
          <w:szCs w:val="20"/>
          <w:color w:val="auto"/>
        </w:rPr>
      </w:pPr>
      <w:r>
        <w:rPr>
          <w:rFonts w:ascii="Arial" w:cs="Arial" w:eastAsia="Arial" w:hAnsi="Arial"/>
          <w:sz w:val="16"/>
          <w:szCs w:val="16"/>
          <w:color w:val="auto"/>
        </w:rPr>
        <w:t>Other risks and uncertainties are more fully described in the Company’s Annual Report on Form 20-F for the year ended December 31, 2017 and Amendment No. 1 thereto, each filed with the SEC, and in other filings that the Company makes and will make with the SEC. Existing and prospective investors are cautioned not to place undue reliance on these forward-looking statements, which speak only as of the date hereof. The statements made in this Current Report on Form 8-K and the exhibit(s) attached hereto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725360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Arial" w:cs="Arial" w:eastAsia="Arial" w:hAnsi="Arial"/>
                <w:sz w:val="17"/>
                <w:szCs w:val="17"/>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7"/>
                <w:szCs w:val="17"/>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185"/>
        </w:trPr>
        <w:tc>
          <w:tcPr>
            <w:tcW w:w="1300" w:type="dxa"/>
            <w:vAlign w:val="bottom"/>
            <w:gridSpan w:val="2"/>
          </w:tcPr>
          <w:p>
            <w:pPr>
              <w:ind w:left="120"/>
              <w:spacing w:after="0" w:line="185" w:lineRule="exact"/>
              <w:rPr>
                <w:sz w:val="20"/>
                <w:szCs w:val="20"/>
                <w:color w:val="auto"/>
              </w:rPr>
            </w:pPr>
            <w:r>
              <w:rPr>
                <w:rFonts w:ascii="Arial" w:cs="Arial" w:eastAsia="Arial" w:hAnsi="Arial"/>
                <w:sz w:val="17"/>
                <w:szCs w:val="17"/>
                <w:color w:val="auto"/>
              </w:rPr>
              <w:t>99.1</w:t>
            </w:r>
          </w:p>
        </w:tc>
        <w:tc>
          <w:tcPr>
            <w:tcW w:w="640" w:type="dxa"/>
            <w:vAlign w:val="bottom"/>
          </w:tcPr>
          <w:p>
            <w:pPr>
              <w:spacing w:after="0"/>
              <w:rPr>
                <w:sz w:val="16"/>
                <w:szCs w:val="16"/>
                <w:color w:val="auto"/>
              </w:rPr>
            </w:pPr>
          </w:p>
        </w:tc>
        <w:tc>
          <w:tcPr>
            <w:tcW w:w="9480" w:type="dxa"/>
            <w:vAlign w:val="bottom"/>
            <w:gridSpan w:val="3"/>
          </w:tcPr>
          <w:p>
            <w:pPr>
              <w:spacing w:after="0" w:line="185" w:lineRule="exact"/>
              <w:rPr>
                <w:rFonts w:ascii="Arial" w:cs="Arial" w:eastAsia="Arial" w:hAnsi="Arial"/>
                <w:sz w:val="17"/>
                <w:szCs w:val="17"/>
                <w:color w:val="0000EE"/>
              </w:rPr>
            </w:pPr>
            <w:hyperlink w:anchor="page5">
              <w:r>
                <w:rPr>
                  <w:rFonts w:ascii="Arial" w:cs="Arial" w:eastAsia="Arial" w:hAnsi="Arial"/>
                  <w:sz w:val="17"/>
                  <w:szCs w:val="17"/>
                  <w:color w:val="0000EE"/>
                </w:rPr>
                <w:t>Presentation of Arcturus Therapeutics Ltd., dated February 2019</w:t>
              </w:r>
            </w:hyperlink>
          </w:p>
        </w:tc>
      </w:tr>
      <w:tr>
        <w:trPr>
          <w:trHeight w:val="357"/>
        </w:trPr>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3560" w:type="dxa"/>
            <w:vAlign w:val="bottom"/>
            <w:tcBorders>
              <w:top w:val="single" w:sz="8" w:color="0000EE"/>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28" w:right="2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218" w:lineRule="exact"/>
        <w:rPr>
          <w:sz w:val="20"/>
          <w:szCs w:val="20"/>
          <w:color w:val="auto"/>
        </w:rPr>
      </w:pPr>
    </w:p>
    <w:p>
      <w:pPr>
        <w:ind w:firstLine="615"/>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1"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ARCTURUS THERAPEUTICS LTD.</w:t>
      </w:r>
    </w:p>
    <w:p>
      <w:pPr>
        <w:spacing w:after="0" w:line="200" w:lineRule="exact"/>
        <w:rPr>
          <w:sz w:val="20"/>
          <w:szCs w:val="20"/>
          <w:color w:val="auto"/>
        </w:rPr>
      </w:pPr>
    </w:p>
    <w:p>
      <w:pPr>
        <w:spacing w:after="0" w:line="223" w:lineRule="exact"/>
        <w:rPr>
          <w:sz w:val="20"/>
          <w:szCs w:val="20"/>
          <w:color w:val="auto"/>
        </w:rPr>
      </w:pPr>
    </w:p>
    <w:p>
      <w:pPr>
        <w:ind w:left="5940"/>
        <w:spacing w:after="0"/>
        <w:tabs>
          <w:tab w:leader="none" w:pos="6380" w:val="left"/>
        </w:tabs>
        <w:rPr>
          <w:sz w:val="20"/>
          <w:szCs w:val="20"/>
          <w:color w:val="auto"/>
        </w:rPr>
      </w:pPr>
      <w:r>
        <w:rPr>
          <w:rFonts w:ascii="Arial" w:cs="Arial" w:eastAsia="Arial" w:hAnsi="Arial"/>
          <w:sz w:val="17"/>
          <w:szCs w:val="17"/>
          <w:color w:val="auto"/>
        </w:rPr>
        <w:t>By:</w:t>
        <w:tab/>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13970</wp:posOffset>
            </wp:positionV>
            <wp:extent cx="3187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7700" cy="8255"/>
                    </a:xfrm>
                    <a:prstGeom prst="rect">
                      <a:avLst/>
                    </a:prstGeom>
                    <a:noFill/>
                  </pic:spPr>
                </pic:pic>
              </a:graphicData>
            </a:graphic>
          </wp:anchor>
        </w:drawing>
      </w:r>
    </w:p>
    <w:p>
      <w:pPr>
        <w:spacing w:after="0" w:line="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Joseph E. Payne</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Chief Executive Officer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27, 2019</w:t>
      </w:r>
    </w:p>
    <w:p>
      <w:pPr>
        <w:sectPr>
          <w:pgSz w:w="11900" w:h="16838" w:orient="portrait"/>
          <w:cols w:equalWidth="0" w:num="1">
            <w:col w:w="11300"/>
          </w:cols>
          <w:pgMar w:left="240" w:top="354" w:right="35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381635</wp:posOffset>
            </wp:positionV>
            <wp:extent cx="7313930" cy="4342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3930" cy="4342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114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31393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2019-12-28T15:31:49Z</dcterms:created>
  <dcterms:modified xsi:type="dcterms:W3CDTF">2019-12-28T15:31:49Z</dcterms:modified>
</cp:coreProperties>
</file>