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4953_8k-arct.htm"/>
      <w:bookmarkStart w:id="1" w:name="kse664953_8karct"/>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51110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November 10,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5"/>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00" w:type="dxa"/>
        <w:jc w:val="left"/>
        <w:tblInd w:w="0" w:type="dxa"/>
        <w:shd w:fill="FFFFFF" w:val="clear"/>
        <w:tblLayout w:type="fixed"/>
        <w:tblCellMar>
          <w:top w:w="0" w:type="dxa"/>
          <w:left w:w="0" w:type="dxa"/>
          <w:bottom w:w="0" w:type="dxa"/>
          <w:right w:w="0" w:type="dxa"/>
        </w:tblCellMar>
      </w:tblPr>
      <w:tblGrid>
        <w:gridCol w:w="2270"/>
        <w:gridCol w:w="60"/>
        <w:gridCol w:w="1145"/>
        <w:gridCol w:w="60"/>
        <w:gridCol w:w="1565"/>
      </w:tblGrid>
      <w:tr>
        <w:trPr/>
        <w:tc>
          <w:tcPr>
            <w:tcW w:w="2270" w:type="dxa"/>
            <w:tcBorders/>
            <w:shd w:fill="FFFFFF" w:val="clear"/>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bookmarkStart w:id="6" w:name="xdx_90B_edei--EntityFileNumber_c20251110"/>
            <w:bookmarkEnd w:id="6"/>
            <w:r>
              <w:rPr>
                <w:b/>
                <w:sz w:val="20"/>
              </w:rPr>
              <w:t>001-38942</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bookmarkStart w:id="7" w:name="xdx_903_edei--EntityTaxIdentificationNum"/>
            <w:bookmarkEnd w:id="7"/>
            <w:r>
              <w:rPr>
                <w:b/>
                <w:sz w:val="20"/>
              </w:rPr>
              <w:t>32-0595345</w:t>
            </w:r>
          </w:p>
        </w:tc>
      </w:tr>
      <w:tr>
        <w:trPr/>
        <w:tc>
          <w:tcPr>
            <w:tcW w:w="2270" w:type="dxa"/>
            <w:tcBorders/>
            <w:shd w:fill="FFFFFF" w:val="cle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r>
              <w:rPr>
                <w:b/>
                <w:sz w:val="20"/>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r>
              <w:rPr>
                <w:b/>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10285 Science Center Drive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San Diego, </w:t>
      </w:r>
      <w:bookmarkStart w:id="10" w:name="xdx_90C_edei--EntityAddressStateOrProvin"/>
      <w:bookmarkEnd w:id="10"/>
      <w:r>
        <w:rPr>
          <w:rFonts w:ascii="Times New Roman;Times;Serif" w:hAnsi="Times New Roman;Times;Serif"/>
          <w:b/>
          <w:i w:val="false"/>
          <w:caps w:val="false"/>
          <w:smallCaps w:val="false"/>
          <w:sz w:val="20"/>
        </w:rPr>
        <w:t xml:space="preserve">California </w:t>
      </w:r>
      <w:bookmarkStart w:id="11" w:name="xdx_900_edei--EntityAddressPostalZipCode"/>
      <w:bookmarkEnd w:id="11"/>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4_edei--CityAreaCode_c20251110__20"/>
      <w:bookmarkEnd w:id="12"/>
      <w:r>
        <w:rPr>
          <w:rFonts w:ascii="Times New Roman;Times;Serif" w:hAnsi="Times New Roman;Times;Serif"/>
          <w:b/>
          <w:i w:val="false"/>
          <w:caps w:val="false"/>
          <w:smallCaps w:val="false"/>
          <w:sz w:val="20"/>
        </w:rPr>
        <w:t xml:space="preserve">(858) </w:t>
      </w:r>
      <w:bookmarkStart w:id="13" w:name="xdx_906_edei--LocalPhoneNumber_c20251110"/>
      <w:bookmarkEnd w:id="13"/>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4" w:name="xdx_902_edei--WrittenCommunications_c202"/>
            <w:bookmarkEnd w:id="14"/>
            <w:r>
              <w:rPr/>
              <w:t>☐</w:t>
            </w:r>
          </w:p>
        </w:tc>
        <w:tc>
          <w:tcPr>
            <w:tcW w:w="9065" w:type="dxa"/>
            <w:tcBorders/>
            <w:shd w:fill="FFFFFF"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5" w:name="xdx_905_edei--SolicitingMaterial_c202511"/>
            <w:bookmarkEnd w:id="15"/>
            <w:r>
              <w:rPr/>
              <w:t>☐</w:t>
            </w:r>
          </w:p>
        </w:tc>
        <w:tc>
          <w:tcPr>
            <w:tcW w:w="9065" w:type="dxa"/>
            <w:tcBorders/>
            <w:shd w:fill="FFFFFF"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6" w:name="xdx_90D_edei--PreCommencementTenderOffer"/>
            <w:bookmarkEnd w:id="16"/>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7" w:name="xdx_901_edei--PreCommencementIssuerTende"/>
            <w:bookmarkEnd w:id="17"/>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305" w:type="dxa"/>
        <w:jc w:val="left"/>
        <w:tblInd w:w="0" w:type="dxa"/>
        <w:shd w:fill="FFFFFF" w:val="clear"/>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w:t>
              <w:br/>
              <w:t>on which registered</w:t>
            </w:r>
          </w:p>
        </w:tc>
      </w:tr>
      <w:tr>
        <w:trPr/>
        <w:tc>
          <w:tcPr>
            <w:tcW w:w="3650" w:type="dxa"/>
            <w:tcBorders/>
            <w:shd w:fill="FFFFFF" w:val="clear"/>
            <w:tcMar>
              <w:bottom w:w="0" w:type="dxa"/>
            </w:tcMar>
            <w:vAlign w:val="center"/>
          </w:tcPr>
          <w:p>
            <w:pPr>
              <w:pStyle w:val="TableContents"/>
              <w:bidi w:val="0"/>
              <w:spacing w:before="0" w:after="283"/>
              <w:jc w:val="center"/>
              <w:rPr>
                <w:b/>
                <w:sz w:val="20"/>
              </w:rPr>
            </w:pPr>
            <w:bookmarkStart w:id="18" w:name="xdx_902_edei--Security12bTitle_c20251110"/>
            <w:bookmarkEnd w:id="18"/>
            <w:r>
              <w:rPr>
                <w:b/>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b/>
                <w:sz w:val="20"/>
              </w:rPr>
            </w:pPr>
            <w:bookmarkStart w:id="19" w:name="xdx_909_edei--TradingSymbol_c20251110__2"/>
            <w:bookmarkEnd w:id="19"/>
            <w:r>
              <w:rPr>
                <w:b/>
                <w:sz w:val="20"/>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b/>
                <w:sz w:val="20"/>
              </w:rPr>
            </w:pPr>
            <w:bookmarkStart w:id="20" w:name="xdx_906_edei--SecurityExchangeName_c2025"/>
            <w:bookmarkEnd w:id="20"/>
            <w:r>
              <w:rPr>
                <w:b/>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Arcturus Therapeutics Holdings Inc. (the “Company” or “Arcturus”) issued a press release, a copy of which is furnished herewith as Exhibit 99.1, announcing the Company’s financial results for the quarter ended September 30, 2025 and providing a corporate update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clinical data, including interim data, will be predictive of future clinical results, the likelihood that observed mucus plug reduction is predictive of future and future reduction and will lead to lung function or structural lung defect improvements, the plans to enroll subjects in the third cohort of the Phase 2 clinical trial of ARCT-032, the likelihood and timing for initiation, and size and scope, of a planned 12-week safety and preliminary efficacy study for ARCT-032, plans to advance ARCT-032 further into development, the likelihood and timing for achieving alignment with regulatory agencies on pivotal studies for ARCT-810, the likelihood of success of any collaboration including the anticipated continued support from CSL to commercialize KOSTAIVE, the continued determination that ARCT-032 is generally safe and well tolerated, the likelihood of further development of a self-amplifying mRNA pandemic influenza vaccine candidate, the likelihood that preclinical or clinical data will be predictive of future clinical results, the likelihood that general and administrative expenses will continue to decrease,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205" w:type="dxa"/>
        <w:jc w:val="left"/>
        <w:tblInd w:w="0" w:type="dxa"/>
        <w:shd w:fill="FFFFFF" w:val="clear"/>
        <w:tblLayout w:type="fixed"/>
        <w:tblCellMar>
          <w:top w:w="0" w:type="dxa"/>
          <w:left w:w="0" w:type="dxa"/>
          <w:bottom w:w="0" w:type="dxa"/>
          <w:right w:w="0" w:type="dxa"/>
        </w:tblCellMar>
      </w:tblPr>
      <w:tblGrid>
        <w:gridCol w:w="995"/>
        <w:gridCol w:w="60"/>
        <w:gridCol w:w="5150"/>
      </w:tblGrid>
      <w:tr>
        <w:trPr/>
        <w:tc>
          <w:tcPr>
            <w:tcW w:w="995" w:type="dxa"/>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b/>
                <w:sz w:val="20"/>
              </w:rPr>
            </w:pPr>
            <w:r>
              <w:rPr>
                <w:b/>
                <w:sz w:val="20"/>
              </w:rPr>
              <w:t>Description of Exhibit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sz w:val="20"/>
              </w:rPr>
            </w:pPr>
            <w:r>
              <w:rPr>
                <w:sz w:val="20"/>
              </w:rPr>
              <w:t>99.1</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hyperlink w:anchor="e664953_ex99-1.htm">
              <w:r>
                <w:rPr>
                  <w:rStyle w:val="InternetLink"/>
                  <w:sz w:val="20"/>
                </w:rPr>
                <w:t>Press Release dated November 10, 2025</w:t>
              </w:r>
            </w:hyperlink>
          </w:p>
        </w:tc>
      </w:tr>
      <w:tr>
        <w:trPr/>
        <w:tc>
          <w:tcPr>
            <w:tcW w:w="995"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sz w:val="20"/>
              </w:rPr>
            </w:pPr>
            <w:r>
              <w:rPr>
                <w:sz w:val="20"/>
              </w:rPr>
              <w:t>Cover Page to this Current Report on Form 8-K in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229" w:type="dxa"/>
        <w:jc w:val="left"/>
        <w:tblInd w:w="0" w:type="dxa"/>
        <w:shd w:fill="FFFFFF" w:val="clear"/>
        <w:tblLayout w:type="fixed"/>
        <w:tblCellMar>
          <w:top w:w="0" w:type="dxa"/>
          <w:left w:w="0" w:type="dxa"/>
          <w:bottom w:w="0" w:type="dxa"/>
          <w:right w:w="0" w:type="dxa"/>
        </w:tblCellMar>
      </w:tblPr>
      <w:tblGrid>
        <w:gridCol w:w="2120"/>
        <w:gridCol w:w="677"/>
        <w:gridCol w:w="2432"/>
      </w:tblGrid>
      <w:tr>
        <w:trPr/>
        <w:tc>
          <w:tcPr>
            <w:tcW w:w="2120" w:type="dxa"/>
            <w:tcBorders/>
            <w:shd w:fill="FFFFFF" w:val="clear"/>
            <w:vAlign w:val="center"/>
          </w:tcPr>
          <w:p>
            <w:pPr>
              <w:pStyle w:val="TableContents"/>
              <w:bidi w:val="0"/>
              <w:spacing w:before="0" w:after="283"/>
              <w:jc w:val="left"/>
              <w:rPr/>
            </w:pPr>
            <w:r>
              <w:rPr/>
              <w:t> </w:t>
            </w:r>
          </w:p>
        </w:tc>
        <w:tc>
          <w:tcPr>
            <w:tcW w:w="3109" w:type="dxa"/>
            <w:gridSpan w:val="2"/>
            <w:tcBorders/>
            <w:shd w:fill="FFFFFF" w:val="clear"/>
            <w:vAlign w:val="center"/>
          </w:tcPr>
          <w:p>
            <w:pPr>
              <w:pStyle w:val="TableContents"/>
              <w:bidi w:val="0"/>
              <w:spacing w:before="0" w:after="283"/>
              <w:jc w:val="left"/>
              <w:rPr>
                <w:b/>
                <w:sz w:val="20"/>
              </w:rPr>
            </w:pPr>
            <w:r>
              <w:rPr>
                <w:b/>
                <w:sz w:val="20"/>
              </w:rPr>
              <w:t>Arcturus Therapeutics Holdings Inc.</w:t>
            </w:r>
          </w:p>
        </w:tc>
      </w:tr>
      <w:tr>
        <w:trPr/>
        <w:tc>
          <w:tcPr>
            <w:tcW w:w="2120" w:type="dxa"/>
            <w:tcBorders/>
            <w:shd w:fill="FFFFFF" w:val="clear"/>
            <w:vAlign w:val="center"/>
          </w:tcPr>
          <w:p>
            <w:pPr>
              <w:pStyle w:val="TableContents"/>
              <w:bidi w:val="0"/>
              <w:spacing w:before="0" w:after="283"/>
              <w:jc w:val="left"/>
              <w:rPr>
                <w:sz w:val="20"/>
              </w:rPr>
            </w:pPr>
            <w:r>
              <w:rPr>
                <w:sz w:val="20"/>
              </w:rPr>
              <w:t>Date: November 10, 2025</w:t>
            </w:r>
          </w:p>
        </w:tc>
        <w:tc>
          <w:tcPr>
            <w:tcW w:w="3109" w:type="dxa"/>
            <w:gridSpan w:val="2"/>
            <w:tcBorders/>
            <w:shd w:fill="FFFF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2432" w:type="dxa"/>
            <w:tcBorders/>
            <w:shd w:fill="FFFF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By:</w:t>
            </w:r>
          </w:p>
        </w:tc>
        <w:tc>
          <w:tcPr>
            <w:tcW w:w="243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Joseph E. Payne</w:t>
            </w:r>
          </w:p>
        </w:tc>
      </w:tr>
      <w:tr>
        <w:trPr/>
        <w:tc>
          <w:tcPr>
            <w:tcW w:w="212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Name:</w:t>
            </w:r>
          </w:p>
        </w:tc>
        <w:tc>
          <w:tcPr>
            <w:tcW w:w="2432" w:type="dxa"/>
            <w:tcBorders/>
            <w:shd w:fill="FFFFFF" w:val="clear"/>
            <w:vAlign w:val="center"/>
          </w:tcPr>
          <w:p>
            <w:pPr>
              <w:pStyle w:val="TableContents"/>
              <w:bidi w:val="0"/>
              <w:spacing w:before="0" w:after="283"/>
              <w:jc w:val="left"/>
              <w:rPr>
                <w:sz w:val="20"/>
              </w:rPr>
            </w:pPr>
            <w:r>
              <w:rPr>
                <w:sz w:val="20"/>
              </w:rPr>
              <w:t>Joseph E. Payne</w:t>
            </w:r>
          </w:p>
        </w:tc>
      </w:tr>
      <w:tr>
        <w:trPr/>
        <w:tc>
          <w:tcPr>
            <w:tcW w:w="212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Title:</w:t>
            </w:r>
          </w:p>
        </w:tc>
        <w:tc>
          <w:tcPr>
            <w:tcW w:w="2432" w:type="dxa"/>
            <w:tcBorders/>
            <w:shd w:fill="FFFFFF" w:val="clear"/>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e664953_ex99-1.htm"/>
      <w:bookmarkStart w:id="23" w:name="kse664953_ex991"/>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Arcturus Therapeutics Announces Third Quarter 2025 Financial Update and Pipeline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Encouraging CF interim Phase 2 data support continued and expanded trial design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12-week safety and preliminary efficacy study in up to 20 CF participants planned to start H1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cost reductions planned in fourth quarter to extend cash runway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conference call at 4:30 p.m. ET today</w:t>
      </w:r>
    </w:p>
    <w:p>
      <w:pPr>
        <w:pStyle w:val="TextBody"/>
        <w:bidi w:val="0"/>
        <w:spacing w:before="0" w:after="0"/>
        <w:ind w:left="0" w:right="0" w:hanging="0"/>
        <w:jc w:val="both"/>
        <w:rPr>
          <w:caps w:val="false"/>
          <w:smallCaps w:val="false"/>
          <w:color w:val="222222"/>
        </w:rPr>
      </w:pPr>
      <w:r>
        <w:rPr>
          <w:caps w:val="false"/>
          <w:smallCaps w:val="false"/>
          <w:color w:val="222222"/>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WIRE)—Nov 10, 2025-- Arcturus Therapeutics Holdings Inc. (the “Company”, “Arcturus”, Nasdaq: ARCT), a commercial messenger RNA medicines company focused on the development of liver and respiratory rare disease therapeutics and infectious disease vaccines, today announced its financial results for the third quarter ended September 30, 2025, and provided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were pleased to share the initial findings of ARCT-032 clinical activity with the CF community last month at the NACFC,” said Joseph Payne, President &amp; CEO of Arcturus Therapeutics. “Conversations at NACFC with CF patients, physicians, investigators and global experts reinforced our commitment to advance ARCT-032 further into development. We look forward to initiating a 12-week safety and preliminary efficacy study in first half of 2026. Our team is also working diligently to achieve alignment with regulatory agencies regarding pivotal studies of ARCT-810 in adults and young children with OTC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observed mucus plug reduction after 28 days of treatment with ARCT-032 in people with Class I CF is encouraging,” said Denis Hadjiliadis, MD, MMHS, FRCP(C), Professor and Cystic Fibrosis Program Director, Perelman School of Medicine, University of Pennsylvania. “Clearance of mucus suggests that treatment with ARCT-032 is acting on the thick mucus defect which is fundamental in CF; more extended treatment with ARCT-032 could provide further reduction in mucus burden leading to more meaningful benefits, including lung function and structural lung defect improvement. These changes could ultimately lead to reduction in exacerbations and change the clinical course of this progressive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sudden changes in regulatory requirements by the FDA for COVID-19 vaccines have delayed the U.S. BLA filing for KOSTAIVE® indefinitely. We have decided to reduce additional expenses to extend the runway for the CF and OTC deficiency programs,” said Andy Sassine, CFO of Arcturus Therapeutics. “We anticipate continued support from CSL to commercialize KOSTAIVE in Asia and Europe and will provide more details on our year end call.”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Recent Corporate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Arcturus continues to advance the ARCT-810 program for OTC deficiency. Planned alignment with regulatory agencies around pivotal trial strategy for both pediatric and adult populations remain on track for the first half of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October, the Company announced interim data from its ongoing Phase 2 clinical trial of ARCT-032 in cystic fibrosis: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Treatment with inhaled 10 mg doses of ARCT-032 daily over 28 days in six Class I CF adults received was generally safe and well tolerated.</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1" w:type="dxa"/>
            <w:tcBorders/>
            <w:vAlign w:val="center"/>
          </w:tcPr>
          <w:p>
            <w:pPr>
              <w:pStyle w:val="TableContents"/>
              <w:bidi w:val="0"/>
              <w:spacing w:before="0" w:after="283"/>
              <w:jc w:val="both"/>
              <w:rPr/>
            </w:pPr>
            <w:r>
              <w:rPr/>
              <w:t>Protocol prespecified analyses of high-resolution computed tomography (HRCT) lung scans using FDA 501(k)-cleared AI technology revealed reductions in mucus burden in four of the six Class I CF participants.</w:t>
            </w:r>
          </w:p>
        </w:tc>
      </w:tr>
      <w:tr>
        <w:trPr/>
        <w:tc>
          <w:tcPr>
            <w:tcW w:w="7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1" w:type="dxa"/>
            <w:tcBorders/>
            <w:vAlign w:val="center"/>
          </w:tcPr>
          <w:p>
            <w:pPr>
              <w:pStyle w:val="TableContents"/>
              <w:bidi w:val="0"/>
              <w:spacing w:before="0" w:after="283"/>
              <w:jc w:val="both"/>
              <w:rPr/>
            </w:pPr>
            <w:r>
              <w:rPr/>
              <w:t>The ongoing third cohort is enrolling up to six subjects to assess the safety and tolerability of the 15 mg dose daily over 28 days and the impact on the efficacy endpoints.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Company intends to initiate up to 20 CF participants for 12-weeks of dosing with ARCT-032 in a safety and preliminary efficacy study in the first half of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Meiji Seika Pharma launched the two-dose vial of KOSTAIVE updated for the JN.1 variant XEC in Japan. Meiji received approval from the Pharmaceuticals and Medical Devices Agency (PMDA) in August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August, the Company published the Phase 3 manuscript on the immunogenicity and safety of a self-amplifying mRNA COVID-19 vaccine (ARCT-2303), with or without co-administration of seasonal inactivated influenza vaccine in adults.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The study shows that ARCT-2303 induces a robust immune response against the vaccine variant of SARS-CoV-2 and can be co-administered with licensed influenza vaccines in adults with no impact on the safety or immunogenicity of either vaccine. The results were published in eClinicalMedicine.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conducted a Phase 1 study of ARCT-2304 (NCT06602531), an sa-mRNA vaccine candidate for Pandemic Influenza A Virus H5N1. The study objectives were to evaluate the safety and tolerability and to describe the immune response of three different dose levels in 132 young adults (18-59 years of age) and 80 older adults (60-80 years old).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ARCT-2304 induced a humoral immune response after a single dose at all tested dose levels. The administration of a second dose of ARCT-2304 further increases immune responses.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ARCT-2304 at dose levels 1.5, 5 and 12 µg induce a hemagglutinin-specific immune response similar to or higher than that after the MF59-adjuvanted pandemic vaccine.</w:t>
            </w:r>
          </w:p>
        </w:tc>
      </w:tr>
    </w:tbl>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45" w:type="dxa"/>
            <w:tcBorders/>
            <w:vAlign w:val="center"/>
          </w:tcPr>
          <w:p>
            <w:pPr>
              <w:pStyle w:val="TableContents"/>
              <w:bidi w:val="0"/>
              <w:spacing w:before="0" w:after="283"/>
              <w:jc w:val="both"/>
              <w:rPr/>
            </w:pPr>
            <w:r>
              <w:rPr/>
              <w:t>No safety or tolerability concerns were raised from available data.</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Overall, the study results support the further development of a self-amplifying mRNA pandemic influenza vaccine candidate.</w:t>
            </w:r>
          </w:p>
        </w:tc>
      </w:tr>
    </w:tbl>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91" w:type="dxa"/>
            <w:tcBorders/>
            <w:vAlign w:val="center"/>
          </w:tcPr>
          <w:p>
            <w:pPr>
              <w:pStyle w:val="TableContents"/>
              <w:bidi w:val="0"/>
              <w:spacing w:before="0" w:after="283"/>
              <w:jc w:val="both"/>
              <w:rPr/>
            </w:pPr>
            <w:r>
              <w:rPr/>
              <w:t>These new data further validate Arcturus’ STARR® sa-mRNA vaccine platform.</w:t>
            </w:r>
          </w:p>
        </w:tc>
      </w:tr>
      <w:tr>
        <w:trPr/>
        <w:tc>
          <w:tcPr>
            <w:tcW w:w="7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1" w:type="dxa"/>
            <w:tcBorders/>
            <w:vAlign w:val="center"/>
          </w:tcPr>
          <w:p>
            <w:pPr>
              <w:pStyle w:val="TableContents"/>
              <w:bidi w:val="0"/>
              <w:spacing w:before="0" w:after="283"/>
              <w:jc w:val="both"/>
              <w:rPr/>
            </w:pPr>
            <w:r>
              <w:rPr/>
              <w:t>This work was funded in part with federal funds from the U.S. Department of Health and Human Services (HHS); Administration for Strategic Preparedness and Response (ASPR); Biomedical Advanced Research and Development Authority (BARDA), under contract number 75A50122C00007. The contract and federal funding are not an endorsement of the study results, product, or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in conjunction with strategic alliances and collaborations: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primary revenue streams include license fees, consulting and related technology transfer fees, reservation fees and collaborative payments received from research and development arrangements with pharmaceutical and biotechnology partners. Revenue for the three and nine months ended September 30, 2025, was $17.2 million and $74.8 million, respectively, representing decreases of $24.5 million and $54.7 million compared to the same periods in 2024. These declines were primarily driven by reduced revenue from the CSL collaboration, reflecting lower supply agreement activity and lower amortization of the upfront payment as KOSTAIVE progresses toward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September 30, 2025, were $33.7 million compared with $52.4 million for the three months ended September 30, 2024. Total operating expenses for the nine months ended September 30, 2025, were $119.8 million compared with $191.8 million for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external manufacturing costs, in 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$23.3 million for the three months ended September 30, 2025, compared with $39.1 million for the three months ended September 30, 2024. The decrease was primarily driven by lower manufacturing costs for the LUNAR-COVID, LUNAR-FLU, and LUNAR-CF programs, as well as reduced clinical trial expenses for LUNAR-COVID and LUNAR-CF. Lower payroll and employee benefits further contributed to the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$87.7 million for the nine months ended September 30, 2025, compared with $151.4 million for the nine months ended September 30, 2024. The decrease was primarily driven by lower manufacturing and clinical costs related to the LUNAR-COVID program, reflecting the program’s transition from a development program to the commercial phase. Additional decreases were attributable to lower manufacturing costs for the LUNAR-CF and LUNAR-FLU programs. These reductions were partially offset by higher clinical costs for Phase 2 of the LUNAR-CF program. Payroll and benefits expenses also decreased, primarily due to lower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$10.4 million and $32.1 million for the three and nine months ended September 30, 2025, respectively, compared with $13.3 million and $40.4 million in the comparable periods last year. The decreases in both periods were primarily due to reduced share-based compensation expense as well as reduced payroll and benefits. We expect general and administrative expenses to continue to decrease slightly during the next twelve months driven by lower share-based compensation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Arcturus reported a net loss of approximately $13.5 million, or ($0.49) per diluted share, compared with a net loss of $6.9 million, or ($0.26) per diluted share in the three months ended September 30, 2024. For the nine months ended September 30, 2025, Arcturus reported a net loss of approximately $36.7 million, or ($1.35) per diluted share, compared with a net loss of $50.9 million, or ($1.89) per diluted share in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and Balance Sheet: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were $237.3 million as of September 30, 2025, compared to $293.9million on December 31, 2024. Based on the additional planned cost reduction in Q4 2025 and the delay in Phase 3 CF clinical trial commencement until 2027, the cash runway remains extended into 2028.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Call: Monday, November 10, 2025 @ 4:30 p.m. ET</w:t>
      </w:r>
    </w:p>
    <w:tbl>
      <w:tblPr>
        <w:tblW w:w="5000" w:type="pct"/>
        <w:jc w:val="left"/>
        <w:tblInd w:w="0" w:type="dxa"/>
        <w:tblLayout w:type="fixed"/>
        <w:tblCellMar>
          <w:top w:w="0" w:type="dxa"/>
          <w:left w:w="0" w:type="dxa"/>
          <w:bottom w:w="0" w:type="dxa"/>
          <w:right w:w="0" w:type="dxa"/>
        </w:tblCellMar>
      </w:tblPr>
      <w:tblGrid>
        <w:gridCol w:w="140"/>
        <w:gridCol w:w="461"/>
        <w:gridCol w:w="9604"/>
      </w:tblGrid>
      <w:tr>
        <w:trPr/>
        <w:tc>
          <w:tcPr>
            <w:tcW w:w="1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Symbol" w:hAnsi="Symbol"/>
              </w:rPr>
            </w:pPr>
            <w:r>
              <w:rPr>
                <w:rFonts w:ascii="Symbol" w:hAnsi="Symbol"/>
              </w:rPr>
              <w:t>·</w:t>
            </w:r>
          </w:p>
        </w:tc>
        <w:tc>
          <w:tcPr>
            <w:tcW w:w="9604" w:type="dxa"/>
            <w:tcBorders/>
            <w:vAlign w:val="center"/>
          </w:tcPr>
          <w:p>
            <w:pPr>
              <w:pStyle w:val="TableContents"/>
              <w:bidi w:val="0"/>
              <w:spacing w:before="0" w:after="283"/>
              <w:jc w:val="both"/>
              <w:rPr/>
            </w:pPr>
            <w:r>
              <w:rPr/>
              <w:t>Domestic: 1-800-274-8461</w:t>
            </w:r>
          </w:p>
        </w:tc>
      </w:tr>
    </w:tbl>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International: 1-203-518-9814</w:t>
            </w:r>
          </w:p>
        </w:tc>
      </w:tr>
    </w:tbl>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Conference ID: ARCTURUS</w:t>
            </w:r>
          </w:p>
        </w:tc>
      </w:tr>
    </w:tbl>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both"/>
              <w:rPr/>
            </w:pPr>
            <w:r>
              <w:rPr/>
              <w:t>Webcast: https://viavid.webcasts.com/starthere.jsp?ei=1733040&amp;tp_key=4de9a79de1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commercial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X (formerly Twitter) and LinkedIn.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clinical data, including interim data, will be predictive of future clinical results, the likelihood that observed mucus plug reduction is predictive of future and future reduction and will lead to lung function or structural lung defect improvements, the plans to enroll subjects in the third cohort of the Phase 2 clinical trial of ARCT-032, the likelihood and timing for initiation, and size and scope, of a planned 12-week safety and preliminary efficacy study for ARCT-032, plans to advance ARCT-032 further into development, the likelihood and timing for achieving alignment with regulatory agencies on pivotal studies for ARCT-810, the likelihood of success of any collaboration including the anticipated continued support from CSL to commercialize KOSTAIVE, the continued determination that ARCT-032 is generally safe and well tolerated, the likelihood of further development of a self-amplifying mRNA pandemic influenza vaccine candidate, the likelihood that preclinical or clinical data will be predictive of future clinical results, the likelihood that general and administrative expenses will continue to decrease,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Times;Serif" w:hAnsi="Times New Roman;Times;Serif"/>
          <w:b w:val="false"/>
          <w:i w:val="false"/>
          <w:caps w:val="false"/>
          <w:smallCaps w:val="false"/>
          <w:color w:val="0563C1"/>
          <w:sz w:val="20"/>
        </w:rPr>
        <w:t>www.sec.gov</w:t>
      </w:r>
      <w:r>
        <w:rPr>
          <w:rFonts w:ascii="Times New Roman;Times;Serif" w:hAnsi="Times New Roman;Times;Serif"/>
          <w:b w:val="false"/>
          <w:i w:val="false"/>
          <w:caps w:val="false"/>
          <w:smallCaps w:val="false"/>
          <w:sz w:val="20"/>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0"/>
        <w:gridCol w:w="60"/>
        <w:gridCol w:w="178"/>
        <w:gridCol w:w="1174"/>
        <w:gridCol w:w="123"/>
        <w:gridCol w:w="60"/>
        <w:gridCol w:w="177"/>
        <w:gridCol w:w="1112"/>
        <w:gridCol w:w="141"/>
      </w:tblGrid>
      <w:tr>
        <w:trPr/>
        <w:tc>
          <w:tcPr>
            <w:tcW w:w="7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60" w:type="dxa"/>
            <w:tcBorders/>
            <w:vAlign w:val="center"/>
          </w:tcPr>
          <w:p>
            <w:pPr>
              <w:pStyle w:val="TableContents"/>
              <w:bidi w:val="0"/>
              <w:spacing w:before="0" w:after="283"/>
              <w:jc w:val="left"/>
              <w:rPr/>
            </w:pPr>
            <w:r>
              <w:rPr/>
              <w:t> </w:t>
            </w:r>
          </w:p>
        </w:tc>
        <w:tc>
          <w:tcPr>
            <w:tcW w:w="14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r>
      <w:tr>
        <w:trPr/>
        <w:tc>
          <w:tcPr>
            <w:tcW w:w="7180" w:type="dxa"/>
            <w:tcBorders/>
            <w:shd w:fill="CCEEFF" w:val="clear"/>
            <w:vAlign w:val="center"/>
          </w:tcPr>
          <w:p>
            <w:pPr>
              <w:pStyle w:val="TableContents"/>
              <w:bidi w:val="0"/>
              <w:spacing w:before="0" w:after="283"/>
              <w:jc w:val="left"/>
              <w:rPr/>
            </w:pPr>
            <w:r>
              <w:rPr/>
              <w:t>(in thousands, except par value information)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(unaudited)</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180,360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237,028</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55,000</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55,000</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7,951</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3,974</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5,889</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9,977</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249,200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305,979</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7,419</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9,531</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23,839</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26,674</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Non-current 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1,885</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1,885</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282,343</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344,069</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5,491</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7,194</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19,382</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38,781</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6,826</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19,514</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31,699</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65,489</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4,220</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12,604</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21,865</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24,998</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57,784</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103,091</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Common stock, $0.001 par value; 60,000 shares authorized; issued and</w:t>
              <w:br/>
              <w:t>outstanding shares were 27,235 at September 30, 2025 and 27,096 at December 31, 2024</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27</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27</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710,043</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689,758</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(485,511</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(448,807</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18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224,559</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240,978</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282,343</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344,069</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5270"/>
        <w:gridCol w:w="60"/>
        <w:gridCol w:w="151"/>
        <w:gridCol w:w="817"/>
        <w:gridCol w:w="102"/>
        <w:gridCol w:w="65"/>
        <w:gridCol w:w="151"/>
        <w:gridCol w:w="817"/>
        <w:gridCol w:w="102"/>
        <w:gridCol w:w="60"/>
        <w:gridCol w:w="140"/>
        <w:gridCol w:w="800"/>
        <w:gridCol w:w="95"/>
        <w:gridCol w:w="60"/>
        <w:gridCol w:w="140"/>
        <w:gridCol w:w="80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2145" w:type="dxa"/>
            <w:gridSpan w:val="7"/>
            <w:tcBorders/>
            <w:vAlign w:val="center"/>
          </w:tcPr>
          <w:p>
            <w:pPr>
              <w:pStyle w:val="TableContents"/>
              <w:bidi w:val="0"/>
              <w:spacing w:before="0" w:after="283"/>
              <w:jc w:val="center"/>
              <w:rPr>
                <w:b/>
              </w:rPr>
            </w:pPr>
            <w:r>
              <w:rPr>
                <w:b/>
              </w:rPr>
              <w:t>Nine Months Ended</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214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r>
      <w:tr>
        <w:trPr/>
        <w:tc>
          <w:tcPr>
            <w:tcW w:w="5270" w:type="dxa"/>
            <w:tcBorders/>
            <w:vAlign w:val="center"/>
          </w:tcPr>
          <w:p>
            <w:pPr>
              <w:pStyle w:val="TableContents"/>
              <w:bidi w:val="0"/>
              <w:spacing w:before="0" w:after="283"/>
              <w:jc w:val="left"/>
              <w:rPr/>
            </w:pPr>
            <w:r>
              <w:rPr/>
              <w:t>(in thousands, except per share data)</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27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Collaboration 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14,153</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38,815</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117,389</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2,998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2,858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10,695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12,155</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17,151</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41,673</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74,835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129,544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23,265</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39,134</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151,376</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10,398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13,276</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32,052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40,443</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33,663</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52,410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119,788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191,819</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(16,512</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(10,737</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(62,275</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Loss from foreign currency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(170</w:t>
            </w:r>
          </w:p>
        </w:tc>
        <w:tc>
          <w:tcPr>
            <w:tcW w:w="102"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(201</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Finance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3,234</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3,818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8,572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11,981</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(13,448</w:t>
            </w:r>
          </w:p>
        </w:tc>
        <w:tc>
          <w:tcPr>
            <w:tcW w:w="102"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(7,120</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(50,936</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(217</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(13,448</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(6,903</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(36,704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(50,936</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(0.49</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(0.26</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27,188</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27,062</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26,970</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(13,448</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(6,903</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(36,704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(50,936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(13,448</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(6,903</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(36,704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(50,936</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Arcturus Therapeutics</w:t>
        <w:br/>
      </w:r>
      <w:r>
        <w:rPr>
          <w:rFonts w:ascii="Times New Roman;Times;Serif" w:hAnsi="Times New Roman;Times;Serif"/>
          <w:b w:val="false"/>
          <w:i w:val="false"/>
          <w:caps w:val="false"/>
          <w:smallCaps w:val="false"/>
          <w:sz w:val="20"/>
        </w:rPr>
        <w:t>Public Relations &amp; Investor Relations</w:t>
        <w:br/>
        <w:t>Neda Safarzadeh</w:t>
        <w:br/>
        <w:t>VP, Head of IR/PR/Marketing</w:t>
        <w:br/>
        <w:t>(858) 900-2682</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IR@ArcturusRx.com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3505</Words>
  <Characters>20209</Characters>
  <CharactersWithSpaces>23827</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