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7" w:lineRule="exact"/>
        <w:rPr>
          <w:sz w:val="24"/>
          <w:szCs w:val="24"/>
          <w:color w:val="auto"/>
        </w:rPr>
      </w:pPr>
    </w:p>
    <w:p>
      <w:pPr>
        <w:ind w:left="340"/>
        <w:spacing w:after="0" w:line="25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-229235</wp:posOffset>
            </wp:positionV>
            <wp:extent cx="121285" cy="1212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8"/>
        </w:trPr>
        <w:tc>
          <w:tcPr>
            <w:tcW w:w="6260" w:type="dxa"/>
            <w:vAlign w:val="bottom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97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97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5255260</wp:posOffset>
            </wp:positionH>
            <wp:positionV relativeFrom="paragraph">
              <wp:posOffset>-619125</wp:posOffset>
            </wp:positionV>
            <wp:extent cx="57785" cy="63246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2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3968115</wp:posOffset>
            </wp:positionH>
            <wp:positionV relativeFrom="paragraph">
              <wp:posOffset>-619125</wp:posOffset>
            </wp:positionV>
            <wp:extent cx="57785" cy="6324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2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-1649095</wp:posOffset>
            </wp:positionH>
            <wp:positionV relativeFrom="paragraph">
              <wp:posOffset>21590</wp:posOffset>
            </wp:positionV>
            <wp:extent cx="7047230" cy="60966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230" cy="6096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20" w:space="360"/>
            <w:col w:w="8500"/>
          </w:cols>
          <w:pgMar w:left="460" w:top="216" w:right="35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Marquet Magda</w:t>
        </w:r>
      </w:hyperlink>
    </w:p>
    <w:p>
      <w:pPr>
        <w:spacing w:after="0" w:line="29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/>
        <w:spacing w:after="0" w:line="27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ARCTURUS THERAPEUTICS HOLDINGS INC.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10628 SCIENCE CENTER DRIVE, SUITE 250</w:t>
      </w:r>
    </w:p>
    <w:p>
      <w:pPr>
        <w:spacing w:after="0" w:line="276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(Street)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SAN DIEGO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CA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92121</w:t>
      </w:r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(Zip)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3820" w:type="dxa"/>
            <w:vAlign w:val="bottom"/>
            <w:gridSpan w:val="4"/>
          </w:tcPr>
          <w:p>
            <w:pPr>
              <w:ind w:left="60"/>
              <w:spacing w:after="0" w:line="140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Arcturus Therapeutics Holdings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ARCT</w:t>
            </w: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auto"/>
              </w:rPr>
              <w:t>]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30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06/14/2024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Rule 10b5-1(c) Transaction Indication</w:t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20" w:right="380"/>
        <w:spacing w:after="0" w:line="28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480" w:space="360"/>
            <w:col w:w="724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06/14/2024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3,131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3,131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Via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Alma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jc w:val="right"/>
              <w:ind w:right="2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24,942</w:t>
            </w:r>
          </w:p>
        </w:tc>
        <w:tc>
          <w:tcPr>
            <w:tcW w:w="94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Life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Sciences,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LLC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3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 3,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 and 5)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3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3,131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ind w:right="1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06/14/2024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vMerge w:val="restart"/>
          </w:tcPr>
          <w:p>
            <w:pPr>
              <w:ind w:left="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3,131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right"/>
              <w:ind w:right="381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68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680" w:type="dxa"/>
            <w:vAlign w:val="bottom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ind w:right="2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31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06/14/2024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15,000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06/14/2034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15,000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right"/>
              <w:ind w:right="2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15,000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68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  <w:r>
        <w:rPr>
          <w:rFonts w:ascii="Times New Roman" w:cs="Times New Roman" w:eastAsia="Times New Roman" w:hAnsi="Times New Roman"/>
          <w:sz w:val="21"/>
          <w:szCs w:val="21"/>
          <w:color w:val="008000"/>
          <w:vertAlign w:val="superscript"/>
        </w:rPr>
        <w:t>(3)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 w:right="240"/>
        <w:spacing w:after="0" w:line="250" w:lineRule="auto"/>
        <w:tabs>
          <w:tab w:leader="none" w:pos="168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deferred stock unit is economically equivalent to one share of the Issuer's common stock, was granted on August 1, 2023 as a portion of the Reporting Person's 2023 annual grant, and vested at the Issuer's 2024 annual meeting of stockholders, which occurred on June 14, 2024.</w:t>
      </w:r>
    </w:p>
    <w:p>
      <w:pPr>
        <w:spacing w:after="0" w:line="2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a portion of the 2023 annual grant to the Reporting Person as a member of the Board of Directors of the Issuer.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underlying the option vest monthly over a one year period from the date of grant. This represents the 2024 annual grant to the Reporting Person as a member of the Board of Directors of the Issuer.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/s/ Ilan Katz, attorney-in-fact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06/18/2024</w:t>
            </w:r>
          </w:p>
        </w:tc>
      </w:tr>
      <w:tr>
        <w:trPr>
          <w:trHeight w:val="224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/>
        <w:spacing w:after="0" w:line="332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31486" TargetMode="External"/><Relationship Id="rId13" Type="http://schemas.openxmlformats.org/officeDocument/2006/relationships/hyperlink" Target="http://www.sec.gov/cgi-bin/browse-edgar?action=getcompany&amp;CIK=000176822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2024-06-18T20:07:05Z</dcterms:created>
  <dcterms:modified xsi:type="dcterms:W3CDTF">2024-06-18T20:07:05Z</dcterms:modified>
</cp:coreProperties>
</file>