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(Date of Event which Requires Filing of this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Statement)</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spacing w:after="0"/>
        <w:tabs>
          <w:tab w:leader="none" w:pos="4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right="9460" w:firstLine="8"/>
        <w:spacing w:after="0" w:line="565" w:lineRule="auto"/>
        <w:tabs>
          <w:tab w:leader="none" w:pos="529"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w:t>
      </w:r>
    </w:p>
    <w:p>
      <w:pPr>
        <w:spacing w:after="0" w:line="8" w:lineRule="exact"/>
        <w:rPr>
          <w:sz w:val="24"/>
          <w:szCs w:val="24"/>
          <w:color w:val="auto"/>
        </w:rPr>
      </w:pPr>
    </w:p>
    <w:p>
      <w:pPr>
        <w:jc w:val="both"/>
        <w:ind w:firstLine="656"/>
        <w:spacing w:after="0" w:line="234" w:lineRule="auto"/>
        <w:tabs>
          <w:tab w:leader="none" w:pos="86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ind w:right="400" w:firstLine="81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ind w:left="780" w:hanging="772"/>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265"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60" w:hanging="483"/>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2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0 shares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760" w:right="5680" w:hanging="752"/>
        <w:spacing w:after="0" w:line="500"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right="6620" w:hanging="752"/>
        <w:spacing w:after="0" w:line="50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27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98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098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right="6340"/>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60" w:hanging="483"/>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2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5</w:t>
            </w:r>
          </w:p>
        </w:tc>
        <w:tc>
          <w:tcPr>
            <w:tcW w:w="9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4"/>
                <w:szCs w:val="24"/>
                <w:color w:val="auto"/>
              </w:rPr>
            </w:pP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6</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7"/>
        </w:trPr>
        <w:tc>
          <w:tcPr>
            <w:tcW w:w="2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9240" w:type="dxa"/>
            <w:vAlign w:val="bottom"/>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3"/>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Refer to Item 4 below.</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7</w:t>
            </w:r>
          </w:p>
        </w:tc>
        <w:tc>
          <w:tcPr>
            <w:tcW w:w="91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tcPr>
          <w:p>
            <w:pPr>
              <w:jc w:val="center"/>
              <w:spacing w:after="0"/>
              <w:rPr>
                <w:sz w:val="20"/>
                <w:szCs w:val="20"/>
                <w:color w:val="auto"/>
              </w:rPr>
            </w:pPr>
            <w:r>
              <w:rPr>
                <w:rFonts w:ascii="Arial" w:cs="Arial" w:eastAsia="Arial" w:hAnsi="Arial"/>
                <w:sz w:val="18"/>
                <w:szCs w:val="18"/>
                <w:color w:val="auto"/>
                <w:w w:val="89"/>
              </w:rPr>
              <w:t>Person With</w:t>
            </w:r>
          </w:p>
        </w:tc>
        <w:tc>
          <w:tcPr>
            <w:tcW w:w="9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24"/>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8</w:t>
            </w:r>
          </w:p>
        </w:tc>
        <w:tc>
          <w:tcPr>
            <w:tcW w:w="9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0 shares</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760" w:right="5680" w:hanging="752"/>
        <w:spacing w:after="0" w:line="50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098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 w:lineRule="exact"/>
        <w:rPr>
          <w:sz w:val="20"/>
          <w:szCs w:val="20"/>
          <w:color w:val="auto"/>
        </w:rPr>
      </w:pPr>
    </w:p>
    <w:p>
      <w:pPr>
        <w:ind w:left="940" w:right="4240" w:hanging="932"/>
        <w:spacing w:after="0" w:line="25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60" w:right="6620" w:hanging="752"/>
        <w:spacing w:after="0" w:line="50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60" w:right="7320" w:hanging="752"/>
        <w:spacing w:after="0" w:line="62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0980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7098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ind w:left="772" w:hanging="772"/>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500"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right="5519" w:hanging="752"/>
        <w:spacing w:after="0" w:line="500"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-1271270</wp:posOffset>
            </wp:positionV>
            <wp:extent cx="7098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4" w:name="page5"/>
    <w:bookmarkEnd w:id="4"/>
    <w:p>
      <w:pPr>
        <w:ind w:left="772" w:hanging="772"/>
        <w:spacing w:after="0"/>
        <w:tabs>
          <w:tab w:leader="none" w:pos="7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72" w:right="5239"/>
        <w:spacing w:after="0" w:line="50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252" w:hanging="483"/>
        <w:spacing w:after="0"/>
        <w:tabs>
          <w:tab w:leader="none" w:pos="12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-130175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871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9" w:right="1440" w:bottom="1440" w:gutter="0" w:footer="0" w:header="0"/>
          <w:type w:val="continuous"/>
        </w:sectPr>
      </w:pPr>
    </w:p>
    <w:p>
      <w:pPr>
        <w:spacing w:after="0" w:line="79" w:lineRule="exact"/>
        <w:rPr>
          <w:sz w:val="20"/>
          <w:szCs w:val="20"/>
          <w:color w:val="auto"/>
        </w:rPr>
      </w:pPr>
    </w:p>
    <w:p>
      <w:pPr>
        <w:ind w:left="752" w:right="4579" w:hanging="752"/>
        <w:spacing w:after="0" w:line="500" w:lineRule="auto"/>
        <w:tabs>
          <w:tab w:leader="none" w:pos="7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098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98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 w:lineRule="exact"/>
        <w:rPr>
          <w:sz w:val="20"/>
          <w:szCs w:val="20"/>
          <w:color w:val="auto"/>
        </w:rPr>
      </w:pPr>
    </w:p>
    <w:p>
      <w:pPr>
        <w:ind w:left="932" w:right="3139" w:hanging="932"/>
        <w:spacing w:after="0" w:line="258"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[]N/A</w:t>
      </w:r>
    </w:p>
    <w:p>
      <w:pPr>
        <w:ind w:left="752" w:right="5519" w:hanging="752"/>
        <w:spacing w:after="0" w:line="500"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752"/>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23" w:lineRule="exact"/>
        <w:rPr>
          <w:rFonts w:ascii="Arial" w:cs="Arial" w:eastAsia="Arial" w:hAnsi="Arial"/>
          <w:sz w:val="18"/>
          <w:szCs w:val="18"/>
          <w:color w:val="auto"/>
        </w:rPr>
      </w:pPr>
    </w:p>
    <w:p>
      <w:pPr>
        <w:ind w:left="752" w:right="6219" w:hanging="752"/>
        <w:spacing w:after="0" w:line="527" w:lineRule="auto"/>
        <w:tabs>
          <w:tab w:leader="none" w:pos="7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098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-576580</wp:posOffset>
            </wp:positionV>
            <wp:extent cx="7098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-1271270</wp:posOffset>
            </wp:positionV>
            <wp:extent cx="7098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9"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220"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Arcturus Therapeutics Holdings Inc.</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10628 Science Center Drive, Suite 250, San Diego, California 92121</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9" w:lineRule="exact"/>
        <w:rPr>
          <w:sz w:val="20"/>
          <w:szCs w:val="20"/>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00" w:right="5939"/>
        <w:spacing w:after="0" w:line="265"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Asset Management, LP</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10" w:lineRule="exact"/>
        <w:rPr>
          <w:rFonts w:ascii="Arial" w:cs="Arial" w:eastAsia="Arial" w:hAnsi="Arial"/>
          <w:sz w:val="18"/>
          <w:szCs w:val="18"/>
          <w:color w:val="auto"/>
        </w:rPr>
      </w:pPr>
    </w:p>
    <w:p>
      <w:pPr>
        <w:ind w:left="800" w:right="5059" w:hanging="792"/>
        <w:spacing w:after="0" w:line="25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 Clarendon Street, 52nd Floor</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Boston, MA 02116</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800" w:right="4639"/>
        <w:spacing w:after="0" w:line="255"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Asset Management, LP - Delaware</w:t>
      </w:r>
    </w:p>
    <w:p>
      <w:pPr>
        <w:spacing w:after="0" w:line="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10" w:lineRule="exact"/>
        <w:rPr>
          <w:rFonts w:ascii="Arial" w:cs="Arial" w:eastAsia="Arial" w:hAnsi="Arial"/>
          <w:sz w:val="18"/>
          <w:szCs w:val="18"/>
          <w:color w:val="auto"/>
        </w:rPr>
      </w:pPr>
    </w:p>
    <w:p>
      <w:pPr>
        <w:ind w:left="800" w:right="7419" w:hanging="792"/>
        <w:spacing w:after="0" w:line="342"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800" w:right="8199" w:hanging="792"/>
        <w:spacing w:after="0" w:line="342"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CUSIP Number 03969T109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Arial" w:cs="Arial" w:eastAsia="Arial" w:hAnsi="Arial"/>
                <w:sz w:val="18"/>
                <w:szCs w:val="18"/>
                <w:b w:val="1"/>
                <w:bCs w:val="1"/>
                <w:color w:val="auto"/>
                <w:w w:val="90"/>
              </w:rPr>
              <w:t>If this statement is filed pursuant to §§240.13d-1(b) or 240.13d-2(b) or (c), check whether the person filing is a:</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850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ind w:left="780" w:hanging="7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w w:val="93"/>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tcPr>
          <w:p>
            <w:pPr>
              <w:ind w:left="580"/>
              <w:spacing w:after="0"/>
              <w:rPr>
                <w:sz w:val="20"/>
                <w:szCs w:val="20"/>
                <w:color w:val="auto"/>
              </w:rPr>
            </w:pPr>
            <w:r>
              <w:rPr>
                <w:rFonts w:ascii="Arial" w:cs="Arial" w:eastAsia="Arial" w:hAnsi="Arial"/>
                <w:sz w:val="18"/>
                <w:szCs w:val="18"/>
                <w:color w:val="auto"/>
              </w:rPr>
              <w:t>of 1940 (15 U.S.C. 80a-3);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(j)</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A non-U.S. institution in accordance with §240.13d–1(b)(1)(ii)(J);</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(k)</w:t>
            </w:r>
          </w:p>
        </w:tc>
        <w:tc>
          <w:tcPr>
            <w:tcW w:w="300" w:type="dxa"/>
            <w:vAlign w:val="bottom"/>
          </w:tcPr>
          <w:p>
            <w:pPr>
              <w:jc w:val="right"/>
              <w:spacing w:after="0"/>
              <w:rPr>
                <w:sz w:val="20"/>
                <w:szCs w:val="20"/>
                <w:color w:val="auto"/>
              </w:rPr>
            </w:pPr>
            <w:r>
              <w:rPr>
                <w:rFonts w:ascii="Arial" w:cs="Arial" w:eastAsia="Arial" w:hAnsi="Arial"/>
                <w:sz w:val="18"/>
                <w:szCs w:val="18"/>
                <w:color w:val="auto"/>
              </w:rPr>
              <w:t>[ ]</w:t>
            </w:r>
          </w:p>
        </w:tc>
        <w:tc>
          <w:tcPr>
            <w:tcW w:w="10280" w:type="dxa"/>
            <w:vAlign w:val="bottom"/>
          </w:tcPr>
          <w:p>
            <w:pPr>
              <w:ind w:left="580"/>
              <w:spacing w:after="0"/>
              <w:rPr>
                <w:sz w:val="20"/>
                <w:szCs w:val="20"/>
                <w:color w:val="auto"/>
              </w:rPr>
            </w:pPr>
            <w:r>
              <w:rPr>
                <w:rFonts w:ascii="Arial" w:cs="Arial" w:eastAsia="Arial" w:hAnsi="Arial"/>
                <w:sz w:val="18"/>
                <w:szCs w:val="18"/>
                <w:color w:val="auto"/>
              </w:rPr>
              <w:t>Group, in accordance with §240.13d-1(b)(1)(ii)(K).</w:t>
            </w:r>
          </w:p>
        </w:tc>
      </w:tr>
      <w:tr>
        <w:trPr>
          <w:trHeight w:val="459"/>
        </w:trPr>
        <w:tc>
          <w:tcPr>
            <w:tcW w:w="6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0" w:type="dxa"/>
            <w:vAlign w:val="bottom"/>
          </w:tcPr>
          <w:p>
            <w:pPr>
              <w:spacing w:after="0"/>
              <w:rPr>
                <w:sz w:val="24"/>
                <w:szCs w:val="24"/>
                <w:color w:val="auto"/>
              </w:rPr>
            </w:pPr>
          </w:p>
        </w:tc>
        <w:tc>
          <w:tcPr>
            <w:tcW w:w="10280" w:type="dxa"/>
            <w:vAlign w:val="bottom"/>
          </w:tcPr>
          <w:p>
            <w:pPr>
              <w:ind w:left="20"/>
              <w:spacing w:after="0"/>
              <w:rPr>
                <w:sz w:val="20"/>
                <w:szCs w:val="20"/>
                <w:color w:val="auto"/>
              </w:rPr>
            </w:pPr>
            <w:r>
              <w:rPr>
                <w:rFonts w:ascii="Arial" w:cs="Arial" w:eastAsia="Arial" w:hAnsi="Arial"/>
                <w:sz w:val="18"/>
                <w:szCs w:val="18"/>
                <w:b w:val="1"/>
                <w:bCs w:val="1"/>
                <w:color w:val="auto"/>
              </w:rPr>
              <w:t>Ownership***</w:t>
            </w:r>
          </w:p>
        </w:tc>
      </w:tr>
    </w:tbl>
    <w:p>
      <w:pPr>
        <w:spacing w:after="0" w:line="195"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182"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800" w:right="628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80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9"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10" w:lineRule="exact"/>
        <w:rPr>
          <w:rFonts w:ascii="Arial" w:cs="Arial" w:eastAsia="Arial" w:hAnsi="Arial"/>
          <w:sz w:val="18"/>
          <w:szCs w:val="18"/>
          <w:color w:val="auto"/>
        </w:rPr>
      </w:pPr>
    </w:p>
    <w:p>
      <w:pPr>
        <w:ind w:left="800" w:right="6640"/>
        <w:spacing w:after="0" w:line="255"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0% Cormorant Global Healthcare GP, LLC – 0% Cormorant Asset Management, LP – 0%</w:t>
      </w:r>
    </w:p>
    <w:p>
      <w:pPr>
        <w:spacing w:after="0" w:line="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0%</w:t>
      </w:r>
    </w:p>
    <w:p>
      <w:pPr>
        <w:spacing w:after="0" w:line="237" w:lineRule="exact"/>
        <w:rPr>
          <w:rFonts w:ascii="Arial" w:cs="Arial" w:eastAsia="Arial" w:hAnsi="Arial"/>
          <w:sz w:val="18"/>
          <w:szCs w:val="18"/>
          <w:color w:val="auto"/>
        </w:rPr>
      </w:pPr>
    </w:p>
    <w:p>
      <w:pPr>
        <w:ind w:left="800" w:hanging="792"/>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560" w:right="554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560" w:right="55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560" w:right="554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10" w:lineRule="exact"/>
        <w:rPr>
          <w:rFonts w:ascii="Arial" w:cs="Arial" w:eastAsia="Arial" w:hAnsi="Arial"/>
          <w:sz w:val="18"/>
          <w:szCs w:val="18"/>
          <w:color w:val="auto"/>
        </w:rPr>
      </w:pPr>
    </w:p>
    <w:p>
      <w:pPr>
        <w:ind w:left="1560" w:hanging="769"/>
        <w:spacing w:after="0"/>
        <w:tabs>
          <w:tab w:leader="none" w:pos="15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560" w:right="5520"/>
        <w:spacing w:after="0" w:line="271"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ind w:left="156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jc w:val="both"/>
        <w:ind w:left="660" w:hanging="4"/>
        <w:spacing w:after="0" w:line="234" w:lineRule="auto"/>
        <w:tabs>
          <w:tab w:leader="none" w:pos="1052"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Shares reported herein for Cormorant Asset Management, LP represent shares which are beneficially by Cormorant Global Healthcare Master Fund, LP (the “Master Fund”), as reported herein, and a managed account (the “Account”). Cormorant Global Healthcare GP, LLC serves as the general partner of the Master Fund. Cormorant Asset Management, LP serves as the investment manager to the Master Fund and the Account. Bihua Chen serves as the managing member of Cormorant Global Healthcare GP, LLC and the general partner of Cormorant Asset Management, LP. Each of the Reporting Persons disclaims beneficial ownership of the shares reported herein except to the extent of its or his pecuniary interest therein.</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ectPr>
          <w:pgSz w:w="11900" w:h="16838" w:orient="portrait"/>
          <w:cols w:equalWidth="0" w:num="1">
            <w:col w:w="11240"/>
          </w:cols>
          <w:pgMar w:left="320" w:top="121" w:right="339" w:bottom="0" w:gutter="0" w:footer="0" w:header="0"/>
          <w:type w:val="continuous"/>
        </w:sectPr>
      </w:pPr>
    </w:p>
    <w:bookmarkStart w:id="7" w:name="page8"/>
    <w:bookmarkEnd w:id="7"/>
    <w:p>
      <w:pPr>
        <w:jc w:val="both"/>
        <w:ind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jc w:val="center"/>
        <w:ind w:right="796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Exhibits</w:t>
        <w:tab/>
        <w:t>Exhibit</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99.1</w:t>
      </w:r>
      <w:r>
        <w:rPr>
          <w:sz w:val="20"/>
          <w:szCs w:val="20"/>
          <w:color w:val="auto"/>
        </w:rPr>
        <w:tab/>
      </w:r>
      <w:r>
        <w:rPr>
          <w:rFonts w:ascii="Arial" w:cs="Arial" w:eastAsia="Arial" w:hAnsi="Arial"/>
          <w:sz w:val="19"/>
          <w:szCs w:val="19"/>
          <w:color w:val="auto"/>
        </w:rPr>
        <w:t>Joint Filing Agreement by and among the Reporting Persons, incorporated by reference to Exhibit 99.1 to Schedule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13G filed by the Reporting Persons with the Securities and Exchange Commission on 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right="1300"/>
        <w:spacing w:after="0"/>
        <w:rPr>
          <w:sz w:val="20"/>
          <w:szCs w:val="20"/>
          <w:color w:val="auto"/>
        </w:rPr>
      </w:pPr>
      <w:r>
        <w:rPr>
          <w:rFonts w:ascii="Arial" w:cs="Arial" w:eastAsia="Arial" w:hAnsi="Arial"/>
          <w:sz w:val="22"/>
          <w:szCs w:val="22"/>
          <w:color w:val="auto"/>
        </w:rPr>
        <w:t>CORMORANT GLOBAL HEALTHCARE MASTER FUND, LP By: Cormorant Global Healthcare GP, LLC its General Partner</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GLOBAL HEALTHCARE GP, LLC</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CORMORANT ASSET MANAGEMENT, LP</w:t>
      </w:r>
    </w:p>
    <w:p>
      <w:pPr>
        <w:ind w:left="4220"/>
        <w:spacing w:after="0" w:line="238" w:lineRule="auto"/>
        <w:rPr>
          <w:sz w:val="20"/>
          <w:szCs w:val="20"/>
          <w:color w:val="auto"/>
        </w:rPr>
      </w:pPr>
      <w:r>
        <w:rPr>
          <w:rFonts w:ascii="Arial" w:cs="Arial" w:eastAsia="Arial" w:hAnsi="Arial"/>
          <w:sz w:val="22"/>
          <w:szCs w:val="22"/>
          <w:color w:val="auto"/>
        </w:rPr>
        <w:t>By: Cormorant Asset Management GP, LLC</w:t>
      </w:r>
    </w:p>
    <w:p>
      <w:pPr>
        <w:ind w:left="42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 Managing Member</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/s/ Bihua Chen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Bihua Chen</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Roman"/>
      <w:start w:val="10"/>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lvl w:ilvl="1">
      <w:lvlJc w:val="left"/>
      <w:lvlText w:val="(%2)"/>
      <w:numFmt w:val="lowerLetter"/>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9"/>
      <w:numFmt w:val="bullet"/>
      <w:start w:val="1"/>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2"/>
      <w:numFmt w:val="bullet"/>
      <w:start w:val="1"/>
    </w:lvl>
    <w:lvl w:ilvl="1">
      <w:lvlJc w:val="left"/>
      <w:lvlText w:val="(%2)"/>
      <w:numFmt w:val="lowerLetter"/>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4"/>
      <w:numFmt w:val="bullet"/>
      <w:start w:val="1"/>
    </w:lvl>
  </w:abstractNum>
  <w:abstractNum w:abstractNumId="12">
    <w:nsid w:val="333AB105"/>
    <w:multiLevelType w:val="hybridMultilevel"/>
    <w:lvl w:ilvl="0">
      <w:lvlJc w:val="left"/>
      <w:lvlText w:val="9"/>
      <w:numFmt w:val="bullet"/>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2"/>
      <w:numFmt w:val="bullet"/>
      <w:start w:val="1"/>
    </w:lvl>
    <w:lvl w:ilvl="1">
      <w:lvlJc w:val="left"/>
      <w:lvlText w:val="(%2)"/>
      <w:numFmt w:val="lowerLetter"/>
      <w:start w:val="1"/>
    </w:lvl>
  </w:abstractNum>
  <w:abstractNum w:abstractNumId="16">
    <w:nsid w:val="6763845E"/>
    <w:multiLevelType w:val="hybridMultilevel"/>
    <w:lvl w:ilvl="0">
      <w:lvlJc w:val="left"/>
      <w:lvlText w:val="3"/>
      <w:numFmt w:val="bullet"/>
      <w:start w:val="1"/>
    </w:lvl>
  </w:abstractNum>
  <w:abstractNum w:abstractNumId="17">
    <w:nsid w:val="75A2A8D4"/>
    <w:multiLevelType w:val="hybridMultilevel"/>
    <w:lvl w:ilvl="0">
      <w:lvlJc w:val="left"/>
      <w:lvlText w:val="4"/>
      <w:numFmt w:val="bullet"/>
      <w:start w:val="1"/>
    </w:lvl>
  </w:abstractNum>
  <w:abstractNum w:abstractNumId="18">
    <w:nsid w:val="8EDBDAB"/>
    <w:multiLevelType w:val="hybridMultilevel"/>
    <w:lvl w:ilvl="0">
      <w:lvlJc w:val="left"/>
      <w:lvlText w:val="9"/>
      <w:numFmt w:val="bullet"/>
      <w:start w:val="1"/>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2"/>
      <w:numFmt w:val="bullet"/>
      <w:start w:val="1"/>
    </w:lvl>
    <w:lvl w:ilvl="1">
      <w:lvlJc w:val="left"/>
      <w:lvlText w:val="(%2)"/>
      <w:numFmt w:val="lowerLetter"/>
      <w:start w:val="1"/>
    </w:lvl>
  </w:abstractNum>
  <w:abstractNum w:abstractNumId="22">
    <w:nsid w:val="189A769B"/>
    <w:multiLevelType w:val="hybridMultilevel"/>
    <w:lvl w:ilvl="0">
      <w:lvlJc w:val="left"/>
      <w:lvlText w:val="3"/>
      <w:numFmt w:val="bullet"/>
      <w:start w:val="1"/>
    </w:lvl>
  </w:abstractNum>
  <w:abstractNum w:abstractNumId="23">
    <w:nsid w:val="54E49EB4"/>
    <w:multiLevelType w:val="hybridMultilevel"/>
    <w:lvl w:ilvl="0">
      <w:lvlJc w:val="left"/>
      <w:lvlText w:val="4"/>
      <w:numFmt w:val="bullet"/>
      <w:start w:val="1"/>
    </w:lvl>
  </w:abstractNum>
  <w:abstractNum w:abstractNumId="24">
    <w:nsid w:val="71F32454"/>
    <w:multiLevelType w:val="hybridMultilevel"/>
    <w:lvl w:ilvl="0">
      <w:lvlJc w:val="left"/>
      <w:lvlText w:val="9"/>
      <w:numFmt w:val="bullet"/>
      <w:start w:val="1"/>
    </w:lvl>
  </w:abstractNum>
  <w:abstractNum w:abstractNumId="25">
    <w:nsid w:val="2CA88611"/>
    <w:multiLevelType w:val="hybridMultilevel"/>
    <w:lvl w:ilvl="0">
      <w:lvlJc w:val="left"/>
      <w:lvlText w:val="%1"/>
      <w:numFmt w:val="decimal"/>
      <w:start w:val="10"/>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4"/>
    </w:lvl>
  </w:abstractNum>
  <w:abstractNum w:abstractNumId="29">
    <w:nsid w:val="8138641"/>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2021-02-16T14:12:59Z</dcterms:created>
  <dcterms:modified xsi:type="dcterms:W3CDTF">2021-02-16T14:12:59Z</dcterms:modified>
</cp:coreProperties>
</file>