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June 21, 2019</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5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60" w:type="dxa"/>
        <w:tblCellMar>
          <w:top w:w="0" w:type="dxa"/>
          <w:left w:w="0" w:type="dxa"/>
          <w:bottom w:w="0" w:type="dxa"/>
          <w:right w:w="0" w:type="dxa"/>
        </w:tblCellMar>
      </w:tblPr>
      <w:tr>
        <w:trPr>
          <w:trHeight w:val="212"/>
        </w:trPr>
        <w:tc>
          <w:tcPr>
            <w:tcW w:w="3820" w:type="dxa"/>
            <w:vAlign w:val="bottom"/>
          </w:tcPr>
          <w:p>
            <w:pPr>
              <w:jc w:val="center"/>
              <w:ind w:right="190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82"/>
              <w:spacing w:after="0"/>
              <w:rPr>
                <w:sz w:val="20"/>
                <w:szCs w:val="20"/>
                <w:color w:val="auto"/>
              </w:rPr>
            </w:pPr>
            <w:r>
              <w:rPr>
                <w:rFonts w:ascii="Arial" w:cs="Arial" w:eastAsia="Arial" w:hAnsi="Arial"/>
                <w:sz w:val="18"/>
                <w:szCs w:val="18"/>
                <w:b w:val="1"/>
                <w:bCs w:val="1"/>
                <w:color w:val="auto"/>
                <w:w w:val="89"/>
              </w:rPr>
              <w:t>32-0595345</w:t>
            </w:r>
          </w:p>
        </w:tc>
      </w:tr>
      <w:tr>
        <w:trPr>
          <w:trHeight w:val="149"/>
        </w:trPr>
        <w:tc>
          <w:tcPr>
            <w:tcW w:w="382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8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82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w:t>
            </w:r>
          </w:p>
        </w:tc>
        <w:tc>
          <w:tcPr>
            <w:tcW w:w="3380" w:type="dxa"/>
            <w:vAlign w:val="bottom"/>
          </w:tcPr>
          <w:p>
            <w:pPr>
              <w:jc w:val="center"/>
              <w:ind w:left="18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Diego, California 92121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of registrant’s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Arcturus Therapeutics Holdings Inc. 2019 Omnibus Equity Incentive Plan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Arcturus Therapeutics Holdings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(858) 900-2660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and address, and telephone number, including area code, of agent for service)</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Dentons US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1221 Avenue of the Americas</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Jeffrey A. Baumel,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Ilan Katz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237490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Common Stock, par value $0.001 per share reserved for issuance</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pursuant to the 2019 Omnibus Equity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$6.28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$16,328,000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$1,978.96</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$6.28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$16,328,000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$1,978.96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29" w:right="419" w:bottom="157" w:gutter="0" w:footer="0" w:header="0"/>
        </w:sectPr>
      </w:pPr>
    </w:p>
    <w:bookmarkStart w:id="1" w:name="page2"/>
    <w:bookmarkEnd w:id="1"/>
    <w:p>
      <w:pPr>
        <w:ind w:left="436" w:right="140" w:hanging="436"/>
        <w:spacing w:after="0" w:line="254"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(the “Securities Act”), this Registration Statement shall also cover any additional shares of the Registrant’s common stock that become issuable under the 2019 Omnibus Equity Incentive Plan by reason of any stock dividend, stock split, recapitalization or other similar transaction effected without receipt of consideration that increases the number of the Registrant’s outstanding shares of common stock.</w:t>
      </w:r>
    </w:p>
    <w:p>
      <w:pPr>
        <w:spacing w:after="0" w:line="2" w:lineRule="exact"/>
        <w:rPr>
          <w:rFonts w:ascii="Arial" w:cs="Arial" w:eastAsia="Arial" w:hAnsi="Arial"/>
          <w:sz w:val="18"/>
          <w:szCs w:val="18"/>
          <w:color w:val="auto"/>
        </w:rPr>
      </w:pPr>
    </w:p>
    <w:p>
      <w:pPr>
        <w:ind w:left="436" w:hanging="436"/>
        <w:spacing w:after="0" w:line="261"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the average of the high and low prices of the Registrant’s common stock as reported on the NASDAQ Stock Market on June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177165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96"/>
          </w:cols>
          <w:pgMar w:left="444" w:top="139" w:right="5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documents containing the information specified by Part I, Items 1 and 2, of Form S-8 have been or will be delivered to participants in the plans covered by this Registration Statement, as specified in Rule 428(b)(1) promulgated by the Securities and Exchange Commission (the “Commission”) under the Securities Act and the instructions to Form S-8. In accordance with the rules and regulations of the Commission and the instructions to Form S-8, such documents are not being filed with the Commission either as part of the Registration Statement or as prospectuses or prospectus supplements pursuant to Rule 424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Registrant hereby incorporates by reference into this Registration Statement the following documents previously filed with the Commission:</w:t>
      </w:r>
    </w:p>
    <w:p>
      <w:pPr>
        <w:spacing w:after="0" w:line="142" w:lineRule="exact"/>
        <w:rPr>
          <w:sz w:val="20"/>
          <w:szCs w:val="20"/>
          <w:color w:val="auto"/>
        </w:rPr>
      </w:pPr>
    </w:p>
    <w:p>
      <w:pPr>
        <w:ind w:left="440" w:right="420" w:hanging="436"/>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2018, as filed with the SEC on March 18, 2019 and as amended on April 10, 2019;</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w:t>
      </w:r>
      <w:hyperlink r:id="rId1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as filed with the SEC on May 13, 2019;</w:t>
      </w:r>
    </w:p>
    <w:p>
      <w:pPr>
        <w:spacing w:after="0" w:line="130" w:lineRule="exact"/>
        <w:rPr>
          <w:rFonts w:ascii="Arial" w:cs="Arial" w:eastAsia="Arial" w:hAnsi="Arial"/>
          <w:sz w:val="18"/>
          <w:szCs w:val="18"/>
          <w:color w:val="auto"/>
        </w:rPr>
      </w:pPr>
    </w:p>
    <w:p>
      <w:pPr>
        <w:ind w:left="440" w:right="140" w:hanging="436"/>
        <w:spacing w:after="0" w:line="308" w:lineRule="auto"/>
        <w:tabs>
          <w:tab w:leader="none" w:pos="440" w:val="left"/>
        </w:tabs>
        <w:numPr>
          <w:ilvl w:val="0"/>
          <w:numId w:val="2"/>
        </w:numPr>
        <w:rPr>
          <w:rFonts w:ascii="Arial" w:cs="Arial" w:eastAsia="Arial" w:hAnsi="Arial"/>
          <w:sz w:val="17"/>
          <w:szCs w:val="17"/>
          <w:color w:val="0000EE"/>
        </w:rPr>
      </w:pPr>
      <w:hyperlink r:id="rId20">
        <w:r>
          <w:rPr>
            <w:rFonts w:ascii="Arial" w:cs="Arial" w:eastAsia="Arial" w:hAnsi="Arial"/>
            <w:sz w:val="17"/>
            <w:szCs w:val="17"/>
            <w:color w:val="auto"/>
          </w:rPr>
          <w:t xml:space="preserve">The Registrant’s Current Reports on Form 8-K, as filed with the SEC on </w:t>
        </w:r>
        <w:r>
          <w:rPr>
            <w:rFonts w:ascii="Arial" w:cs="Arial" w:eastAsia="Arial" w:hAnsi="Arial"/>
            <w:sz w:val="17"/>
            <w:szCs w:val="17"/>
            <w:u w:val="single" w:color="auto"/>
            <w:color w:val="0000EE"/>
          </w:rPr>
          <w:t>March 19, 2019</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May 13, 2019</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May 20, 2019</w:t>
        </w:r>
        <w:r>
          <w:rPr>
            <w:rFonts w:ascii="Arial" w:cs="Arial" w:eastAsia="Arial" w:hAnsi="Arial"/>
            <w:sz w:val="17"/>
            <w:szCs w:val="17"/>
            <w:color w:val="auto"/>
          </w:rPr>
          <w:t xml:space="preserve">, </w:t>
        </w:r>
        <w:r>
          <w:rPr>
            <w:rFonts w:ascii="Arial" w:cs="Arial" w:eastAsia="Arial" w:hAnsi="Arial"/>
            <w:sz w:val="17"/>
            <w:szCs w:val="17"/>
            <w:u w:val="single" w:color="auto"/>
            <w:color w:val="0000EE"/>
          </w:rPr>
          <w:t>June 14, 2019</w:t>
        </w:r>
        <w:r>
          <w:rPr>
            <w:rFonts w:ascii="Arial" w:cs="Arial" w:eastAsia="Arial" w:hAnsi="Arial"/>
            <w:sz w:val="17"/>
            <w:szCs w:val="17"/>
            <w:color w:val="auto"/>
          </w:rPr>
          <w:t xml:space="preserve">, </w:t>
        </w:r>
        <w:r>
          <w:rPr>
            <w:rFonts w:ascii="Arial" w:cs="Arial" w:eastAsia="Arial" w:hAnsi="Arial"/>
            <w:sz w:val="17"/>
            <w:szCs w:val="17"/>
            <w:u w:val="single" w:color="auto"/>
            <w:color w:val="0000EE"/>
          </w:rPr>
          <w:t>June 19,</w:t>
        </w:r>
      </w:hyperlink>
      <w:r>
        <w:rPr>
          <w:rFonts w:ascii="Arial" w:cs="Arial" w:eastAsia="Arial" w:hAnsi="Arial"/>
          <w:sz w:val="17"/>
          <w:szCs w:val="17"/>
          <w:color w:val="auto"/>
        </w:rPr>
        <w:t xml:space="preserve"> </w:t>
      </w:r>
      <w:hyperlink r:id="rId20">
        <w:r>
          <w:rPr>
            <w:rFonts w:ascii="Arial" w:cs="Arial" w:eastAsia="Arial" w:hAnsi="Arial"/>
            <w:sz w:val="17"/>
            <w:szCs w:val="17"/>
            <w:u w:val="single" w:color="auto"/>
            <w:color w:val="0000EE"/>
          </w:rPr>
          <w:t>2019</w:t>
        </w:r>
        <w:r>
          <w:rPr>
            <w:rFonts w:ascii="Arial" w:cs="Arial" w:eastAsia="Arial" w:hAnsi="Arial"/>
            <w:sz w:val="17"/>
            <w:szCs w:val="17"/>
            <w:color w:val="0000EE"/>
          </w:rPr>
          <w:t xml:space="preserve"> </w:t>
        </w:r>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21">
        <w:r>
          <w:rPr>
            <w:rFonts w:ascii="Arial" w:cs="Arial" w:eastAsia="Arial" w:hAnsi="Arial"/>
            <w:sz w:val="17"/>
            <w:szCs w:val="17"/>
            <w:u w:val="single" w:color="auto"/>
            <w:color w:val="0000EE"/>
          </w:rPr>
          <w:t xml:space="preserve">June 20, 2019 </w:t>
        </w:r>
      </w:hyperlink>
      <w:hyperlink r:id="rId20">
        <w:r>
          <w:rPr>
            <w:rFonts w:ascii="Arial" w:cs="Arial" w:eastAsia="Arial" w:hAnsi="Arial"/>
            <w:sz w:val="17"/>
            <w:szCs w:val="17"/>
            <w:color w:val="000000"/>
          </w:rPr>
          <w:t>(in each case, except for information contained therein which is furnished rather than filed); and</w:t>
        </w:r>
      </w:hyperlink>
    </w:p>
    <w:p>
      <w:pPr>
        <w:spacing w:after="0" w:line="51" w:lineRule="exact"/>
        <w:rPr>
          <w:rFonts w:ascii="Arial" w:cs="Arial" w:eastAsia="Arial" w:hAnsi="Arial"/>
          <w:sz w:val="17"/>
          <w:szCs w:val="17"/>
          <w:color w:val="0000EE"/>
        </w:rPr>
      </w:pPr>
    </w:p>
    <w:p>
      <w:pPr>
        <w:ind w:left="440" w:right="40" w:hanging="436"/>
        <w:spacing w:after="0" w:line="264"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set forth in the registration statement on </w:t>
      </w:r>
      <w:hyperlink r:id="rId2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registering the Registrant’s common stock under Section 12 of the Exchange Act, which was filed with the SEC on May 17, 2013, including any amendments or reports filed for purposes of updating such description, including the </w:t>
      </w:r>
      <w:hyperlink r:id="rId23">
        <w:r>
          <w:rPr>
            <w:rFonts w:ascii="Arial" w:cs="Arial" w:eastAsia="Arial" w:hAnsi="Arial"/>
            <w:sz w:val="18"/>
            <w:szCs w:val="18"/>
            <w:u w:val="single" w:color="auto"/>
            <w:color w:val="0000EE"/>
          </w:rPr>
          <w:t>Form 8-K12B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June 14, 2019.</w:t>
      </w:r>
    </w:p>
    <w:p>
      <w:pPr>
        <w:spacing w:after="0" w:line="181" w:lineRule="exact"/>
        <w:rPr>
          <w:rFonts w:ascii="Arial" w:cs="Arial" w:eastAsia="Arial" w:hAnsi="Arial"/>
          <w:sz w:val="18"/>
          <w:szCs w:val="18"/>
          <w:color w:val="auto"/>
        </w:rPr>
      </w:pPr>
    </w:p>
    <w:p>
      <w:pPr>
        <w:spacing w:after="0" w:line="270" w:lineRule="auto"/>
        <w:rPr>
          <w:sz w:val="20"/>
          <w:szCs w:val="20"/>
          <w:color w:val="auto"/>
        </w:rPr>
      </w:pPr>
      <w:r>
        <w:rPr>
          <w:rFonts w:ascii="Arial" w:cs="Arial" w:eastAsia="Arial" w:hAnsi="Arial"/>
          <w:sz w:val="17"/>
          <w:szCs w:val="17"/>
          <w:color w:val="auto"/>
        </w:rPr>
        <w:t>Furthermore, all reports and other documents subsequently filed by us with the SEC pursuant to Sections 13(a), 13(c), 14, or 15(d) of the Securities Exchange Act of 1934, as amended (the “Exchange Act”),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a part of this Registration Statement from the date of filing of such reports and documents; provided, however, that documents or information deemed to have been furnished and not filed in accordance with the rules of the Commission should not be deemed incorporated by reference in this Registration Statement. Any statement contained in any document incorporated or deemed to be incorporated by reference herein shall be deemed to be modified or superseded for purposes of this Registration Statement to the extent that a statement contained in this Registration Statement or in any other subsequently filed document which also is or is deemed to be incorporated by reference in this Registration Statement modifies or supersedes such statement. Any statement so modified or superseded shall not be deemed, except as so modified or superseded, to constitute a part of this Registration Statement.</w:t>
      </w:r>
    </w:p>
    <w:p>
      <w:pPr>
        <w:spacing w:after="0" w:line="28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The Registrant’s certificate of incorporation and bylaws contain provisions that eliminate, to the fullest extent under applicable</w:t>
      </w:r>
    </w:p>
    <w:p>
      <w:pPr>
        <w:spacing w:after="0" w:line="15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 w:name="page4"/>
    <w:bookmarkEnd w:id="3"/>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 the personal liability of the Registrant’s directors and executive officers for monetary damages. The Registrant’s bylaws provide that the Registrant must indemnify its directors, officers, employees and agents to the fullest extent permitted by law.</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7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Registrant entered into indemnification agreements with its directors and executive officers, in addition to the indemnification provided for in its certificate of incorporation and bylaws, and intends to enter into indemnification agreements with any new directors and executive officers in the future.</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Registrant maintains insurance on behalf of each person who is or was a director or officer of the Registrant against any loss arising from any claim asserted against him or her and incurred by him or her in any such capacity, subject to certain exclusions.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also the undertakings set out in response to Item 9 herein.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See the Exhibit Index below for a list of exhibits filed as part of this Registration Statement, which Exhibit Index is incorporated herein by reference.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180" w:hanging="176"/>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117" w:lineRule="exact"/>
        <w:rPr>
          <w:sz w:val="20"/>
          <w:szCs w:val="20"/>
          <w:color w:val="auto"/>
        </w:rPr>
      </w:pPr>
    </w:p>
    <w:p>
      <w:pPr>
        <w:ind w:right="140" w:firstLine="4"/>
        <w:spacing w:after="0" w:line="293"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6" w:lineRule="exact"/>
        <w:rPr>
          <w:rFonts w:ascii="Arial" w:cs="Arial" w:eastAsia="Arial" w:hAnsi="Arial"/>
          <w:sz w:val="16"/>
          <w:szCs w:val="16"/>
          <w:color w:val="auto"/>
        </w:rPr>
      </w:pPr>
    </w:p>
    <w:p>
      <w:pPr>
        <w:ind w:right="200" w:firstLine="4"/>
        <w:spacing w:after="0" w:line="277"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73" w:lineRule="exact"/>
        <w:rPr>
          <w:sz w:val="20"/>
          <w:szCs w:val="20"/>
          <w:color w:val="auto"/>
        </w:rPr>
      </w:pPr>
    </w:p>
    <w:p>
      <w:pPr>
        <w:ind w:right="700" w:firstLine="4"/>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deemed to be the initial bona fide offering thereof.</w:t>
      </w:r>
    </w:p>
    <w:p>
      <w:pPr>
        <w:spacing w:after="0" w:line="225" w:lineRule="exact"/>
        <w:rPr>
          <w:sz w:val="20"/>
          <w:szCs w:val="20"/>
          <w:color w:val="auto"/>
        </w:rPr>
      </w:pPr>
    </w:p>
    <w:p>
      <w:pPr>
        <w:ind w:firstLine="4"/>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8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440" w:top="274" w:right="5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0" w:type="dxa"/>
            <w:vAlign w:val="bottom"/>
            <w:gridSpan w:val="9"/>
          </w:tcPr>
          <w:p>
            <w:pPr>
              <w:ind w:left="9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73"/>
        </w:trPr>
        <w:tc>
          <w:tcPr>
            <w:tcW w:w="440" w:type="dxa"/>
            <w:vAlign w:val="bottom"/>
            <w:gridSpan w:val="2"/>
          </w:tcPr>
          <w:p>
            <w:pPr>
              <w:jc w:val="center"/>
              <w:spacing w:after="0"/>
              <w:rPr>
                <w:sz w:val="20"/>
                <w:szCs w:val="20"/>
                <w:color w:val="auto"/>
              </w:rPr>
            </w:pPr>
            <w:r>
              <w:rPr>
                <w:rFonts w:ascii="Arial" w:cs="Arial" w:eastAsia="Arial" w:hAnsi="Arial"/>
                <w:sz w:val="14"/>
                <w:szCs w:val="14"/>
                <w:color w:val="auto"/>
              </w:rPr>
              <w:t>Exhibit</w:t>
            </w: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gridSpan w:val="6"/>
            <w:vMerge w:val="restart"/>
          </w:tcPr>
          <w:p>
            <w:pPr>
              <w:ind w:left="3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No.</w:t>
            </w:r>
          </w:p>
        </w:tc>
        <w:tc>
          <w:tcPr>
            <w:tcW w:w="520" w:type="dxa"/>
            <w:vAlign w:val="bottom"/>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74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40" w:type="dxa"/>
            <w:vAlign w:val="bottom"/>
            <w:gridSpan w:val="2"/>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2"/>
                <w:szCs w:val="22"/>
                <w:color w:val="auto"/>
              </w:rPr>
            </w:pPr>
          </w:p>
        </w:tc>
        <w:tc>
          <w:tcPr>
            <w:tcW w:w="10080" w:type="dxa"/>
            <w:vAlign w:val="bottom"/>
            <w:gridSpan w:val="11"/>
          </w:tcPr>
          <w:p>
            <w:pPr>
              <w:spacing w:after="0"/>
              <w:rPr>
                <w:rFonts w:ascii="Arial" w:cs="Arial" w:eastAsia="Arial" w:hAnsi="Arial"/>
                <w:sz w:val="18"/>
                <w:szCs w:val="18"/>
                <w:color w:val="0000EE"/>
                <w:w w:val="93"/>
              </w:rPr>
            </w:pPr>
            <w:hyperlink r:id="rId26">
              <w:r>
                <w:rPr>
                  <w:rFonts w:ascii="Arial" w:cs="Arial" w:eastAsia="Arial" w:hAnsi="Arial"/>
                  <w:sz w:val="18"/>
                  <w:szCs w:val="18"/>
                  <w:color w:val="0000EE"/>
                  <w:w w:val="93"/>
                </w:rPr>
                <w:t>Certificate of Incorporation of the Registrant (incorporated by reference to Annex B to the proxy statement / prospectus which forms part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of the Registration Statement on Form S-4 (File No. 333-230353) filed on March 18, 2019).</w:t>
              </w:r>
            </w:hyperlink>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9840" w:type="dxa"/>
            <w:vAlign w:val="bottom"/>
            <w:tcBorders>
              <w:bottom w:val="single" w:sz="8" w:color="0000EE"/>
            </w:tcBorders>
            <w:gridSpan w:val="9"/>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Bylaws of the Registrant (incorporated by reference to Annex C to the proxy statement / prospectus which forms part of the Registration</w:t>
              </w:r>
            </w:hyperlink>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80" w:type="dxa"/>
            <w:vAlign w:val="bottom"/>
            <w:gridSpan w:val="11"/>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Statement on Form S-4 (File No. 333-230353) filed on March 18, 2019).</w:t>
              </w:r>
            </w:hyperlink>
          </w:p>
        </w:tc>
        <w:tc>
          <w:tcPr>
            <w:tcW w:w="0" w:type="dxa"/>
            <w:vAlign w:val="bottom"/>
          </w:tcPr>
          <w:p>
            <w:pPr>
              <w:spacing w:after="0"/>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24"/>
                <w:szCs w:val="24"/>
                <w:color w:val="auto"/>
              </w:rPr>
            </w:pPr>
          </w:p>
        </w:tc>
        <w:tc>
          <w:tcPr>
            <w:tcW w:w="26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1"/>
              </w:rPr>
              <w:t>2019 Omnibus Equity Incentive Plan</w:t>
            </w:r>
          </w:p>
        </w:tc>
        <w:tc>
          <w:tcPr>
            <w:tcW w:w="2560" w:type="dxa"/>
            <w:vAlign w:val="bottom"/>
            <w:tcBorders>
              <w:top w:val="single" w:sz="8" w:color="0000EE"/>
            </w:tcBorders>
            <w:gridSpan w:val="4"/>
          </w:tcPr>
          <w:p>
            <w:pPr>
              <w:spacing w:after="0"/>
              <w:rPr>
                <w:sz w:val="24"/>
                <w:szCs w:val="24"/>
                <w:color w:val="auto"/>
              </w:rPr>
            </w:pPr>
          </w:p>
        </w:tc>
        <w:tc>
          <w:tcPr>
            <w:tcW w:w="48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21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Opinion of Dentons US LLP.</w:t>
            </w:r>
          </w:p>
        </w:tc>
        <w:tc>
          <w:tcPr>
            <w:tcW w:w="79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w w:val="99"/>
              </w:rPr>
              <w:t>23.1*</w:t>
            </w:r>
          </w:p>
        </w:tc>
        <w:tc>
          <w:tcPr>
            <w:tcW w:w="520" w:type="dxa"/>
            <w:vAlign w:val="bottom"/>
          </w:tcPr>
          <w:p>
            <w:pPr>
              <w:spacing w:after="0"/>
              <w:rPr>
                <w:sz w:val="24"/>
                <w:szCs w:val="24"/>
                <w:color w:val="auto"/>
              </w:rPr>
            </w:pPr>
          </w:p>
        </w:tc>
        <w:tc>
          <w:tcPr>
            <w:tcW w:w="43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Consent of Independent Registered Public Accounting Firm</w:t>
            </w:r>
          </w:p>
        </w:tc>
        <w:tc>
          <w:tcPr>
            <w:tcW w:w="57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w w:val="99"/>
              </w:rPr>
              <w:t>23.2*</w:t>
            </w:r>
          </w:p>
        </w:tc>
        <w:tc>
          <w:tcPr>
            <w:tcW w:w="520" w:type="dxa"/>
            <w:vAlign w:val="bottom"/>
          </w:tcPr>
          <w:p>
            <w:pPr>
              <w:spacing w:after="0"/>
              <w:rPr>
                <w:sz w:val="24"/>
                <w:szCs w:val="24"/>
                <w:color w:val="auto"/>
              </w:rPr>
            </w:pPr>
          </w:p>
        </w:tc>
        <w:tc>
          <w:tcPr>
            <w:tcW w:w="10080" w:type="dxa"/>
            <w:vAlign w:val="bottom"/>
            <w:gridSpan w:val="11"/>
          </w:tcPr>
          <w:p>
            <w:pPr>
              <w:spacing w:after="0"/>
              <w:rPr>
                <w:sz w:val="20"/>
                <w:szCs w:val="20"/>
                <w:color w:val="auto"/>
              </w:rPr>
            </w:pPr>
            <w:r>
              <w:rPr>
                <w:rFonts w:ascii="Arial" w:cs="Arial" w:eastAsia="Arial" w:hAnsi="Arial"/>
                <w:sz w:val="18"/>
                <w:szCs w:val="18"/>
                <w:color w:val="0000EE"/>
              </w:rPr>
              <w:t>Consent of Independent Registered Public Accounting Firm</w:t>
            </w:r>
          </w:p>
        </w:tc>
        <w:tc>
          <w:tcPr>
            <w:tcW w:w="0" w:type="dxa"/>
            <w:vAlign w:val="bottom"/>
          </w:tcPr>
          <w:p>
            <w:pPr>
              <w:spacing w:after="0"/>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w w:val="99"/>
              </w:rPr>
              <w:t>23.3*</w:t>
            </w:r>
          </w:p>
        </w:tc>
        <w:tc>
          <w:tcPr>
            <w:tcW w:w="52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Consent of Dentons US LLP (included in Exhibit 5.1).</w:t>
            </w:r>
          </w:p>
        </w:tc>
        <w:tc>
          <w:tcPr>
            <w:tcW w:w="380" w:type="dxa"/>
            <w:vAlign w:val="bottom"/>
            <w:tcBorders>
              <w:top w:val="single" w:sz="8" w:color="0000EE"/>
            </w:tcBorders>
          </w:tcPr>
          <w:p>
            <w:pPr>
              <w:spacing w:after="0"/>
              <w:rPr>
                <w:sz w:val="24"/>
                <w:szCs w:val="24"/>
                <w:color w:val="auto"/>
              </w:rPr>
            </w:pPr>
          </w:p>
        </w:tc>
        <w:tc>
          <w:tcPr>
            <w:tcW w:w="57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spacing w:after="0"/>
              <w:rPr>
                <w:sz w:val="20"/>
                <w:szCs w:val="20"/>
                <w:color w:val="auto"/>
              </w:rPr>
            </w:pPr>
            <w:r>
              <w:rPr>
                <w:rFonts w:ascii="Arial" w:cs="Arial" w:eastAsia="Arial" w:hAnsi="Arial"/>
                <w:sz w:val="18"/>
                <w:szCs w:val="18"/>
                <w:color w:val="auto"/>
                <w:w w:val="99"/>
              </w:rPr>
              <w:t>24.1*</w:t>
            </w:r>
          </w:p>
        </w:tc>
        <w:tc>
          <w:tcPr>
            <w:tcW w:w="520" w:type="dxa"/>
            <w:vAlign w:val="bottom"/>
          </w:tcPr>
          <w:p>
            <w:pPr>
              <w:spacing w:after="0"/>
              <w:rPr>
                <w:sz w:val="24"/>
                <w:szCs w:val="24"/>
                <w:color w:val="auto"/>
              </w:rPr>
            </w:pPr>
          </w:p>
        </w:tc>
        <w:tc>
          <w:tcPr>
            <w:tcW w:w="58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Power of Attorney (included on the signature page to this registration statement)</w:t>
              </w:r>
            </w:hyperlink>
          </w:p>
        </w:tc>
        <w:tc>
          <w:tcPr>
            <w:tcW w:w="4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70" w:right="4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the City of San Diego, State of California, on June 21, 2019.</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Joseph E. Payne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the undersigned officers and directors of Arcturus Therapeutics Holdings Inc., hereby severally constitute and appoint Joseph E. Payne and</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Dr. Padmanabh Chivukula, and each of them individually, our true and lawful attorney to sign for us and in our names in the capacities indicated below any and all amendments or supplements, including any post-effective amendments, to this Registration Statement on Form S-8 and to file the same, with exhibits thereto and other documents in connection therewith, with the SEC, granting unto said attorney full power and authority to do and perform each and every act and thing requisite or necessary to be done in and about the premises, as fully to all intents and purposes as he might or could do in person, hereby ratifying and confirming our signatures to said amendments to this Registration Statement signed by our said attorney and all else that said attorney may lawfully do and cause to be done by virtue hereof.</w:t>
      </w:r>
    </w:p>
    <w:p>
      <w:pPr>
        <w:spacing w:after="0" w:line="1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S-8 has been signed below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520" w:type="dxa"/>
            <w:vAlign w:val="bottom"/>
          </w:tcPr>
          <w:p>
            <w:pPr>
              <w:ind w:left="2420"/>
              <w:spacing w:after="0"/>
              <w:rPr>
                <w:sz w:val="20"/>
                <w:szCs w:val="20"/>
                <w:color w:val="auto"/>
              </w:rPr>
            </w:pPr>
            <w:r>
              <w:rPr>
                <w:rFonts w:ascii="Arial" w:cs="Arial" w:eastAsia="Arial" w:hAnsi="Arial"/>
                <w:sz w:val="14"/>
                <w:szCs w:val="14"/>
                <w:b w:val="1"/>
                <w:bCs w:val="1"/>
                <w:color w:val="auto"/>
              </w:rPr>
              <w:t>Title</w:t>
            </w:r>
          </w:p>
        </w:tc>
        <w:tc>
          <w:tcPr>
            <w:tcW w:w="1720" w:type="dxa"/>
            <w:vAlign w:val="bottom"/>
          </w:tcPr>
          <w:p>
            <w:pPr>
              <w:ind w:left="1400"/>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c>
          <w:tcPr>
            <w:tcW w:w="452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1720" w:type="dxa"/>
            <w:vAlign w:val="bottom"/>
          </w:tcPr>
          <w:p>
            <w:pPr>
              <w:ind w:left="700"/>
              <w:spacing w:after="0"/>
              <w:rPr>
                <w:sz w:val="20"/>
                <w:szCs w:val="20"/>
                <w:color w:val="auto"/>
              </w:rPr>
            </w:pPr>
            <w:r>
              <w:rPr>
                <w:rFonts w:ascii="Arial" w:cs="Arial" w:eastAsia="Arial" w:hAnsi="Arial"/>
                <w:sz w:val="18"/>
                <w:szCs w:val="18"/>
                <w:color w:val="auto"/>
                <w:w w:val="87"/>
              </w:rPr>
              <w:t>June 21, 2019</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Joseph E. Payne</w:t>
            </w:r>
          </w:p>
        </w:tc>
        <w:tc>
          <w:tcPr>
            <w:tcW w:w="452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720" w:type="dxa"/>
            <w:vAlign w:val="bottom"/>
          </w:tcPr>
          <w:p>
            <w:pPr>
              <w:spacing w:after="0"/>
              <w:rPr>
                <w:sz w:val="19"/>
                <w:szCs w:val="19"/>
                <w:color w:val="auto"/>
              </w:rPr>
            </w:pPr>
          </w:p>
        </w:tc>
      </w:tr>
      <w:tr>
        <w:trPr>
          <w:trHeight w:val="43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Padmanabh Chivukula</w:t>
            </w:r>
          </w:p>
        </w:tc>
        <w:tc>
          <w:tcPr>
            <w:tcW w:w="4520" w:type="dxa"/>
            <w:vAlign w:val="bottom"/>
          </w:tcPr>
          <w:p>
            <w:pPr>
              <w:ind w:left="100"/>
              <w:spacing w:after="0"/>
              <w:rPr>
                <w:sz w:val="20"/>
                <w:szCs w:val="20"/>
                <w:color w:val="auto"/>
              </w:rPr>
            </w:pPr>
            <w:r>
              <w:rPr>
                <w:rFonts w:ascii="Arial" w:cs="Arial" w:eastAsia="Arial" w:hAnsi="Arial"/>
                <w:sz w:val="18"/>
                <w:szCs w:val="18"/>
                <w:color w:val="auto"/>
              </w:rPr>
              <w:t>Chief Scientific Officer,</w:t>
            </w:r>
          </w:p>
        </w:tc>
        <w:tc>
          <w:tcPr>
            <w:tcW w:w="1720" w:type="dxa"/>
            <w:vAlign w:val="bottom"/>
          </w:tcPr>
          <w:p>
            <w:pPr>
              <w:ind w:left="700"/>
              <w:spacing w:after="0"/>
              <w:rPr>
                <w:sz w:val="20"/>
                <w:szCs w:val="20"/>
                <w:color w:val="auto"/>
              </w:rPr>
            </w:pPr>
            <w:r>
              <w:rPr>
                <w:rFonts w:ascii="Arial" w:cs="Arial" w:eastAsia="Arial" w:hAnsi="Arial"/>
                <w:sz w:val="18"/>
                <w:szCs w:val="18"/>
                <w:color w:val="auto"/>
                <w:w w:val="87"/>
              </w:rPr>
              <w:t>June 21, 2019</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Dr. Padmanabh Chivukula</w:t>
            </w:r>
          </w:p>
        </w:tc>
        <w:tc>
          <w:tcPr>
            <w:tcW w:w="4520" w:type="dxa"/>
            <w:vAlign w:val="bottom"/>
          </w:tcPr>
          <w:p>
            <w:pPr>
              <w:ind w:left="100"/>
              <w:spacing w:after="0"/>
              <w:rPr>
                <w:sz w:val="20"/>
                <w:szCs w:val="20"/>
                <w:color w:val="auto"/>
              </w:rPr>
            </w:pPr>
            <w:r>
              <w:rPr>
                <w:rFonts w:ascii="Arial" w:cs="Arial" w:eastAsia="Arial" w:hAnsi="Arial"/>
                <w:sz w:val="18"/>
                <w:szCs w:val="18"/>
                <w:color w:val="auto"/>
              </w:rPr>
              <w:t>Chief Operating Officer and Secretary</w:t>
            </w:r>
          </w:p>
        </w:tc>
        <w:tc>
          <w:tcPr>
            <w:tcW w:w="1720" w:type="dxa"/>
            <w:vAlign w:val="bottom"/>
          </w:tcPr>
          <w:p>
            <w:pPr>
              <w:spacing w:after="0"/>
              <w:rPr>
                <w:sz w:val="19"/>
                <w:szCs w:val="19"/>
                <w:color w:val="auto"/>
              </w:rPr>
            </w:pPr>
          </w:p>
        </w:tc>
      </w:tr>
      <w:tr>
        <w:trPr>
          <w:trHeight w:val="43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Peter Farrell</w:t>
            </w:r>
          </w:p>
        </w:tc>
        <w:tc>
          <w:tcPr>
            <w:tcW w:w="4520" w:type="dxa"/>
            <w:vAlign w:val="bottom"/>
          </w:tcPr>
          <w:p>
            <w:pPr>
              <w:ind w:left="100"/>
              <w:spacing w:after="0"/>
              <w:rPr>
                <w:sz w:val="20"/>
                <w:szCs w:val="20"/>
                <w:color w:val="auto"/>
              </w:rPr>
            </w:pPr>
            <w:r>
              <w:rPr>
                <w:rFonts w:ascii="Arial" w:cs="Arial" w:eastAsia="Arial" w:hAnsi="Arial"/>
                <w:sz w:val="18"/>
                <w:szCs w:val="18"/>
                <w:color w:val="auto"/>
              </w:rPr>
              <w:t>Chairman of the Board</w:t>
            </w:r>
          </w:p>
        </w:tc>
        <w:tc>
          <w:tcPr>
            <w:tcW w:w="1720" w:type="dxa"/>
            <w:vAlign w:val="bottom"/>
          </w:tcPr>
          <w:p>
            <w:pPr>
              <w:ind w:left="700"/>
              <w:spacing w:after="0"/>
              <w:rPr>
                <w:sz w:val="20"/>
                <w:szCs w:val="20"/>
                <w:color w:val="auto"/>
              </w:rPr>
            </w:pPr>
            <w:r>
              <w:rPr>
                <w:rFonts w:ascii="Arial" w:cs="Arial" w:eastAsia="Arial" w:hAnsi="Arial"/>
                <w:sz w:val="18"/>
                <w:szCs w:val="18"/>
                <w:color w:val="auto"/>
                <w:w w:val="87"/>
              </w:rPr>
              <w:t>June 21, 2019</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Dr. Peter Farrell</w:t>
            </w:r>
          </w:p>
        </w:tc>
        <w:tc>
          <w:tcPr>
            <w:tcW w:w="4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Sassine</w:t>
            </w:r>
          </w:p>
        </w:tc>
        <w:tc>
          <w:tcPr>
            <w:tcW w:w="45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1720" w:type="dxa"/>
            <w:vAlign w:val="bottom"/>
          </w:tcPr>
          <w:p>
            <w:pPr>
              <w:ind w:left="700"/>
              <w:spacing w:after="0"/>
              <w:rPr>
                <w:sz w:val="20"/>
                <w:szCs w:val="20"/>
                <w:color w:val="auto"/>
              </w:rPr>
            </w:pPr>
            <w:r>
              <w:rPr>
                <w:rFonts w:ascii="Arial" w:cs="Arial" w:eastAsia="Arial" w:hAnsi="Arial"/>
                <w:sz w:val="18"/>
                <w:szCs w:val="18"/>
                <w:color w:val="auto"/>
                <w:w w:val="87"/>
              </w:rPr>
              <w:t>June 21, 2019</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Andrew Sassine</w:t>
            </w:r>
          </w:p>
        </w:tc>
        <w:tc>
          <w:tcPr>
            <w:tcW w:w="452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720" w:type="dxa"/>
            <w:vAlign w:val="bottom"/>
          </w:tcPr>
          <w:p>
            <w:pPr>
              <w:spacing w:after="0"/>
              <w:rPr>
                <w:sz w:val="19"/>
                <w:szCs w:val="19"/>
                <w:color w:val="auto"/>
              </w:rPr>
            </w:pPr>
          </w:p>
        </w:tc>
      </w:tr>
      <w:tr>
        <w:trPr>
          <w:trHeight w:val="43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Magda Marquet</w:t>
            </w:r>
          </w:p>
        </w:tc>
        <w:tc>
          <w:tcPr>
            <w:tcW w:w="45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700"/>
              <w:spacing w:after="0"/>
              <w:rPr>
                <w:sz w:val="20"/>
                <w:szCs w:val="20"/>
                <w:color w:val="auto"/>
              </w:rPr>
            </w:pPr>
            <w:r>
              <w:rPr>
                <w:rFonts w:ascii="Arial" w:cs="Arial" w:eastAsia="Arial" w:hAnsi="Arial"/>
                <w:sz w:val="18"/>
                <w:szCs w:val="18"/>
                <w:color w:val="auto"/>
                <w:w w:val="87"/>
              </w:rPr>
              <w:t>June 21, 2019</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Dr. Magda Marquet</w:t>
            </w:r>
          </w:p>
        </w:tc>
        <w:tc>
          <w:tcPr>
            <w:tcW w:w="4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Barlow</w:t>
            </w:r>
          </w:p>
        </w:tc>
        <w:tc>
          <w:tcPr>
            <w:tcW w:w="45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700"/>
              <w:spacing w:after="0"/>
              <w:rPr>
                <w:sz w:val="20"/>
                <w:szCs w:val="20"/>
                <w:color w:val="auto"/>
              </w:rPr>
            </w:pPr>
            <w:r>
              <w:rPr>
                <w:rFonts w:ascii="Arial" w:cs="Arial" w:eastAsia="Arial" w:hAnsi="Arial"/>
                <w:sz w:val="18"/>
                <w:szCs w:val="18"/>
                <w:color w:val="auto"/>
                <w:w w:val="87"/>
              </w:rPr>
              <w:t>June 21, 2019</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James Barlow</w:t>
            </w:r>
          </w:p>
        </w:tc>
        <w:tc>
          <w:tcPr>
            <w:tcW w:w="4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Karah Parschauer</w:t>
            </w:r>
          </w:p>
        </w:tc>
        <w:tc>
          <w:tcPr>
            <w:tcW w:w="452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700"/>
              <w:spacing w:after="0"/>
              <w:rPr>
                <w:sz w:val="20"/>
                <w:szCs w:val="20"/>
                <w:color w:val="auto"/>
              </w:rPr>
            </w:pPr>
            <w:r>
              <w:rPr>
                <w:rFonts w:ascii="Arial" w:cs="Arial" w:eastAsia="Arial" w:hAnsi="Arial"/>
                <w:sz w:val="18"/>
                <w:szCs w:val="18"/>
                <w:color w:val="auto"/>
                <w:w w:val="87"/>
              </w:rPr>
              <w:t>June 21, 2019</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Karah Parschauer</w:t>
            </w:r>
          </w:p>
        </w:tc>
        <w:tc>
          <w:tcPr>
            <w:tcW w:w="4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C. Kummerfeld</w:t>
            </w:r>
          </w:p>
        </w:tc>
        <w:tc>
          <w:tcPr>
            <w:tcW w:w="4520" w:type="dxa"/>
            <w:vAlign w:val="bottom"/>
          </w:tcPr>
          <w:p>
            <w:pPr>
              <w:ind w:left="100"/>
              <w:spacing w:after="0"/>
              <w:rPr>
                <w:sz w:val="20"/>
                <w:szCs w:val="20"/>
                <w:color w:val="auto"/>
              </w:rPr>
            </w:pPr>
            <w:r>
              <w:rPr>
                <w:rFonts w:ascii="Arial" w:cs="Arial" w:eastAsia="Arial" w:hAnsi="Arial"/>
                <w:sz w:val="18"/>
                <w:szCs w:val="18"/>
                <w:color w:val="auto"/>
              </w:rPr>
              <w:t>Vice President of Finance and Corporate Controller</w:t>
            </w:r>
          </w:p>
        </w:tc>
        <w:tc>
          <w:tcPr>
            <w:tcW w:w="1720" w:type="dxa"/>
            <w:vAlign w:val="bottom"/>
          </w:tcPr>
          <w:p>
            <w:pPr>
              <w:ind w:left="700"/>
              <w:spacing w:after="0"/>
              <w:rPr>
                <w:sz w:val="20"/>
                <w:szCs w:val="20"/>
                <w:color w:val="auto"/>
              </w:rPr>
            </w:pPr>
            <w:r>
              <w:rPr>
                <w:rFonts w:ascii="Arial" w:cs="Arial" w:eastAsia="Arial" w:hAnsi="Arial"/>
                <w:sz w:val="18"/>
                <w:szCs w:val="18"/>
                <w:color w:val="auto"/>
                <w:w w:val="87"/>
              </w:rPr>
              <w:t>June 21, 2019</w:t>
            </w: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Keith C. Kummerfeld</w:t>
            </w:r>
          </w:p>
        </w:tc>
        <w:tc>
          <w:tcPr>
            <w:tcW w:w="4520" w:type="dxa"/>
            <w:vAlign w:val="bottom"/>
          </w:tcPr>
          <w:p>
            <w:pPr>
              <w:ind w:left="100"/>
              <w:spacing w:after="0"/>
              <w:rPr>
                <w:sz w:val="20"/>
                <w:szCs w:val="20"/>
                <w:color w:val="auto"/>
              </w:rPr>
            </w:pPr>
            <w:r>
              <w:rPr>
                <w:rFonts w:ascii="Arial" w:cs="Arial" w:eastAsia="Arial" w:hAnsi="Arial"/>
                <w:sz w:val="18"/>
                <w:szCs w:val="18"/>
                <w:i w:val="1"/>
                <w:iCs w:val="1"/>
                <w:color w:val="auto"/>
              </w:rPr>
              <w:t>(principal accounting officer)</w:t>
            </w:r>
          </w:p>
        </w:tc>
        <w:tc>
          <w:tcPr>
            <w:tcW w:w="1720" w:type="dxa"/>
            <w:vAlign w:val="bottom"/>
          </w:tcPr>
          <w:p>
            <w:pPr>
              <w:spacing w:after="0"/>
              <w:rPr>
                <w:sz w:val="19"/>
                <w:szCs w:val="19"/>
                <w:color w:val="auto"/>
              </w:rPr>
            </w:pPr>
          </w:p>
        </w:tc>
      </w:tr>
      <w:tr>
        <w:trPr>
          <w:trHeight w:val="364"/>
        </w:trPr>
        <w:tc>
          <w:tcPr>
            <w:tcW w:w="4120" w:type="dxa"/>
            <w:vAlign w:val="bottom"/>
          </w:tcPr>
          <w:p>
            <w:pPr>
              <w:spacing w:after="0"/>
              <w:rPr>
                <w:sz w:val="24"/>
                <w:szCs w:val="24"/>
                <w:color w:val="auto"/>
              </w:rPr>
            </w:pPr>
          </w:p>
        </w:tc>
        <w:tc>
          <w:tcPr>
            <w:tcW w:w="4520" w:type="dxa"/>
            <w:vAlign w:val="bottom"/>
          </w:tcPr>
          <w:p>
            <w:pPr>
              <w:ind w:left="1340"/>
              <w:spacing w:after="0"/>
              <w:rPr>
                <w:sz w:val="20"/>
                <w:szCs w:val="20"/>
                <w:color w:val="auto"/>
              </w:rPr>
            </w:pPr>
            <w:r>
              <w:rPr>
                <w:rFonts w:ascii="Arial" w:cs="Arial" w:eastAsia="Arial" w:hAnsi="Arial"/>
                <w:sz w:val="18"/>
                <w:szCs w:val="18"/>
                <w:color w:val="auto"/>
              </w:rPr>
              <w:t>6</w:t>
            </w:r>
          </w:p>
        </w:tc>
        <w:tc>
          <w:tcPr>
            <w:tcW w:w="17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4.7</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2019 OMNIBUS EQUITY INCENTIVE PLAN</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(Effective June 10, 2019)</w:t>
      </w:r>
    </w:p>
    <w:p>
      <w:pPr>
        <w:sectPr>
          <w:pgSz w:w="11900" w:h="16838" w:orient="portrait"/>
          <w:cols w:equalWidth="0" w:num="1">
            <w:col w:w="10020"/>
          </w:cols>
          <w:pgMar w:left="1440" w:top="121"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560" w:type="dxa"/>
            <w:vAlign w:val="bottom"/>
            <w:gridSpan w:val="2"/>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Article 1. Effective Date, Objectives and Duration</w:t>
            </w:r>
          </w:p>
        </w:tc>
        <w:tc>
          <w:tcPr>
            <w:tcW w:w="65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4420" w:type="dxa"/>
            <w:vAlign w:val="bottom"/>
            <w:gridSpan w:val="2"/>
            <w:vMerge w:val="continue"/>
          </w:tcPr>
          <w:p>
            <w:pPr>
              <w:spacing w:after="0"/>
              <w:rPr>
                <w:sz w:val="19"/>
                <w:szCs w:val="19"/>
                <w:color w:val="auto"/>
              </w:rPr>
            </w:pPr>
          </w:p>
        </w:tc>
        <w:tc>
          <w:tcPr>
            <w:tcW w:w="616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5"/>
        </w:trPr>
        <w:tc>
          <w:tcPr>
            <w:tcW w:w="820" w:type="dxa"/>
            <w:vAlign w:val="bottom"/>
          </w:tcPr>
          <w:p>
            <w:pPr>
              <w:ind w:left="360"/>
              <w:spacing w:after="0"/>
              <w:rPr>
                <w:sz w:val="20"/>
                <w:szCs w:val="20"/>
                <w:color w:val="auto"/>
              </w:rPr>
            </w:pPr>
            <w:r>
              <w:rPr>
                <w:rFonts w:ascii="Arial" w:cs="Arial" w:eastAsia="Arial" w:hAnsi="Arial"/>
                <w:sz w:val="18"/>
                <w:szCs w:val="18"/>
                <w:color w:val="auto"/>
              </w:rPr>
              <w:t>1.1</w:t>
            </w:r>
          </w:p>
        </w:tc>
        <w:tc>
          <w:tcPr>
            <w:tcW w:w="3600" w:type="dxa"/>
            <w:vAlign w:val="bottom"/>
          </w:tcPr>
          <w:p>
            <w:pPr>
              <w:ind w:left="160"/>
              <w:spacing w:after="0"/>
              <w:rPr>
                <w:sz w:val="20"/>
                <w:szCs w:val="20"/>
                <w:color w:val="auto"/>
              </w:rPr>
            </w:pPr>
            <w:r>
              <w:rPr>
                <w:rFonts w:ascii="Arial" w:cs="Arial" w:eastAsia="Arial" w:hAnsi="Arial"/>
                <w:sz w:val="18"/>
                <w:szCs w:val="18"/>
                <w:color w:val="auto"/>
              </w:rPr>
              <w:t>Effective Date of the Plan</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1.2</w:t>
            </w:r>
          </w:p>
        </w:tc>
        <w:tc>
          <w:tcPr>
            <w:tcW w:w="3600" w:type="dxa"/>
            <w:vAlign w:val="bottom"/>
          </w:tcPr>
          <w:p>
            <w:pPr>
              <w:ind w:left="160"/>
              <w:spacing w:after="0"/>
              <w:rPr>
                <w:sz w:val="20"/>
                <w:szCs w:val="20"/>
                <w:color w:val="auto"/>
              </w:rPr>
            </w:pPr>
            <w:r>
              <w:rPr>
                <w:rFonts w:ascii="Arial" w:cs="Arial" w:eastAsia="Arial" w:hAnsi="Arial"/>
                <w:sz w:val="18"/>
                <w:szCs w:val="18"/>
                <w:color w:val="auto"/>
              </w:rPr>
              <w:t>Objectives of the Plan</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1.3</w:t>
            </w:r>
          </w:p>
        </w:tc>
        <w:tc>
          <w:tcPr>
            <w:tcW w:w="3600" w:type="dxa"/>
            <w:vAlign w:val="bottom"/>
          </w:tcPr>
          <w:p>
            <w:pPr>
              <w:ind w:left="160"/>
              <w:spacing w:after="0"/>
              <w:rPr>
                <w:sz w:val="20"/>
                <w:szCs w:val="20"/>
                <w:color w:val="auto"/>
              </w:rPr>
            </w:pPr>
            <w:r>
              <w:rPr>
                <w:rFonts w:ascii="Arial" w:cs="Arial" w:eastAsia="Arial" w:hAnsi="Arial"/>
                <w:sz w:val="18"/>
                <w:szCs w:val="18"/>
                <w:color w:val="auto"/>
              </w:rPr>
              <w:t>Duration of the Plan</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color w:val="auto"/>
              </w:rPr>
              <w:t>Article 2. Definitions</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2.1</w:t>
            </w:r>
          </w:p>
        </w:tc>
        <w:tc>
          <w:tcPr>
            <w:tcW w:w="3600" w:type="dxa"/>
            <w:vAlign w:val="bottom"/>
          </w:tcPr>
          <w:p>
            <w:pPr>
              <w:ind w:left="160"/>
              <w:spacing w:after="0"/>
              <w:rPr>
                <w:sz w:val="20"/>
                <w:szCs w:val="20"/>
                <w:color w:val="auto"/>
              </w:rPr>
            </w:pPr>
            <w:r>
              <w:rPr>
                <w:rFonts w:ascii="Arial" w:cs="Arial" w:eastAsia="Arial" w:hAnsi="Arial"/>
                <w:sz w:val="18"/>
                <w:szCs w:val="18"/>
                <w:color w:val="auto"/>
              </w:rPr>
              <w:t>“Affiliate”</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2.2</w:t>
            </w:r>
          </w:p>
        </w:tc>
        <w:tc>
          <w:tcPr>
            <w:tcW w:w="3600" w:type="dxa"/>
            <w:vAlign w:val="bottom"/>
          </w:tcPr>
          <w:p>
            <w:pPr>
              <w:ind w:left="160"/>
              <w:spacing w:after="0"/>
              <w:rPr>
                <w:sz w:val="20"/>
                <w:szCs w:val="20"/>
                <w:color w:val="auto"/>
              </w:rPr>
            </w:pPr>
            <w:r>
              <w:rPr>
                <w:rFonts w:ascii="Arial" w:cs="Arial" w:eastAsia="Arial" w:hAnsi="Arial"/>
                <w:sz w:val="18"/>
                <w:szCs w:val="18"/>
                <w:color w:val="auto"/>
              </w:rPr>
              <w:t>“Award”</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2.3</w:t>
            </w:r>
          </w:p>
        </w:tc>
        <w:tc>
          <w:tcPr>
            <w:tcW w:w="3600" w:type="dxa"/>
            <w:vAlign w:val="bottom"/>
          </w:tcPr>
          <w:p>
            <w:pPr>
              <w:ind w:left="160"/>
              <w:spacing w:after="0"/>
              <w:rPr>
                <w:sz w:val="20"/>
                <w:szCs w:val="20"/>
                <w:color w:val="auto"/>
              </w:rPr>
            </w:pPr>
            <w:r>
              <w:rPr>
                <w:rFonts w:ascii="Arial" w:cs="Arial" w:eastAsia="Arial" w:hAnsi="Arial"/>
                <w:sz w:val="18"/>
                <w:szCs w:val="18"/>
                <w:color w:val="auto"/>
              </w:rPr>
              <w:t>“Award Agreement”</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2.4</w:t>
            </w:r>
          </w:p>
        </w:tc>
        <w:tc>
          <w:tcPr>
            <w:tcW w:w="3600" w:type="dxa"/>
            <w:vAlign w:val="bottom"/>
          </w:tcPr>
          <w:p>
            <w:pPr>
              <w:ind w:left="160"/>
              <w:spacing w:after="0"/>
              <w:rPr>
                <w:sz w:val="20"/>
                <w:szCs w:val="20"/>
                <w:color w:val="auto"/>
              </w:rPr>
            </w:pPr>
            <w:r>
              <w:rPr>
                <w:rFonts w:ascii="Arial" w:cs="Arial" w:eastAsia="Arial" w:hAnsi="Arial"/>
                <w:sz w:val="18"/>
                <w:szCs w:val="18"/>
                <w:color w:val="auto"/>
              </w:rPr>
              <w:t>“Board”</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2.5</w:t>
            </w:r>
          </w:p>
        </w:tc>
        <w:tc>
          <w:tcPr>
            <w:tcW w:w="3600" w:type="dxa"/>
            <w:vAlign w:val="bottom"/>
          </w:tcPr>
          <w:p>
            <w:pPr>
              <w:ind w:left="160"/>
              <w:spacing w:after="0"/>
              <w:rPr>
                <w:sz w:val="20"/>
                <w:szCs w:val="20"/>
                <w:color w:val="auto"/>
              </w:rPr>
            </w:pPr>
            <w:r>
              <w:rPr>
                <w:rFonts w:ascii="Arial" w:cs="Arial" w:eastAsia="Arial" w:hAnsi="Arial"/>
                <w:sz w:val="18"/>
                <w:szCs w:val="18"/>
                <w:color w:val="auto"/>
              </w:rPr>
              <w:t>“Bonus Shares”</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2.6</w:t>
            </w:r>
          </w:p>
        </w:tc>
        <w:tc>
          <w:tcPr>
            <w:tcW w:w="3600" w:type="dxa"/>
            <w:vAlign w:val="bottom"/>
          </w:tcPr>
          <w:p>
            <w:pPr>
              <w:ind w:left="160"/>
              <w:spacing w:after="0"/>
              <w:rPr>
                <w:sz w:val="20"/>
                <w:szCs w:val="20"/>
                <w:color w:val="auto"/>
              </w:rPr>
            </w:pPr>
            <w:r>
              <w:rPr>
                <w:rFonts w:ascii="Arial" w:cs="Arial" w:eastAsia="Arial" w:hAnsi="Arial"/>
                <w:sz w:val="18"/>
                <w:szCs w:val="18"/>
                <w:color w:val="auto"/>
              </w:rPr>
              <w:t>“Cause”</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2.7</w:t>
            </w:r>
          </w:p>
        </w:tc>
        <w:tc>
          <w:tcPr>
            <w:tcW w:w="3600" w:type="dxa"/>
            <w:vAlign w:val="bottom"/>
          </w:tcPr>
          <w:p>
            <w:pPr>
              <w:ind w:left="160"/>
              <w:spacing w:after="0"/>
              <w:rPr>
                <w:sz w:val="20"/>
                <w:szCs w:val="20"/>
                <w:color w:val="auto"/>
              </w:rPr>
            </w:pPr>
            <w:r>
              <w:rPr>
                <w:rFonts w:ascii="Arial" w:cs="Arial" w:eastAsia="Arial" w:hAnsi="Arial"/>
                <w:sz w:val="18"/>
                <w:szCs w:val="18"/>
                <w:color w:val="auto"/>
              </w:rPr>
              <w:t>“CEO”</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2.8</w:t>
            </w:r>
          </w:p>
        </w:tc>
        <w:tc>
          <w:tcPr>
            <w:tcW w:w="3600" w:type="dxa"/>
            <w:vAlign w:val="bottom"/>
          </w:tcPr>
          <w:p>
            <w:pPr>
              <w:ind w:left="160"/>
              <w:spacing w:after="0"/>
              <w:rPr>
                <w:sz w:val="20"/>
                <w:szCs w:val="20"/>
                <w:color w:val="auto"/>
              </w:rPr>
            </w:pPr>
            <w:r>
              <w:rPr>
                <w:rFonts w:ascii="Arial" w:cs="Arial" w:eastAsia="Arial" w:hAnsi="Arial"/>
                <w:sz w:val="18"/>
                <w:szCs w:val="18"/>
                <w:color w:val="auto"/>
              </w:rPr>
              <w:t>“Change in Control”</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2.9</w:t>
            </w:r>
          </w:p>
        </w:tc>
        <w:tc>
          <w:tcPr>
            <w:tcW w:w="3600" w:type="dxa"/>
            <w:vAlign w:val="bottom"/>
          </w:tcPr>
          <w:p>
            <w:pPr>
              <w:ind w:left="160"/>
              <w:spacing w:after="0"/>
              <w:rPr>
                <w:sz w:val="20"/>
                <w:szCs w:val="20"/>
                <w:color w:val="auto"/>
              </w:rPr>
            </w:pPr>
            <w:r>
              <w:rPr>
                <w:rFonts w:ascii="Arial" w:cs="Arial" w:eastAsia="Arial" w:hAnsi="Arial"/>
                <w:sz w:val="18"/>
                <w:szCs w:val="18"/>
                <w:color w:val="auto"/>
              </w:rPr>
              <w:t>“Code”</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2.10</w:t>
            </w:r>
          </w:p>
        </w:tc>
        <w:tc>
          <w:tcPr>
            <w:tcW w:w="3600" w:type="dxa"/>
            <w:vAlign w:val="bottom"/>
          </w:tcPr>
          <w:p>
            <w:pPr>
              <w:ind w:left="160"/>
              <w:spacing w:after="0"/>
              <w:rPr>
                <w:sz w:val="20"/>
                <w:szCs w:val="20"/>
                <w:color w:val="auto"/>
              </w:rPr>
            </w:pPr>
            <w:r>
              <w:rPr>
                <w:rFonts w:ascii="Arial" w:cs="Arial" w:eastAsia="Arial" w:hAnsi="Arial"/>
                <w:sz w:val="18"/>
                <w:szCs w:val="18"/>
                <w:color w:val="auto"/>
                <w:w w:val="99"/>
              </w:rPr>
              <w:t>“Committee” or “Incentive Plan Committee”</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2.11</w:t>
            </w:r>
          </w:p>
        </w:tc>
        <w:tc>
          <w:tcPr>
            <w:tcW w:w="3600" w:type="dxa"/>
            <w:vAlign w:val="bottom"/>
          </w:tcPr>
          <w:p>
            <w:pPr>
              <w:ind w:left="160"/>
              <w:spacing w:after="0"/>
              <w:rPr>
                <w:sz w:val="20"/>
                <w:szCs w:val="20"/>
                <w:color w:val="auto"/>
              </w:rPr>
            </w:pPr>
            <w:r>
              <w:rPr>
                <w:rFonts w:ascii="Arial" w:cs="Arial" w:eastAsia="Arial" w:hAnsi="Arial"/>
                <w:sz w:val="18"/>
                <w:szCs w:val="18"/>
                <w:color w:val="auto"/>
              </w:rPr>
              <w:t>“Compensation Committee”</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2.12</w:t>
            </w:r>
          </w:p>
        </w:tc>
        <w:tc>
          <w:tcPr>
            <w:tcW w:w="360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2.13</w:t>
            </w:r>
          </w:p>
        </w:tc>
        <w:tc>
          <w:tcPr>
            <w:tcW w:w="3600" w:type="dxa"/>
            <w:vAlign w:val="bottom"/>
          </w:tcPr>
          <w:p>
            <w:pPr>
              <w:ind w:left="160"/>
              <w:spacing w:after="0"/>
              <w:rPr>
                <w:sz w:val="20"/>
                <w:szCs w:val="20"/>
                <w:color w:val="auto"/>
              </w:rPr>
            </w:pPr>
            <w:r>
              <w:rPr>
                <w:rFonts w:ascii="Arial" w:cs="Arial" w:eastAsia="Arial" w:hAnsi="Arial"/>
                <w:sz w:val="18"/>
                <w:szCs w:val="18"/>
                <w:color w:val="auto"/>
              </w:rPr>
              <w:t>“Corporate Transaction”</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2.14</w:t>
            </w:r>
          </w:p>
        </w:tc>
        <w:tc>
          <w:tcPr>
            <w:tcW w:w="3600" w:type="dxa"/>
            <w:vAlign w:val="bottom"/>
          </w:tcPr>
          <w:p>
            <w:pPr>
              <w:ind w:left="160"/>
              <w:spacing w:after="0"/>
              <w:rPr>
                <w:sz w:val="20"/>
                <w:szCs w:val="20"/>
                <w:color w:val="auto"/>
              </w:rPr>
            </w:pPr>
            <w:r>
              <w:rPr>
                <w:rFonts w:ascii="Arial" w:cs="Arial" w:eastAsia="Arial" w:hAnsi="Arial"/>
                <w:sz w:val="18"/>
                <w:szCs w:val="18"/>
                <w:color w:val="auto"/>
              </w:rPr>
              <w:t>“Deferred Stock”</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2.15</w:t>
            </w:r>
          </w:p>
        </w:tc>
        <w:tc>
          <w:tcPr>
            <w:tcW w:w="3600" w:type="dxa"/>
            <w:vAlign w:val="bottom"/>
          </w:tcPr>
          <w:p>
            <w:pPr>
              <w:ind w:left="160"/>
              <w:spacing w:after="0"/>
              <w:rPr>
                <w:sz w:val="20"/>
                <w:szCs w:val="20"/>
                <w:color w:val="auto"/>
              </w:rPr>
            </w:pPr>
            <w:r>
              <w:rPr>
                <w:rFonts w:ascii="Arial" w:cs="Arial" w:eastAsia="Arial" w:hAnsi="Arial"/>
                <w:sz w:val="18"/>
                <w:szCs w:val="18"/>
                <w:color w:val="auto"/>
              </w:rPr>
              <w:t>“Disability” or “Disabled”</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2.16</w:t>
            </w:r>
          </w:p>
        </w:tc>
        <w:tc>
          <w:tcPr>
            <w:tcW w:w="3600" w:type="dxa"/>
            <w:vAlign w:val="bottom"/>
          </w:tcPr>
          <w:p>
            <w:pPr>
              <w:ind w:left="160"/>
              <w:spacing w:after="0"/>
              <w:rPr>
                <w:sz w:val="20"/>
                <w:szCs w:val="20"/>
                <w:color w:val="auto"/>
              </w:rPr>
            </w:pPr>
            <w:r>
              <w:rPr>
                <w:rFonts w:ascii="Arial" w:cs="Arial" w:eastAsia="Arial" w:hAnsi="Arial"/>
                <w:sz w:val="18"/>
                <w:szCs w:val="18"/>
                <w:color w:val="auto"/>
              </w:rPr>
              <w:t>“Dividend Equivalent”</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2.17</w:t>
            </w:r>
          </w:p>
        </w:tc>
        <w:tc>
          <w:tcPr>
            <w:tcW w:w="3600" w:type="dxa"/>
            <w:vAlign w:val="bottom"/>
          </w:tcPr>
          <w:p>
            <w:pPr>
              <w:ind w:left="160"/>
              <w:spacing w:after="0"/>
              <w:rPr>
                <w:sz w:val="20"/>
                <w:szCs w:val="20"/>
                <w:color w:val="auto"/>
              </w:rPr>
            </w:pPr>
            <w:r>
              <w:rPr>
                <w:rFonts w:ascii="Arial" w:cs="Arial" w:eastAsia="Arial" w:hAnsi="Arial"/>
                <w:sz w:val="18"/>
                <w:szCs w:val="18"/>
                <w:color w:val="auto"/>
              </w:rPr>
              <w:t>“Effective Date”</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2.18</w:t>
            </w:r>
          </w:p>
        </w:tc>
        <w:tc>
          <w:tcPr>
            <w:tcW w:w="3600" w:type="dxa"/>
            <w:vAlign w:val="bottom"/>
          </w:tcPr>
          <w:p>
            <w:pPr>
              <w:ind w:left="160"/>
              <w:spacing w:after="0"/>
              <w:rPr>
                <w:sz w:val="20"/>
                <w:szCs w:val="20"/>
                <w:color w:val="auto"/>
              </w:rPr>
            </w:pPr>
            <w:r>
              <w:rPr>
                <w:rFonts w:ascii="Arial" w:cs="Arial" w:eastAsia="Arial" w:hAnsi="Arial"/>
                <w:sz w:val="18"/>
                <w:szCs w:val="18"/>
                <w:color w:val="auto"/>
              </w:rPr>
              <w:t>“Eligible Person”</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2.19</w:t>
            </w:r>
          </w:p>
        </w:tc>
        <w:tc>
          <w:tcPr>
            <w:tcW w:w="3600" w:type="dxa"/>
            <w:vAlign w:val="bottom"/>
          </w:tcPr>
          <w:p>
            <w:pPr>
              <w:ind w:left="160"/>
              <w:spacing w:after="0"/>
              <w:rPr>
                <w:sz w:val="20"/>
                <w:szCs w:val="20"/>
                <w:color w:val="auto"/>
              </w:rPr>
            </w:pPr>
            <w:r>
              <w:rPr>
                <w:rFonts w:ascii="Arial" w:cs="Arial" w:eastAsia="Arial" w:hAnsi="Arial"/>
                <w:sz w:val="18"/>
                <w:szCs w:val="18"/>
                <w:color w:val="auto"/>
              </w:rPr>
              <w:t>“Exchange Act”</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2.20</w:t>
            </w:r>
          </w:p>
        </w:tc>
        <w:tc>
          <w:tcPr>
            <w:tcW w:w="3600" w:type="dxa"/>
            <w:vAlign w:val="bottom"/>
          </w:tcPr>
          <w:p>
            <w:pPr>
              <w:ind w:left="160"/>
              <w:spacing w:after="0"/>
              <w:rPr>
                <w:sz w:val="20"/>
                <w:szCs w:val="20"/>
                <w:color w:val="auto"/>
              </w:rPr>
            </w:pPr>
            <w:r>
              <w:rPr>
                <w:rFonts w:ascii="Arial" w:cs="Arial" w:eastAsia="Arial" w:hAnsi="Arial"/>
                <w:sz w:val="18"/>
                <w:szCs w:val="18"/>
                <w:color w:val="auto"/>
              </w:rPr>
              <w:t>“Exercise Price”</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2.21</w:t>
            </w:r>
          </w:p>
        </w:tc>
        <w:tc>
          <w:tcPr>
            <w:tcW w:w="3600" w:type="dxa"/>
            <w:vAlign w:val="bottom"/>
          </w:tcPr>
          <w:p>
            <w:pPr>
              <w:ind w:left="160"/>
              <w:spacing w:after="0"/>
              <w:rPr>
                <w:sz w:val="20"/>
                <w:szCs w:val="20"/>
                <w:color w:val="auto"/>
              </w:rPr>
            </w:pPr>
            <w:r>
              <w:rPr>
                <w:rFonts w:ascii="Arial" w:cs="Arial" w:eastAsia="Arial" w:hAnsi="Arial"/>
                <w:sz w:val="18"/>
                <w:szCs w:val="18"/>
                <w:color w:val="auto"/>
              </w:rPr>
              <w:t>“Fair Market Value”</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2.22</w:t>
            </w:r>
          </w:p>
        </w:tc>
        <w:tc>
          <w:tcPr>
            <w:tcW w:w="3600" w:type="dxa"/>
            <w:vAlign w:val="bottom"/>
          </w:tcPr>
          <w:p>
            <w:pPr>
              <w:ind w:left="160"/>
              <w:spacing w:after="0"/>
              <w:rPr>
                <w:sz w:val="20"/>
                <w:szCs w:val="20"/>
                <w:color w:val="auto"/>
              </w:rPr>
            </w:pPr>
            <w:r>
              <w:rPr>
                <w:rFonts w:ascii="Arial" w:cs="Arial" w:eastAsia="Arial" w:hAnsi="Arial"/>
                <w:sz w:val="18"/>
                <w:szCs w:val="18"/>
                <w:color w:val="auto"/>
              </w:rPr>
              <w:t>“Grant Date”</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2.23</w:t>
            </w:r>
          </w:p>
        </w:tc>
        <w:tc>
          <w:tcPr>
            <w:tcW w:w="3600" w:type="dxa"/>
            <w:vAlign w:val="bottom"/>
          </w:tcPr>
          <w:p>
            <w:pPr>
              <w:ind w:left="160"/>
              <w:spacing w:after="0"/>
              <w:rPr>
                <w:sz w:val="20"/>
                <w:szCs w:val="20"/>
                <w:color w:val="auto"/>
              </w:rPr>
            </w:pPr>
            <w:r>
              <w:rPr>
                <w:rFonts w:ascii="Arial" w:cs="Arial" w:eastAsia="Arial" w:hAnsi="Arial"/>
                <w:sz w:val="18"/>
                <w:szCs w:val="18"/>
                <w:color w:val="auto"/>
              </w:rPr>
              <w:t>“Grantee”</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2.24</w:t>
            </w:r>
          </w:p>
        </w:tc>
        <w:tc>
          <w:tcPr>
            <w:tcW w:w="3600" w:type="dxa"/>
            <w:vAlign w:val="bottom"/>
          </w:tcPr>
          <w:p>
            <w:pPr>
              <w:ind w:left="160"/>
              <w:spacing w:after="0"/>
              <w:rPr>
                <w:sz w:val="20"/>
                <w:szCs w:val="20"/>
                <w:color w:val="auto"/>
              </w:rPr>
            </w:pPr>
            <w:r>
              <w:rPr>
                <w:rFonts w:ascii="Arial" w:cs="Arial" w:eastAsia="Arial" w:hAnsi="Arial"/>
                <w:sz w:val="18"/>
                <w:szCs w:val="18"/>
                <w:color w:val="auto"/>
              </w:rPr>
              <w:t>“Incentive Stock Option”</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2.25</w:t>
            </w:r>
          </w:p>
        </w:tc>
        <w:tc>
          <w:tcPr>
            <w:tcW w:w="3600" w:type="dxa"/>
            <w:vAlign w:val="bottom"/>
          </w:tcPr>
          <w:p>
            <w:pPr>
              <w:ind w:left="160"/>
              <w:spacing w:after="0"/>
              <w:rPr>
                <w:sz w:val="20"/>
                <w:szCs w:val="20"/>
                <w:color w:val="auto"/>
              </w:rPr>
            </w:pPr>
            <w:r>
              <w:rPr>
                <w:rFonts w:ascii="Arial" w:cs="Arial" w:eastAsia="Arial" w:hAnsi="Arial"/>
                <w:sz w:val="18"/>
                <w:szCs w:val="18"/>
                <w:color w:val="auto"/>
              </w:rPr>
              <w:t>“Including” or “includes”</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2.26</w:t>
            </w:r>
          </w:p>
        </w:tc>
        <w:tc>
          <w:tcPr>
            <w:tcW w:w="3600" w:type="dxa"/>
            <w:vAlign w:val="bottom"/>
          </w:tcPr>
          <w:p>
            <w:pPr>
              <w:ind w:left="160"/>
              <w:spacing w:after="0"/>
              <w:rPr>
                <w:sz w:val="20"/>
                <w:szCs w:val="20"/>
                <w:color w:val="auto"/>
              </w:rPr>
            </w:pPr>
            <w:r>
              <w:rPr>
                <w:rFonts w:ascii="Arial" w:cs="Arial" w:eastAsia="Arial" w:hAnsi="Arial"/>
                <w:sz w:val="18"/>
                <w:szCs w:val="18"/>
                <w:color w:val="auto"/>
              </w:rPr>
              <w:t>“Management Committee”</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2.27</w:t>
            </w:r>
          </w:p>
        </w:tc>
        <w:tc>
          <w:tcPr>
            <w:tcW w:w="3600" w:type="dxa"/>
            <w:vAlign w:val="bottom"/>
          </w:tcPr>
          <w:p>
            <w:pPr>
              <w:ind w:left="160"/>
              <w:spacing w:after="0"/>
              <w:rPr>
                <w:sz w:val="20"/>
                <w:szCs w:val="20"/>
                <w:color w:val="auto"/>
              </w:rPr>
            </w:pPr>
            <w:r>
              <w:rPr>
                <w:rFonts w:ascii="Arial" w:cs="Arial" w:eastAsia="Arial" w:hAnsi="Arial"/>
                <w:sz w:val="18"/>
                <w:szCs w:val="18"/>
                <w:color w:val="auto"/>
              </w:rPr>
              <w:t>“Non-Employee Director”</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2.28</w:t>
            </w:r>
          </w:p>
        </w:tc>
        <w:tc>
          <w:tcPr>
            <w:tcW w:w="3600" w:type="dxa"/>
            <w:vAlign w:val="bottom"/>
          </w:tcPr>
          <w:p>
            <w:pPr>
              <w:ind w:left="160"/>
              <w:spacing w:after="0"/>
              <w:rPr>
                <w:sz w:val="20"/>
                <w:szCs w:val="20"/>
                <w:color w:val="auto"/>
              </w:rPr>
            </w:pPr>
            <w:r>
              <w:rPr>
                <w:rFonts w:ascii="Arial" w:cs="Arial" w:eastAsia="Arial" w:hAnsi="Arial"/>
                <w:sz w:val="18"/>
                <w:szCs w:val="18"/>
                <w:color w:val="auto"/>
              </w:rPr>
              <w:t>“Option”</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2.29</w:t>
            </w:r>
          </w:p>
        </w:tc>
        <w:tc>
          <w:tcPr>
            <w:tcW w:w="3600" w:type="dxa"/>
            <w:vAlign w:val="bottom"/>
          </w:tcPr>
          <w:p>
            <w:pPr>
              <w:ind w:left="160"/>
              <w:spacing w:after="0"/>
              <w:rPr>
                <w:sz w:val="20"/>
                <w:szCs w:val="20"/>
                <w:color w:val="auto"/>
              </w:rPr>
            </w:pPr>
            <w:r>
              <w:rPr>
                <w:rFonts w:ascii="Arial" w:cs="Arial" w:eastAsia="Arial" w:hAnsi="Arial"/>
                <w:sz w:val="18"/>
                <w:szCs w:val="18"/>
                <w:color w:val="auto"/>
              </w:rPr>
              <w:t>“Other Stock-Based Award”</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2.30</w:t>
            </w:r>
          </w:p>
        </w:tc>
        <w:tc>
          <w:tcPr>
            <w:tcW w:w="3600" w:type="dxa"/>
            <w:vAlign w:val="bottom"/>
          </w:tcPr>
          <w:p>
            <w:pPr>
              <w:ind w:left="160"/>
              <w:spacing w:after="0"/>
              <w:rPr>
                <w:sz w:val="20"/>
                <w:szCs w:val="20"/>
                <w:color w:val="auto"/>
              </w:rPr>
            </w:pPr>
            <w:r>
              <w:rPr>
                <w:rFonts w:ascii="Arial" w:cs="Arial" w:eastAsia="Arial" w:hAnsi="Arial"/>
                <w:sz w:val="18"/>
                <w:szCs w:val="18"/>
                <w:color w:val="auto"/>
              </w:rPr>
              <w:t>“Performance Period”</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2.31</w:t>
            </w:r>
          </w:p>
        </w:tc>
        <w:tc>
          <w:tcPr>
            <w:tcW w:w="3600" w:type="dxa"/>
            <w:vAlign w:val="bottom"/>
          </w:tcPr>
          <w:p>
            <w:pPr>
              <w:ind w:left="160"/>
              <w:spacing w:after="0"/>
              <w:rPr>
                <w:sz w:val="20"/>
                <w:szCs w:val="20"/>
                <w:color w:val="auto"/>
              </w:rPr>
            </w:pPr>
            <w:r>
              <w:rPr>
                <w:rFonts w:ascii="Arial" w:cs="Arial" w:eastAsia="Arial" w:hAnsi="Arial"/>
                <w:sz w:val="18"/>
                <w:szCs w:val="18"/>
                <w:color w:val="auto"/>
                <w:w w:val="94"/>
              </w:rPr>
              <w:t>“Performance Share” and “Performance Unit”</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2.32</w:t>
            </w:r>
          </w:p>
        </w:tc>
        <w:tc>
          <w:tcPr>
            <w:tcW w:w="3600" w:type="dxa"/>
            <w:vAlign w:val="bottom"/>
          </w:tcPr>
          <w:p>
            <w:pPr>
              <w:ind w:left="160"/>
              <w:spacing w:after="0"/>
              <w:rPr>
                <w:sz w:val="20"/>
                <w:szCs w:val="20"/>
                <w:color w:val="auto"/>
              </w:rPr>
            </w:pPr>
            <w:r>
              <w:rPr>
                <w:rFonts w:ascii="Arial" w:cs="Arial" w:eastAsia="Arial" w:hAnsi="Arial"/>
                <w:sz w:val="18"/>
                <w:szCs w:val="18"/>
                <w:color w:val="auto"/>
              </w:rPr>
              <w:t>“Period of Restriction”</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2.33</w:t>
            </w:r>
          </w:p>
        </w:tc>
        <w:tc>
          <w:tcPr>
            <w:tcW w:w="3600" w:type="dxa"/>
            <w:vAlign w:val="bottom"/>
          </w:tcPr>
          <w:p>
            <w:pPr>
              <w:ind w:left="160"/>
              <w:spacing w:after="0"/>
              <w:rPr>
                <w:sz w:val="20"/>
                <w:szCs w:val="20"/>
                <w:color w:val="auto"/>
              </w:rPr>
            </w:pPr>
            <w:r>
              <w:rPr>
                <w:rFonts w:ascii="Arial" w:cs="Arial" w:eastAsia="Arial" w:hAnsi="Arial"/>
                <w:sz w:val="18"/>
                <w:szCs w:val="18"/>
                <w:color w:val="auto"/>
              </w:rPr>
              <w:t>“Person”</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2.34</w:t>
            </w:r>
          </w:p>
        </w:tc>
        <w:tc>
          <w:tcPr>
            <w:tcW w:w="3600" w:type="dxa"/>
            <w:vAlign w:val="bottom"/>
          </w:tcPr>
          <w:p>
            <w:pPr>
              <w:ind w:left="160"/>
              <w:spacing w:after="0"/>
              <w:rPr>
                <w:sz w:val="20"/>
                <w:szCs w:val="20"/>
                <w:color w:val="auto"/>
              </w:rPr>
            </w:pPr>
            <w:r>
              <w:rPr>
                <w:rFonts w:ascii="Arial" w:cs="Arial" w:eastAsia="Arial" w:hAnsi="Arial"/>
                <w:sz w:val="18"/>
                <w:szCs w:val="18"/>
                <w:color w:val="auto"/>
              </w:rPr>
              <w:t>“Restricted Shares”</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2.35</w:t>
            </w:r>
          </w:p>
        </w:tc>
        <w:tc>
          <w:tcPr>
            <w:tcW w:w="3600" w:type="dxa"/>
            <w:vAlign w:val="bottom"/>
          </w:tcPr>
          <w:p>
            <w:pPr>
              <w:ind w:left="160"/>
              <w:spacing w:after="0"/>
              <w:rPr>
                <w:sz w:val="20"/>
                <w:szCs w:val="20"/>
                <w:color w:val="auto"/>
              </w:rPr>
            </w:pPr>
            <w:r>
              <w:rPr>
                <w:rFonts w:ascii="Arial" w:cs="Arial" w:eastAsia="Arial" w:hAnsi="Arial"/>
                <w:sz w:val="18"/>
                <w:szCs w:val="18"/>
                <w:color w:val="auto"/>
              </w:rPr>
              <w:t>“Restricted Stock Units”</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2.36</w:t>
            </w:r>
          </w:p>
        </w:tc>
        <w:tc>
          <w:tcPr>
            <w:tcW w:w="3600" w:type="dxa"/>
            <w:vAlign w:val="bottom"/>
          </w:tcPr>
          <w:p>
            <w:pPr>
              <w:ind w:left="160"/>
              <w:spacing w:after="0"/>
              <w:rPr>
                <w:sz w:val="20"/>
                <w:szCs w:val="20"/>
                <w:color w:val="auto"/>
              </w:rPr>
            </w:pPr>
            <w:r>
              <w:rPr>
                <w:rFonts w:ascii="Arial" w:cs="Arial" w:eastAsia="Arial" w:hAnsi="Arial"/>
                <w:sz w:val="18"/>
                <w:szCs w:val="18"/>
                <w:color w:val="auto"/>
              </w:rPr>
              <w:t>“Rule 16b-3”</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2.37</w:t>
            </w:r>
          </w:p>
        </w:tc>
        <w:tc>
          <w:tcPr>
            <w:tcW w:w="3600" w:type="dxa"/>
            <w:vAlign w:val="bottom"/>
          </w:tcPr>
          <w:p>
            <w:pPr>
              <w:ind w:left="160"/>
              <w:spacing w:after="0"/>
              <w:rPr>
                <w:sz w:val="20"/>
                <w:szCs w:val="20"/>
                <w:color w:val="auto"/>
              </w:rPr>
            </w:pPr>
            <w:r>
              <w:rPr>
                <w:rFonts w:ascii="Arial" w:cs="Arial" w:eastAsia="Arial" w:hAnsi="Arial"/>
                <w:sz w:val="18"/>
                <w:szCs w:val="18"/>
                <w:color w:val="auto"/>
              </w:rPr>
              <w:t>“SEC”</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2.38</w:t>
            </w:r>
          </w:p>
        </w:tc>
        <w:tc>
          <w:tcPr>
            <w:tcW w:w="3600" w:type="dxa"/>
            <w:vAlign w:val="bottom"/>
          </w:tcPr>
          <w:p>
            <w:pPr>
              <w:ind w:left="160"/>
              <w:spacing w:after="0"/>
              <w:rPr>
                <w:sz w:val="20"/>
                <w:szCs w:val="20"/>
                <w:color w:val="auto"/>
              </w:rPr>
            </w:pPr>
            <w:r>
              <w:rPr>
                <w:rFonts w:ascii="Arial" w:cs="Arial" w:eastAsia="Arial" w:hAnsi="Arial"/>
                <w:sz w:val="18"/>
                <w:szCs w:val="18"/>
                <w:color w:val="auto"/>
              </w:rPr>
              <w:t>“Section 16 Non-Employee Director”</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2.39</w:t>
            </w:r>
          </w:p>
        </w:tc>
        <w:tc>
          <w:tcPr>
            <w:tcW w:w="3600" w:type="dxa"/>
            <w:vAlign w:val="bottom"/>
          </w:tcPr>
          <w:p>
            <w:pPr>
              <w:ind w:left="160"/>
              <w:spacing w:after="0"/>
              <w:rPr>
                <w:sz w:val="20"/>
                <w:szCs w:val="20"/>
                <w:color w:val="auto"/>
              </w:rPr>
            </w:pPr>
            <w:r>
              <w:rPr>
                <w:rFonts w:ascii="Arial" w:cs="Arial" w:eastAsia="Arial" w:hAnsi="Arial"/>
                <w:sz w:val="18"/>
                <w:szCs w:val="18"/>
                <w:color w:val="auto"/>
              </w:rPr>
              <w:t>“Section 16 Person”</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2.40</w:t>
            </w:r>
          </w:p>
        </w:tc>
        <w:tc>
          <w:tcPr>
            <w:tcW w:w="3600" w:type="dxa"/>
            <w:vAlign w:val="bottom"/>
          </w:tcPr>
          <w:p>
            <w:pPr>
              <w:ind w:left="160"/>
              <w:spacing w:after="0"/>
              <w:rPr>
                <w:sz w:val="20"/>
                <w:szCs w:val="20"/>
                <w:color w:val="auto"/>
              </w:rPr>
            </w:pPr>
            <w:r>
              <w:rPr>
                <w:rFonts w:ascii="Arial" w:cs="Arial" w:eastAsia="Arial" w:hAnsi="Arial"/>
                <w:sz w:val="18"/>
                <w:szCs w:val="18"/>
                <w:color w:val="auto"/>
              </w:rPr>
              <w:t>“Separation from Service”</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2.41</w:t>
            </w:r>
          </w:p>
        </w:tc>
        <w:tc>
          <w:tcPr>
            <w:tcW w:w="3600" w:type="dxa"/>
            <w:vAlign w:val="bottom"/>
          </w:tcPr>
          <w:p>
            <w:pPr>
              <w:ind w:left="160"/>
              <w:spacing w:after="0"/>
              <w:rPr>
                <w:sz w:val="20"/>
                <w:szCs w:val="20"/>
                <w:color w:val="auto"/>
              </w:rPr>
            </w:pPr>
            <w:r>
              <w:rPr>
                <w:rFonts w:ascii="Arial" w:cs="Arial" w:eastAsia="Arial" w:hAnsi="Arial"/>
                <w:sz w:val="18"/>
                <w:szCs w:val="18"/>
                <w:color w:val="auto"/>
              </w:rPr>
              <w:t>“Share”</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2.42</w:t>
            </w:r>
          </w:p>
        </w:tc>
        <w:tc>
          <w:tcPr>
            <w:tcW w:w="3600" w:type="dxa"/>
            <w:vAlign w:val="bottom"/>
          </w:tcPr>
          <w:p>
            <w:pPr>
              <w:ind w:left="160"/>
              <w:spacing w:after="0"/>
              <w:rPr>
                <w:sz w:val="20"/>
                <w:szCs w:val="20"/>
                <w:color w:val="auto"/>
              </w:rPr>
            </w:pPr>
            <w:r>
              <w:rPr>
                <w:rFonts w:ascii="Arial" w:cs="Arial" w:eastAsia="Arial" w:hAnsi="Arial"/>
                <w:sz w:val="18"/>
                <w:szCs w:val="18"/>
                <w:color w:val="auto"/>
              </w:rPr>
              <w:t>“Stock Appreciation Right” or “SAR”</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2.43</w:t>
            </w:r>
          </w:p>
        </w:tc>
        <w:tc>
          <w:tcPr>
            <w:tcW w:w="3600" w:type="dxa"/>
            <w:vAlign w:val="bottom"/>
          </w:tcPr>
          <w:p>
            <w:pPr>
              <w:ind w:left="160"/>
              <w:spacing w:after="0"/>
              <w:rPr>
                <w:sz w:val="20"/>
                <w:szCs w:val="20"/>
                <w:color w:val="auto"/>
              </w:rPr>
            </w:pPr>
            <w:r>
              <w:rPr>
                <w:rFonts w:ascii="Arial" w:cs="Arial" w:eastAsia="Arial" w:hAnsi="Arial"/>
                <w:sz w:val="18"/>
                <w:szCs w:val="18"/>
                <w:color w:val="auto"/>
              </w:rPr>
              <w:t>“Subsidiary Corporation”</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2.44</w:t>
            </w:r>
          </w:p>
        </w:tc>
        <w:tc>
          <w:tcPr>
            <w:tcW w:w="3600" w:type="dxa"/>
            <w:vAlign w:val="bottom"/>
          </w:tcPr>
          <w:p>
            <w:pPr>
              <w:ind w:left="160"/>
              <w:spacing w:after="0"/>
              <w:rPr>
                <w:sz w:val="20"/>
                <w:szCs w:val="20"/>
                <w:color w:val="auto"/>
              </w:rPr>
            </w:pPr>
            <w:r>
              <w:rPr>
                <w:rFonts w:ascii="Arial" w:cs="Arial" w:eastAsia="Arial" w:hAnsi="Arial"/>
                <w:sz w:val="18"/>
                <w:szCs w:val="18"/>
                <w:color w:val="auto"/>
              </w:rPr>
              <w:t>“Surviving Company”</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48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ind w:left="360"/>
              <w:spacing w:after="0"/>
              <w:rPr>
                <w:sz w:val="20"/>
                <w:szCs w:val="20"/>
                <w:color w:val="auto"/>
              </w:rPr>
            </w:pPr>
            <w:r>
              <w:rPr>
                <w:rFonts w:ascii="Arial" w:cs="Arial" w:eastAsia="Arial" w:hAnsi="Arial"/>
                <w:sz w:val="18"/>
                <w:szCs w:val="18"/>
                <w:color w:val="auto"/>
              </w:rPr>
              <w:t>2.45</w:t>
            </w:r>
          </w:p>
        </w:tc>
        <w:tc>
          <w:tcPr>
            <w:tcW w:w="8480" w:type="dxa"/>
            <w:vAlign w:val="bottom"/>
            <w:vMerge w:val="restart"/>
          </w:tcPr>
          <w:p>
            <w:pPr>
              <w:ind w:left="100"/>
              <w:spacing w:after="0"/>
              <w:rPr>
                <w:sz w:val="20"/>
                <w:szCs w:val="20"/>
                <w:color w:val="auto"/>
              </w:rPr>
            </w:pPr>
            <w:r>
              <w:rPr>
                <w:rFonts w:ascii="Arial" w:cs="Arial" w:eastAsia="Arial" w:hAnsi="Arial"/>
                <w:sz w:val="18"/>
                <w:szCs w:val="18"/>
                <w:color w:val="auto"/>
              </w:rPr>
              <w:t>“Term”</w:t>
            </w: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780" w:type="dxa"/>
            <w:vAlign w:val="bottom"/>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2.46</w:t>
            </w:r>
          </w:p>
        </w:tc>
        <w:tc>
          <w:tcPr>
            <w:tcW w:w="8480" w:type="dxa"/>
            <w:vAlign w:val="bottom"/>
          </w:tcPr>
          <w:p>
            <w:pPr>
              <w:ind w:left="100"/>
              <w:spacing w:after="0"/>
              <w:rPr>
                <w:sz w:val="20"/>
                <w:szCs w:val="20"/>
                <w:color w:val="auto"/>
              </w:rPr>
            </w:pPr>
            <w:r>
              <w:rPr>
                <w:rFonts w:ascii="Arial" w:cs="Arial" w:eastAsia="Arial" w:hAnsi="Arial"/>
                <w:sz w:val="18"/>
                <w:szCs w:val="18"/>
                <w:color w:val="auto"/>
              </w:rPr>
              <w:t>“Termination of Affiliation”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Article 3. Administration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3.1</w:t>
            </w:r>
          </w:p>
        </w:tc>
        <w:tc>
          <w:tcPr>
            <w:tcW w:w="8480" w:type="dxa"/>
            <w:vAlign w:val="bottom"/>
          </w:tcPr>
          <w:p>
            <w:pPr>
              <w:ind w:left="100"/>
              <w:spacing w:after="0"/>
              <w:rPr>
                <w:sz w:val="20"/>
                <w:szCs w:val="20"/>
                <w:color w:val="auto"/>
              </w:rPr>
            </w:pPr>
            <w:r>
              <w:rPr>
                <w:rFonts w:ascii="Arial" w:cs="Arial" w:eastAsia="Arial" w:hAnsi="Arial"/>
                <w:sz w:val="18"/>
                <w:szCs w:val="18"/>
                <w:color w:val="auto"/>
              </w:rPr>
              <w:t>Committee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3.2</w:t>
            </w:r>
          </w:p>
        </w:tc>
        <w:tc>
          <w:tcPr>
            <w:tcW w:w="8480" w:type="dxa"/>
            <w:vAlign w:val="bottom"/>
          </w:tcPr>
          <w:p>
            <w:pPr>
              <w:ind w:left="100"/>
              <w:spacing w:after="0"/>
              <w:rPr>
                <w:sz w:val="20"/>
                <w:szCs w:val="20"/>
                <w:color w:val="auto"/>
              </w:rPr>
            </w:pPr>
            <w:r>
              <w:rPr>
                <w:rFonts w:ascii="Arial" w:cs="Arial" w:eastAsia="Arial" w:hAnsi="Arial"/>
                <w:sz w:val="18"/>
                <w:szCs w:val="18"/>
                <w:color w:val="auto"/>
              </w:rPr>
              <w:t>Powers of Committee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3.3</w:t>
            </w:r>
          </w:p>
        </w:tc>
        <w:tc>
          <w:tcPr>
            <w:tcW w:w="8480" w:type="dxa"/>
            <w:vAlign w:val="bottom"/>
          </w:tcPr>
          <w:p>
            <w:pPr>
              <w:ind w:left="100"/>
              <w:spacing w:after="0"/>
              <w:rPr>
                <w:sz w:val="20"/>
                <w:szCs w:val="20"/>
                <w:color w:val="auto"/>
              </w:rPr>
            </w:pPr>
            <w:r>
              <w:rPr>
                <w:rFonts w:ascii="Arial" w:cs="Arial" w:eastAsia="Arial" w:hAnsi="Arial"/>
                <w:sz w:val="18"/>
                <w:szCs w:val="18"/>
                <w:color w:val="auto"/>
              </w:rPr>
              <w:t>No Repricings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Article 4. Shares Subject to the Plan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4.1</w:t>
            </w:r>
          </w:p>
        </w:tc>
        <w:tc>
          <w:tcPr>
            <w:tcW w:w="8480" w:type="dxa"/>
            <w:vAlign w:val="bottom"/>
          </w:tcPr>
          <w:p>
            <w:pPr>
              <w:ind w:left="100"/>
              <w:spacing w:after="0"/>
              <w:rPr>
                <w:sz w:val="20"/>
                <w:szCs w:val="20"/>
                <w:color w:val="auto"/>
              </w:rPr>
            </w:pPr>
            <w:r>
              <w:rPr>
                <w:rFonts w:ascii="Arial" w:cs="Arial" w:eastAsia="Arial" w:hAnsi="Arial"/>
                <w:sz w:val="18"/>
                <w:szCs w:val="18"/>
                <w:color w:val="auto"/>
              </w:rPr>
              <w:t>Number of Shares Available for Grants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8480" w:type="dxa"/>
            <w:vAlign w:val="bottom"/>
          </w:tcPr>
          <w:p>
            <w:pPr>
              <w:ind w:left="100"/>
              <w:spacing w:after="0"/>
              <w:rPr>
                <w:sz w:val="20"/>
                <w:szCs w:val="20"/>
                <w:color w:val="auto"/>
              </w:rPr>
            </w:pPr>
            <w:r>
              <w:rPr>
                <w:rFonts w:ascii="Arial" w:cs="Arial" w:eastAsia="Arial" w:hAnsi="Arial"/>
                <w:sz w:val="18"/>
                <w:szCs w:val="18"/>
                <w:color w:val="auto"/>
              </w:rPr>
              <w:t>Adjustments in Authorized Shares and Awards; Corporate Transaction, Liquidation or Dissolution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Article 5. Eligibility and General Conditions of Awards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5.1</w:t>
            </w:r>
          </w:p>
        </w:tc>
        <w:tc>
          <w:tcPr>
            <w:tcW w:w="8480" w:type="dxa"/>
            <w:vAlign w:val="bottom"/>
          </w:tcPr>
          <w:p>
            <w:pPr>
              <w:ind w:left="100"/>
              <w:spacing w:after="0"/>
              <w:rPr>
                <w:sz w:val="20"/>
                <w:szCs w:val="20"/>
                <w:color w:val="auto"/>
              </w:rPr>
            </w:pPr>
            <w:r>
              <w:rPr>
                <w:rFonts w:ascii="Arial" w:cs="Arial" w:eastAsia="Arial" w:hAnsi="Arial"/>
                <w:sz w:val="18"/>
                <w:szCs w:val="18"/>
                <w:color w:val="auto"/>
              </w:rPr>
              <w:t>Eligibility</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5.2</w:t>
            </w:r>
          </w:p>
        </w:tc>
        <w:tc>
          <w:tcPr>
            <w:tcW w:w="8480" w:type="dxa"/>
            <w:vAlign w:val="bottom"/>
          </w:tcPr>
          <w:p>
            <w:pPr>
              <w:ind w:left="100"/>
              <w:spacing w:after="0"/>
              <w:rPr>
                <w:sz w:val="20"/>
                <w:szCs w:val="20"/>
                <w:color w:val="auto"/>
              </w:rPr>
            </w:pPr>
            <w:r>
              <w:rPr>
                <w:rFonts w:ascii="Arial" w:cs="Arial" w:eastAsia="Arial" w:hAnsi="Arial"/>
                <w:sz w:val="18"/>
                <w:szCs w:val="18"/>
                <w:color w:val="auto"/>
              </w:rPr>
              <w:t>Award Agreement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5.3</w:t>
            </w:r>
          </w:p>
        </w:tc>
        <w:tc>
          <w:tcPr>
            <w:tcW w:w="8480" w:type="dxa"/>
            <w:vAlign w:val="bottom"/>
          </w:tcPr>
          <w:p>
            <w:pPr>
              <w:ind w:left="100"/>
              <w:spacing w:after="0"/>
              <w:rPr>
                <w:sz w:val="20"/>
                <w:szCs w:val="20"/>
                <w:color w:val="auto"/>
              </w:rPr>
            </w:pPr>
            <w:r>
              <w:rPr>
                <w:rFonts w:ascii="Arial" w:cs="Arial" w:eastAsia="Arial" w:hAnsi="Arial"/>
                <w:sz w:val="18"/>
                <w:szCs w:val="18"/>
                <w:color w:val="auto"/>
              </w:rPr>
              <w:t>General Terms and Termination of Affiliation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5.4</w:t>
            </w:r>
          </w:p>
        </w:tc>
        <w:tc>
          <w:tcPr>
            <w:tcW w:w="8480" w:type="dxa"/>
            <w:vAlign w:val="bottom"/>
          </w:tcPr>
          <w:p>
            <w:pPr>
              <w:ind w:left="100"/>
              <w:spacing w:after="0"/>
              <w:rPr>
                <w:sz w:val="20"/>
                <w:szCs w:val="20"/>
                <w:color w:val="auto"/>
              </w:rPr>
            </w:pPr>
            <w:r>
              <w:rPr>
                <w:rFonts w:ascii="Arial" w:cs="Arial" w:eastAsia="Arial" w:hAnsi="Arial"/>
                <w:sz w:val="18"/>
                <w:szCs w:val="18"/>
                <w:color w:val="auto"/>
              </w:rPr>
              <w:t>Nontransferability of Awards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5.5</w:t>
            </w:r>
          </w:p>
        </w:tc>
        <w:tc>
          <w:tcPr>
            <w:tcW w:w="8480" w:type="dxa"/>
            <w:vAlign w:val="bottom"/>
          </w:tcPr>
          <w:p>
            <w:pPr>
              <w:ind w:left="100"/>
              <w:spacing w:after="0"/>
              <w:rPr>
                <w:sz w:val="20"/>
                <w:szCs w:val="20"/>
                <w:color w:val="auto"/>
              </w:rPr>
            </w:pPr>
            <w:r>
              <w:rPr>
                <w:rFonts w:ascii="Arial" w:cs="Arial" w:eastAsia="Arial" w:hAnsi="Arial"/>
                <w:sz w:val="18"/>
                <w:szCs w:val="18"/>
                <w:color w:val="auto"/>
              </w:rPr>
              <w:t>Cancellation and Rescission of Awards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5.6</w:t>
            </w:r>
          </w:p>
        </w:tc>
        <w:tc>
          <w:tcPr>
            <w:tcW w:w="8480" w:type="dxa"/>
            <w:vAlign w:val="bottom"/>
          </w:tcPr>
          <w:p>
            <w:pPr>
              <w:ind w:left="100"/>
              <w:spacing w:after="0"/>
              <w:rPr>
                <w:sz w:val="20"/>
                <w:szCs w:val="20"/>
                <w:color w:val="auto"/>
              </w:rPr>
            </w:pPr>
            <w:r>
              <w:rPr>
                <w:rFonts w:ascii="Arial" w:cs="Arial" w:eastAsia="Arial" w:hAnsi="Arial"/>
                <w:sz w:val="18"/>
                <w:szCs w:val="18"/>
                <w:color w:val="auto"/>
              </w:rPr>
              <w:t>Stand-Alone, Tandem and Substitute Awards.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5.7</w:t>
            </w:r>
          </w:p>
        </w:tc>
        <w:tc>
          <w:tcPr>
            <w:tcW w:w="8480" w:type="dxa"/>
            <w:vAlign w:val="bottom"/>
          </w:tcPr>
          <w:p>
            <w:pPr>
              <w:ind w:left="100"/>
              <w:spacing w:after="0"/>
              <w:rPr>
                <w:sz w:val="20"/>
                <w:szCs w:val="20"/>
                <w:color w:val="auto"/>
              </w:rPr>
            </w:pPr>
            <w:r>
              <w:rPr>
                <w:rFonts w:ascii="Arial" w:cs="Arial" w:eastAsia="Arial" w:hAnsi="Arial"/>
                <w:sz w:val="18"/>
                <w:szCs w:val="18"/>
                <w:color w:val="auto"/>
              </w:rPr>
              <w:t>Compliance with Rule 16b-3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5.8</w:t>
            </w:r>
          </w:p>
        </w:tc>
        <w:tc>
          <w:tcPr>
            <w:tcW w:w="8480" w:type="dxa"/>
            <w:vAlign w:val="bottom"/>
          </w:tcPr>
          <w:p>
            <w:pPr>
              <w:ind w:left="100"/>
              <w:spacing w:after="0"/>
              <w:rPr>
                <w:sz w:val="20"/>
                <w:szCs w:val="20"/>
                <w:color w:val="auto"/>
              </w:rPr>
            </w:pPr>
            <w:r>
              <w:rPr>
                <w:rFonts w:ascii="Arial" w:cs="Arial" w:eastAsia="Arial" w:hAnsi="Arial"/>
                <w:sz w:val="18"/>
                <w:szCs w:val="18"/>
                <w:color w:val="auto"/>
              </w:rPr>
              <w:t>Deferral of Award Payouts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Article 6. Stock Options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6.1</w:t>
            </w:r>
          </w:p>
        </w:tc>
        <w:tc>
          <w:tcPr>
            <w:tcW w:w="8480" w:type="dxa"/>
            <w:vAlign w:val="bottom"/>
          </w:tcPr>
          <w:p>
            <w:pPr>
              <w:ind w:left="100"/>
              <w:spacing w:after="0"/>
              <w:rPr>
                <w:sz w:val="20"/>
                <w:szCs w:val="20"/>
                <w:color w:val="auto"/>
              </w:rPr>
            </w:pPr>
            <w:r>
              <w:rPr>
                <w:rFonts w:ascii="Arial" w:cs="Arial" w:eastAsia="Arial" w:hAnsi="Arial"/>
                <w:sz w:val="18"/>
                <w:szCs w:val="18"/>
                <w:color w:val="auto"/>
              </w:rPr>
              <w:t>Grant of Options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6.2</w:t>
            </w:r>
          </w:p>
        </w:tc>
        <w:tc>
          <w:tcPr>
            <w:tcW w:w="8480" w:type="dxa"/>
            <w:vAlign w:val="bottom"/>
          </w:tcPr>
          <w:p>
            <w:pPr>
              <w:ind w:left="100"/>
              <w:spacing w:after="0"/>
              <w:rPr>
                <w:sz w:val="20"/>
                <w:szCs w:val="20"/>
                <w:color w:val="auto"/>
              </w:rPr>
            </w:pPr>
            <w:r>
              <w:rPr>
                <w:rFonts w:ascii="Arial" w:cs="Arial" w:eastAsia="Arial" w:hAnsi="Arial"/>
                <w:sz w:val="18"/>
                <w:szCs w:val="18"/>
                <w:color w:val="auto"/>
              </w:rPr>
              <w:t>Award Agreement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6.3</w:t>
            </w:r>
          </w:p>
        </w:tc>
        <w:tc>
          <w:tcPr>
            <w:tcW w:w="8480" w:type="dxa"/>
            <w:vAlign w:val="bottom"/>
          </w:tcPr>
          <w:p>
            <w:pPr>
              <w:ind w:left="100"/>
              <w:spacing w:after="0"/>
              <w:rPr>
                <w:sz w:val="20"/>
                <w:szCs w:val="20"/>
                <w:color w:val="auto"/>
              </w:rPr>
            </w:pPr>
            <w:r>
              <w:rPr>
                <w:rFonts w:ascii="Arial" w:cs="Arial" w:eastAsia="Arial" w:hAnsi="Arial"/>
                <w:sz w:val="18"/>
                <w:szCs w:val="18"/>
                <w:color w:val="auto"/>
              </w:rPr>
              <w:t>Option Exercise Price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6.4</w:t>
            </w:r>
          </w:p>
        </w:tc>
        <w:tc>
          <w:tcPr>
            <w:tcW w:w="8480" w:type="dxa"/>
            <w:vAlign w:val="bottom"/>
          </w:tcPr>
          <w:p>
            <w:pPr>
              <w:ind w:left="100"/>
              <w:spacing w:after="0"/>
              <w:rPr>
                <w:sz w:val="20"/>
                <w:szCs w:val="20"/>
                <w:color w:val="auto"/>
              </w:rPr>
            </w:pPr>
            <w:r>
              <w:rPr>
                <w:rFonts w:ascii="Arial" w:cs="Arial" w:eastAsia="Arial" w:hAnsi="Arial"/>
                <w:sz w:val="18"/>
                <w:szCs w:val="18"/>
                <w:color w:val="auto"/>
              </w:rPr>
              <w:t>Grant of Incentive Stock Options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6.5</w:t>
            </w:r>
          </w:p>
        </w:tc>
        <w:tc>
          <w:tcPr>
            <w:tcW w:w="8480" w:type="dxa"/>
            <w:vAlign w:val="bottom"/>
          </w:tcPr>
          <w:p>
            <w:pPr>
              <w:ind w:left="100"/>
              <w:spacing w:after="0"/>
              <w:rPr>
                <w:sz w:val="20"/>
                <w:szCs w:val="20"/>
                <w:color w:val="auto"/>
              </w:rPr>
            </w:pPr>
            <w:r>
              <w:rPr>
                <w:rFonts w:ascii="Arial" w:cs="Arial" w:eastAsia="Arial" w:hAnsi="Arial"/>
                <w:sz w:val="18"/>
                <w:szCs w:val="18"/>
                <w:color w:val="auto"/>
              </w:rPr>
              <w:t>Payment of Exercise Price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Article 7. Stock Appreciation Rights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7.1</w:t>
            </w:r>
          </w:p>
        </w:tc>
        <w:tc>
          <w:tcPr>
            <w:tcW w:w="8480" w:type="dxa"/>
            <w:vAlign w:val="bottom"/>
          </w:tcPr>
          <w:p>
            <w:pPr>
              <w:ind w:left="100"/>
              <w:spacing w:after="0"/>
              <w:rPr>
                <w:sz w:val="20"/>
                <w:szCs w:val="20"/>
                <w:color w:val="auto"/>
              </w:rPr>
            </w:pPr>
            <w:r>
              <w:rPr>
                <w:rFonts w:ascii="Arial" w:cs="Arial" w:eastAsia="Arial" w:hAnsi="Arial"/>
                <w:sz w:val="18"/>
                <w:szCs w:val="18"/>
                <w:color w:val="auto"/>
              </w:rPr>
              <w:t>Issuance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7.2</w:t>
            </w:r>
          </w:p>
        </w:tc>
        <w:tc>
          <w:tcPr>
            <w:tcW w:w="8480" w:type="dxa"/>
            <w:vAlign w:val="bottom"/>
          </w:tcPr>
          <w:p>
            <w:pPr>
              <w:ind w:left="100"/>
              <w:spacing w:after="0"/>
              <w:rPr>
                <w:sz w:val="20"/>
                <w:szCs w:val="20"/>
                <w:color w:val="auto"/>
              </w:rPr>
            </w:pPr>
            <w:r>
              <w:rPr>
                <w:rFonts w:ascii="Arial" w:cs="Arial" w:eastAsia="Arial" w:hAnsi="Arial"/>
                <w:sz w:val="18"/>
                <w:szCs w:val="18"/>
                <w:color w:val="auto"/>
              </w:rPr>
              <w:t>Award Agreements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7.3</w:t>
            </w:r>
          </w:p>
        </w:tc>
        <w:tc>
          <w:tcPr>
            <w:tcW w:w="8480" w:type="dxa"/>
            <w:vAlign w:val="bottom"/>
          </w:tcPr>
          <w:p>
            <w:pPr>
              <w:ind w:left="100"/>
              <w:spacing w:after="0"/>
              <w:rPr>
                <w:sz w:val="20"/>
                <w:szCs w:val="20"/>
                <w:color w:val="auto"/>
              </w:rPr>
            </w:pPr>
            <w:r>
              <w:rPr>
                <w:rFonts w:ascii="Arial" w:cs="Arial" w:eastAsia="Arial" w:hAnsi="Arial"/>
                <w:sz w:val="18"/>
                <w:szCs w:val="18"/>
                <w:color w:val="auto"/>
              </w:rPr>
              <w:t>SAR Exercise Price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7.4</w:t>
            </w:r>
          </w:p>
        </w:tc>
        <w:tc>
          <w:tcPr>
            <w:tcW w:w="8480" w:type="dxa"/>
            <w:vAlign w:val="bottom"/>
          </w:tcPr>
          <w:p>
            <w:pPr>
              <w:ind w:left="100"/>
              <w:spacing w:after="0"/>
              <w:rPr>
                <w:sz w:val="20"/>
                <w:szCs w:val="20"/>
                <w:color w:val="auto"/>
              </w:rPr>
            </w:pPr>
            <w:r>
              <w:rPr>
                <w:rFonts w:ascii="Arial" w:cs="Arial" w:eastAsia="Arial" w:hAnsi="Arial"/>
                <w:sz w:val="18"/>
                <w:szCs w:val="18"/>
                <w:color w:val="auto"/>
              </w:rPr>
              <w:t>Exercise and Payment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Article 8. Restricted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8.1</w:t>
            </w:r>
          </w:p>
        </w:tc>
        <w:tc>
          <w:tcPr>
            <w:tcW w:w="8480" w:type="dxa"/>
            <w:vAlign w:val="bottom"/>
          </w:tcPr>
          <w:p>
            <w:pPr>
              <w:ind w:left="100"/>
              <w:spacing w:after="0"/>
              <w:rPr>
                <w:sz w:val="20"/>
                <w:szCs w:val="20"/>
                <w:color w:val="auto"/>
              </w:rPr>
            </w:pPr>
            <w:r>
              <w:rPr>
                <w:rFonts w:ascii="Arial" w:cs="Arial" w:eastAsia="Arial" w:hAnsi="Arial"/>
                <w:sz w:val="18"/>
                <w:szCs w:val="18"/>
                <w:color w:val="auto"/>
              </w:rPr>
              <w:t>Grant of Restricted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8.2</w:t>
            </w:r>
          </w:p>
        </w:tc>
        <w:tc>
          <w:tcPr>
            <w:tcW w:w="8480" w:type="dxa"/>
            <w:vAlign w:val="bottom"/>
          </w:tcPr>
          <w:p>
            <w:pPr>
              <w:ind w:left="100"/>
              <w:spacing w:after="0"/>
              <w:rPr>
                <w:sz w:val="20"/>
                <w:szCs w:val="20"/>
                <w:color w:val="auto"/>
              </w:rPr>
            </w:pPr>
            <w:r>
              <w:rPr>
                <w:rFonts w:ascii="Arial" w:cs="Arial" w:eastAsia="Arial" w:hAnsi="Arial"/>
                <w:sz w:val="18"/>
                <w:szCs w:val="18"/>
                <w:color w:val="auto"/>
              </w:rPr>
              <w:t>Award Agreement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8.3</w:t>
            </w:r>
          </w:p>
        </w:tc>
        <w:tc>
          <w:tcPr>
            <w:tcW w:w="8480" w:type="dxa"/>
            <w:vAlign w:val="bottom"/>
          </w:tcPr>
          <w:p>
            <w:pPr>
              <w:ind w:left="100"/>
              <w:spacing w:after="0"/>
              <w:rPr>
                <w:sz w:val="20"/>
                <w:szCs w:val="20"/>
                <w:color w:val="auto"/>
              </w:rPr>
            </w:pPr>
            <w:r>
              <w:rPr>
                <w:rFonts w:ascii="Arial" w:cs="Arial" w:eastAsia="Arial" w:hAnsi="Arial"/>
                <w:sz w:val="18"/>
                <w:szCs w:val="18"/>
                <w:color w:val="auto"/>
              </w:rPr>
              <w:t>Consideration for Restricted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8.4</w:t>
            </w:r>
          </w:p>
        </w:tc>
        <w:tc>
          <w:tcPr>
            <w:tcW w:w="8480" w:type="dxa"/>
            <w:vAlign w:val="bottom"/>
          </w:tcPr>
          <w:p>
            <w:pPr>
              <w:ind w:left="100"/>
              <w:spacing w:after="0"/>
              <w:rPr>
                <w:sz w:val="20"/>
                <w:szCs w:val="20"/>
                <w:color w:val="auto"/>
              </w:rPr>
            </w:pPr>
            <w:r>
              <w:rPr>
                <w:rFonts w:ascii="Arial" w:cs="Arial" w:eastAsia="Arial" w:hAnsi="Arial"/>
                <w:sz w:val="18"/>
                <w:szCs w:val="18"/>
                <w:color w:val="auto"/>
              </w:rPr>
              <w:t>Effect of Forfeiture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8.5</w:t>
            </w:r>
          </w:p>
        </w:tc>
        <w:tc>
          <w:tcPr>
            <w:tcW w:w="8480" w:type="dxa"/>
            <w:vAlign w:val="bottom"/>
          </w:tcPr>
          <w:p>
            <w:pPr>
              <w:ind w:left="100"/>
              <w:spacing w:after="0"/>
              <w:rPr>
                <w:sz w:val="20"/>
                <w:szCs w:val="20"/>
                <w:color w:val="auto"/>
              </w:rPr>
            </w:pPr>
            <w:r>
              <w:rPr>
                <w:rFonts w:ascii="Arial" w:cs="Arial" w:eastAsia="Arial" w:hAnsi="Arial"/>
                <w:sz w:val="18"/>
                <w:szCs w:val="18"/>
                <w:color w:val="auto"/>
              </w:rPr>
              <w:t>Escrow; Legends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Article 9. Performance Units and Performance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9.1</w:t>
            </w:r>
          </w:p>
        </w:tc>
        <w:tc>
          <w:tcPr>
            <w:tcW w:w="8480" w:type="dxa"/>
            <w:vAlign w:val="bottom"/>
          </w:tcPr>
          <w:p>
            <w:pPr>
              <w:ind w:left="100"/>
              <w:spacing w:after="0"/>
              <w:rPr>
                <w:sz w:val="20"/>
                <w:szCs w:val="20"/>
                <w:color w:val="auto"/>
              </w:rPr>
            </w:pPr>
            <w:r>
              <w:rPr>
                <w:rFonts w:ascii="Arial" w:cs="Arial" w:eastAsia="Arial" w:hAnsi="Arial"/>
                <w:sz w:val="18"/>
                <w:szCs w:val="18"/>
                <w:color w:val="auto"/>
              </w:rPr>
              <w:t>Grant of Performance Units and Performance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9.2</w:t>
            </w:r>
          </w:p>
        </w:tc>
        <w:tc>
          <w:tcPr>
            <w:tcW w:w="8480" w:type="dxa"/>
            <w:vAlign w:val="bottom"/>
          </w:tcPr>
          <w:p>
            <w:pPr>
              <w:ind w:left="100"/>
              <w:spacing w:after="0"/>
              <w:rPr>
                <w:sz w:val="20"/>
                <w:szCs w:val="20"/>
                <w:color w:val="auto"/>
              </w:rPr>
            </w:pPr>
            <w:r>
              <w:rPr>
                <w:rFonts w:ascii="Arial" w:cs="Arial" w:eastAsia="Arial" w:hAnsi="Arial"/>
                <w:sz w:val="18"/>
                <w:szCs w:val="18"/>
                <w:color w:val="auto"/>
              </w:rPr>
              <w:t>Value/Performance Goals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9.3</w:t>
            </w:r>
          </w:p>
        </w:tc>
        <w:tc>
          <w:tcPr>
            <w:tcW w:w="8480" w:type="dxa"/>
            <w:vAlign w:val="bottom"/>
          </w:tcPr>
          <w:p>
            <w:pPr>
              <w:ind w:left="100"/>
              <w:spacing w:after="0"/>
              <w:rPr>
                <w:sz w:val="20"/>
                <w:szCs w:val="20"/>
                <w:color w:val="auto"/>
              </w:rPr>
            </w:pPr>
            <w:r>
              <w:rPr>
                <w:rFonts w:ascii="Arial" w:cs="Arial" w:eastAsia="Arial" w:hAnsi="Arial"/>
                <w:sz w:val="18"/>
                <w:szCs w:val="18"/>
                <w:color w:val="auto"/>
              </w:rPr>
              <w:t>Earning of Performance Units and Performance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Article 10. Deferred Stock and Restricted Stock Units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0"/>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10.1  Grant of Deferred Stock and Restricted Stock Units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10.2</w:t>
            </w:r>
          </w:p>
        </w:tc>
        <w:tc>
          <w:tcPr>
            <w:tcW w:w="8480" w:type="dxa"/>
            <w:vAlign w:val="bottom"/>
          </w:tcPr>
          <w:p>
            <w:pPr>
              <w:ind w:left="100"/>
              <w:spacing w:after="0"/>
              <w:rPr>
                <w:sz w:val="20"/>
                <w:szCs w:val="20"/>
                <w:color w:val="auto"/>
              </w:rPr>
            </w:pPr>
            <w:r>
              <w:rPr>
                <w:rFonts w:ascii="Arial" w:cs="Arial" w:eastAsia="Arial" w:hAnsi="Arial"/>
                <w:sz w:val="18"/>
                <w:szCs w:val="18"/>
                <w:color w:val="auto"/>
              </w:rPr>
              <w:t>Vesting and Delivery</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9260" w:type="dxa"/>
            <w:vAlign w:val="bottom"/>
            <w:gridSpan w:val="2"/>
          </w:tcPr>
          <w:p>
            <w:pPr>
              <w:ind w:left="360"/>
              <w:spacing w:after="0"/>
              <w:rPr>
                <w:sz w:val="20"/>
                <w:szCs w:val="20"/>
                <w:color w:val="auto"/>
              </w:rPr>
            </w:pPr>
            <w:r>
              <w:rPr>
                <w:rFonts w:ascii="Arial" w:cs="Arial" w:eastAsia="Arial" w:hAnsi="Arial"/>
                <w:sz w:val="18"/>
                <w:szCs w:val="18"/>
                <w:color w:val="auto"/>
              </w:rPr>
              <w:t>10.3  Voting and Dividend Equivalent Rights Attributable to Deferred Stock and Restricted Stock Units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Article 11. Dividend Equivalents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Article 12. Bonus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65"/>
        </w:trPr>
        <w:tc>
          <w:tcPr>
            <w:tcW w:w="780" w:type="dxa"/>
            <w:vAlign w:val="bottom"/>
          </w:tcPr>
          <w:p>
            <w:pPr>
              <w:spacing w:after="0"/>
              <w:rPr>
                <w:sz w:val="24"/>
                <w:szCs w:val="24"/>
                <w:color w:val="auto"/>
              </w:rPr>
            </w:pPr>
          </w:p>
        </w:tc>
        <w:tc>
          <w:tcPr>
            <w:tcW w:w="8480" w:type="dxa"/>
            <w:vAlign w:val="bottom"/>
          </w:tcPr>
          <w:p>
            <w:pPr>
              <w:ind w:left="4680"/>
              <w:spacing w:after="0"/>
              <w:rPr>
                <w:sz w:val="20"/>
                <w:szCs w:val="20"/>
                <w:color w:val="auto"/>
              </w:rPr>
            </w:pPr>
            <w:r>
              <w:rPr>
                <w:rFonts w:ascii="Arial" w:cs="Arial" w:eastAsia="Arial" w:hAnsi="Arial"/>
                <w:sz w:val="18"/>
                <w:szCs w:val="18"/>
                <w:color w:val="auto"/>
              </w:rPr>
              <w:t>ii</w:t>
            </w: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520" w:type="dxa"/>
            <w:vAlign w:val="bottom"/>
            <w:gridSpan w:val="2"/>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97"/>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Article 13. Other Stock-Based Awards</w:t>
            </w:r>
          </w:p>
        </w:tc>
        <w:tc>
          <w:tcPr>
            <w:tcW w:w="65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4460" w:type="dxa"/>
            <w:vAlign w:val="bottom"/>
            <w:gridSpan w:val="2"/>
            <w:vMerge w:val="continue"/>
          </w:tcPr>
          <w:p>
            <w:pPr>
              <w:spacing w:after="0"/>
              <w:rPr>
                <w:sz w:val="19"/>
                <w:szCs w:val="19"/>
                <w:color w:val="auto"/>
              </w:rPr>
            </w:pPr>
          </w:p>
        </w:tc>
        <w:tc>
          <w:tcPr>
            <w:tcW w:w="61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4460" w:type="dxa"/>
            <w:vAlign w:val="bottom"/>
            <w:gridSpan w:val="2"/>
          </w:tcPr>
          <w:p>
            <w:pPr>
              <w:spacing w:after="0"/>
              <w:rPr>
                <w:sz w:val="20"/>
                <w:szCs w:val="20"/>
                <w:color w:val="auto"/>
              </w:rPr>
            </w:pPr>
            <w:r>
              <w:rPr>
                <w:rFonts w:ascii="Arial" w:cs="Arial" w:eastAsia="Arial" w:hAnsi="Arial"/>
                <w:sz w:val="18"/>
                <w:szCs w:val="18"/>
                <w:color w:val="auto"/>
              </w:rPr>
              <w:t>Article 14. Non-Employee Director Awards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4460" w:type="dxa"/>
            <w:vAlign w:val="bottom"/>
            <w:gridSpan w:val="2"/>
          </w:tcPr>
          <w:p>
            <w:pPr>
              <w:spacing w:after="0"/>
              <w:rPr>
                <w:sz w:val="20"/>
                <w:szCs w:val="20"/>
                <w:color w:val="auto"/>
              </w:rPr>
            </w:pPr>
            <w:r>
              <w:rPr>
                <w:rFonts w:ascii="Arial" w:cs="Arial" w:eastAsia="Arial" w:hAnsi="Arial"/>
                <w:sz w:val="18"/>
                <w:szCs w:val="18"/>
                <w:color w:val="auto"/>
              </w:rPr>
              <w:t>Article 15. Amendment, Modification, and Termination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15.1</w:t>
            </w:r>
          </w:p>
        </w:tc>
        <w:tc>
          <w:tcPr>
            <w:tcW w:w="3580" w:type="dxa"/>
            <w:vAlign w:val="bottom"/>
          </w:tcPr>
          <w:p>
            <w:pPr>
              <w:ind w:left="100"/>
              <w:spacing w:after="0"/>
              <w:rPr>
                <w:sz w:val="20"/>
                <w:szCs w:val="20"/>
                <w:color w:val="auto"/>
              </w:rPr>
            </w:pPr>
            <w:r>
              <w:rPr>
                <w:rFonts w:ascii="Arial" w:cs="Arial" w:eastAsia="Arial" w:hAnsi="Arial"/>
                <w:sz w:val="18"/>
                <w:szCs w:val="18"/>
                <w:color w:val="auto"/>
              </w:rPr>
              <w:t>Amendment, Modification, and Termination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15.2</w:t>
            </w:r>
          </w:p>
        </w:tc>
        <w:tc>
          <w:tcPr>
            <w:tcW w:w="3580" w:type="dxa"/>
            <w:vAlign w:val="bottom"/>
          </w:tcPr>
          <w:p>
            <w:pPr>
              <w:ind w:left="100"/>
              <w:spacing w:after="0"/>
              <w:rPr>
                <w:sz w:val="20"/>
                <w:szCs w:val="20"/>
                <w:color w:val="auto"/>
              </w:rPr>
            </w:pPr>
            <w:r>
              <w:rPr>
                <w:rFonts w:ascii="Arial" w:cs="Arial" w:eastAsia="Arial" w:hAnsi="Arial"/>
                <w:sz w:val="18"/>
                <w:szCs w:val="18"/>
                <w:color w:val="auto"/>
              </w:rPr>
              <w:t>Awards Previously Granted</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4460" w:type="dxa"/>
            <w:vAlign w:val="bottom"/>
            <w:gridSpan w:val="2"/>
          </w:tcPr>
          <w:p>
            <w:pPr>
              <w:spacing w:after="0"/>
              <w:rPr>
                <w:sz w:val="20"/>
                <w:szCs w:val="20"/>
                <w:color w:val="auto"/>
              </w:rPr>
            </w:pPr>
            <w:r>
              <w:rPr>
                <w:rFonts w:ascii="Arial" w:cs="Arial" w:eastAsia="Arial" w:hAnsi="Arial"/>
                <w:sz w:val="18"/>
                <w:szCs w:val="18"/>
                <w:color w:val="auto"/>
              </w:rPr>
              <w:t>Article 16. Compliance with Code Section 409A</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16.1</w:t>
            </w:r>
          </w:p>
        </w:tc>
        <w:tc>
          <w:tcPr>
            <w:tcW w:w="3580" w:type="dxa"/>
            <w:vAlign w:val="bottom"/>
          </w:tcPr>
          <w:p>
            <w:pPr>
              <w:ind w:left="100"/>
              <w:spacing w:after="0"/>
              <w:rPr>
                <w:sz w:val="20"/>
                <w:szCs w:val="20"/>
                <w:color w:val="auto"/>
              </w:rPr>
            </w:pPr>
            <w:r>
              <w:rPr>
                <w:rFonts w:ascii="Arial" w:cs="Arial" w:eastAsia="Arial" w:hAnsi="Arial"/>
                <w:sz w:val="18"/>
                <w:szCs w:val="18"/>
                <w:color w:val="auto"/>
              </w:rPr>
              <w:t>Awards Subject to Code Section 409A</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16.2</w:t>
            </w:r>
          </w:p>
        </w:tc>
        <w:tc>
          <w:tcPr>
            <w:tcW w:w="3580" w:type="dxa"/>
            <w:vAlign w:val="bottom"/>
          </w:tcPr>
          <w:p>
            <w:pPr>
              <w:ind w:left="100"/>
              <w:spacing w:after="0"/>
              <w:rPr>
                <w:sz w:val="20"/>
                <w:szCs w:val="20"/>
                <w:color w:val="auto"/>
              </w:rPr>
            </w:pPr>
            <w:r>
              <w:rPr>
                <w:rFonts w:ascii="Arial" w:cs="Arial" w:eastAsia="Arial" w:hAnsi="Arial"/>
                <w:sz w:val="18"/>
                <w:szCs w:val="18"/>
                <w:color w:val="auto"/>
              </w:rPr>
              <w:t>Deferral and/or Distribution Elections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16.3</w:t>
            </w:r>
          </w:p>
        </w:tc>
        <w:tc>
          <w:tcPr>
            <w:tcW w:w="3580" w:type="dxa"/>
            <w:vAlign w:val="bottom"/>
          </w:tcPr>
          <w:p>
            <w:pPr>
              <w:ind w:left="100"/>
              <w:spacing w:after="0"/>
              <w:rPr>
                <w:sz w:val="20"/>
                <w:szCs w:val="20"/>
                <w:color w:val="auto"/>
              </w:rPr>
            </w:pPr>
            <w:r>
              <w:rPr>
                <w:rFonts w:ascii="Arial" w:cs="Arial" w:eastAsia="Arial" w:hAnsi="Arial"/>
                <w:sz w:val="18"/>
                <w:szCs w:val="18"/>
                <w:color w:val="auto"/>
              </w:rPr>
              <w:t>Subsequent Elections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16.4</w:t>
            </w:r>
          </w:p>
        </w:tc>
        <w:tc>
          <w:tcPr>
            <w:tcW w:w="3580" w:type="dxa"/>
            <w:vAlign w:val="bottom"/>
          </w:tcPr>
          <w:p>
            <w:pPr>
              <w:ind w:left="100"/>
              <w:spacing w:after="0"/>
              <w:rPr>
                <w:sz w:val="20"/>
                <w:szCs w:val="20"/>
                <w:color w:val="auto"/>
              </w:rPr>
            </w:pPr>
            <w:r>
              <w:rPr>
                <w:rFonts w:ascii="Arial" w:cs="Arial" w:eastAsia="Arial" w:hAnsi="Arial"/>
                <w:sz w:val="18"/>
                <w:szCs w:val="18"/>
                <w:color w:val="auto"/>
              </w:rPr>
              <w:t>Distributions Pursuant to Deferral Elections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16.5</w:t>
            </w:r>
          </w:p>
        </w:tc>
        <w:tc>
          <w:tcPr>
            <w:tcW w:w="3580" w:type="dxa"/>
            <w:vAlign w:val="bottom"/>
          </w:tcPr>
          <w:p>
            <w:pPr>
              <w:ind w:left="100"/>
              <w:spacing w:after="0"/>
              <w:rPr>
                <w:sz w:val="20"/>
                <w:szCs w:val="20"/>
                <w:color w:val="auto"/>
              </w:rPr>
            </w:pPr>
            <w:r>
              <w:rPr>
                <w:rFonts w:ascii="Arial" w:cs="Arial" w:eastAsia="Arial" w:hAnsi="Arial"/>
                <w:sz w:val="18"/>
                <w:szCs w:val="18"/>
                <w:color w:val="auto"/>
              </w:rPr>
              <w:t>Six Month Delay</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16.6</w:t>
            </w:r>
          </w:p>
        </w:tc>
        <w:tc>
          <w:tcPr>
            <w:tcW w:w="3580" w:type="dxa"/>
            <w:vAlign w:val="bottom"/>
          </w:tcPr>
          <w:p>
            <w:pPr>
              <w:ind w:left="100"/>
              <w:spacing w:after="0"/>
              <w:rPr>
                <w:sz w:val="20"/>
                <w:szCs w:val="20"/>
                <w:color w:val="auto"/>
              </w:rPr>
            </w:pPr>
            <w:r>
              <w:rPr>
                <w:rFonts w:ascii="Arial" w:cs="Arial" w:eastAsia="Arial" w:hAnsi="Arial"/>
                <w:sz w:val="18"/>
                <w:szCs w:val="18"/>
                <w:color w:val="auto"/>
              </w:rPr>
              <w:t>Death or Disability</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16.7</w:t>
            </w:r>
          </w:p>
        </w:tc>
        <w:tc>
          <w:tcPr>
            <w:tcW w:w="3580" w:type="dxa"/>
            <w:vAlign w:val="bottom"/>
          </w:tcPr>
          <w:p>
            <w:pPr>
              <w:ind w:left="100"/>
              <w:spacing w:after="0"/>
              <w:rPr>
                <w:sz w:val="20"/>
                <w:szCs w:val="20"/>
                <w:color w:val="auto"/>
              </w:rPr>
            </w:pPr>
            <w:r>
              <w:rPr>
                <w:rFonts w:ascii="Arial" w:cs="Arial" w:eastAsia="Arial" w:hAnsi="Arial"/>
                <w:sz w:val="18"/>
                <w:szCs w:val="18"/>
                <w:color w:val="auto"/>
              </w:rPr>
              <w:t>No Acceleration of Distributions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4460" w:type="dxa"/>
            <w:vAlign w:val="bottom"/>
            <w:gridSpan w:val="2"/>
          </w:tcPr>
          <w:p>
            <w:pPr>
              <w:spacing w:after="0"/>
              <w:rPr>
                <w:sz w:val="20"/>
                <w:szCs w:val="20"/>
                <w:color w:val="auto"/>
              </w:rPr>
            </w:pPr>
            <w:r>
              <w:rPr>
                <w:rFonts w:ascii="Arial" w:cs="Arial" w:eastAsia="Arial" w:hAnsi="Arial"/>
                <w:sz w:val="18"/>
                <w:szCs w:val="18"/>
                <w:color w:val="auto"/>
              </w:rPr>
              <w:t>Article 17. Withholding</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17.1</w:t>
            </w:r>
          </w:p>
        </w:tc>
        <w:tc>
          <w:tcPr>
            <w:tcW w:w="3580" w:type="dxa"/>
            <w:vAlign w:val="bottom"/>
          </w:tcPr>
          <w:p>
            <w:pPr>
              <w:ind w:left="100"/>
              <w:spacing w:after="0"/>
              <w:rPr>
                <w:sz w:val="20"/>
                <w:szCs w:val="20"/>
                <w:color w:val="auto"/>
              </w:rPr>
            </w:pPr>
            <w:r>
              <w:rPr>
                <w:rFonts w:ascii="Arial" w:cs="Arial" w:eastAsia="Arial" w:hAnsi="Arial"/>
                <w:sz w:val="18"/>
                <w:szCs w:val="18"/>
                <w:color w:val="auto"/>
              </w:rPr>
              <w:t>Required Withholding</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17.2</w:t>
            </w:r>
          </w:p>
        </w:tc>
        <w:tc>
          <w:tcPr>
            <w:tcW w:w="3580" w:type="dxa"/>
            <w:vAlign w:val="bottom"/>
          </w:tcPr>
          <w:p>
            <w:pPr>
              <w:ind w:left="100"/>
              <w:spacing w:after="0"/>
              <w:rPr>
                <w:sz w:val="20"/>
                <w:szCs w:val="20"/>
                <w:color w:val="auto"/>
              </w:rPr>
            </w:pPr>
            <w:r>
              <w:rPr>
                <w:rFonts w:ascii="Arial" w:cs="Arial" w:eastAsia="Arial" w:hAnsi="Arial"/>
                <w:sz w:val="18"/>
                <w:szCs w:val="18"/>
                <w:color w:val="auto"/>
              </w:rPr>
              <w:t>Notification under Code Section 83(b)</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4460" w:type="dxa"/>
            <w:vAlign w:val="bottom"/>
            <w:gridSpan w:val="2"/>
          </w:tcPr>
          <w:p>
            <w:pPr>
              <w:spacing w:after="0"/>
              <w:rPr>
                <w:sz w:val="20"/>
                <w:szCs w:val="20"/>
                <w:color w:val="auto"/>
              </w:rPr>
            </w:pPr>
            <w:r>
              <w:rPr>
                <w:rFonts w:ascii="Arial" w:cs="Arial" w:eastAsia="Arial" w:hAnsi="Arial"/>
                <w:sz w:val="18"/>
                <w:szCs w:val="18"/>
                <w:color w:val="auto"/>
              </w:rPr>
              <w:t>Article 18. Additional Provisions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18.1</w:t>
            </w:r>
          </w:p>
        </w:tc>
        <w:tc>
          <w:tcPr>
            <w:tcW w:w="3580" w:type="dxa"/>
            <w:vAlign w:val="bottom"/>
          </w:tcPr>
          <w:p>
            <w:pPr>
              <w:ind w:left="100"/>
              <w:spacing w:after="0"/>
              <w:rPr>
                <w:sz w:val="20"/>
                <w:szCs w:val="20"/>
                <w:color w:val="auto"/>
              </w:rPr>
            </w:pPr>
            <w:r>
              <w:rPr>
                <w:rFonts w:ascii="Arial" w:cs="Arial" w:eastAsia="Arial" w:hAnsi="Arial"/>
                <w:sz w:val="18"/>
                <w:szCs w:val="18"/>
                <w:color w:val="auto"/>
              </w:rPr>
              <w:t>Successors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18.2</w:t>
            </w:r>
          </w:p>
        </w:tc>
        <w:tc>
          <w:tcPr>
            <w:tcW w:w="358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18.3</w:t>
            </w:r>
          </w:p>
        </w:tc>
        <w:tc>
          <w:tcPr>
            <w:tcW w:w="3580" w:type="dxa"/>
            <w:vAlign w:val="bottom"/>
          </w:tcPr>
          <w:p>
            <w:pPr>
              <w:ind w:left="100"/>
              <w:spacing w:after="0"/>
              <w:rPr>
                <w:sz w:val="20"/>
                <w:szCs w:val="20"/>
                <w:color w:val="auto"/>
              </w:rPr>
            </w:pPr>
            <w:r>
              <w:rPr>
                <w:rFonts w:ascii="Arial" w:cs="Arial" w:eastAsia="Arial" w:hAnsi="Arial"/>
                <w:sz w:val="18"/>
                <w:szCs w:val="18"/>
                <w:color w:val="auto"/>
              </w:rPr>
              <w:t>Requirements of Law</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18.4</w:t>
            </w:r>
          </w:p>
        </w:tc>
        <w:tc>
          <w:tcPr>
            <w:tcW w:w="3580" w:type="dxa"/>
            <w:vAlign w:val="bottom"/>
          </w:tcPr>
          <w:p>
            <w:pPr>
              <w:ind w:left="100"/>
              <w:spacing w:after="0"/>
              <w:rPr>
                <w:sz w:val="20"/>
                <w:szCs w:val="20"/>
                <w:color w:val="auto"/>
              </w:rPr>
            </w:pPr>
            <w:r>
              <w:rPr>
                <w:rFonts w:ascii="Arial" w:cs="Arial" w:eastAsia="Arial" w:hAnsi="Arial"/>
                <w:sz w:val="18"/>
                <w:szCs w:val="18"/>
                <w:color w:val="auto"/>
              </w:rPr>
              <w:t>Securities Law Compliance</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18.5</w:t>
            </w:r>
          </w:p>
        </w:tc>
        <w:tc>
          <w:tcPr>
            <w:tcW w:w="3580" w:type="dxa"/>
            <w:vAlign w:val="bottom"/>
          </w:tcPr>
          <w:p>
            <w:pPr>
              <w:ind w:left="100"/>
              <w:spacing w:after="0"/>
              <w:rPr>
                <w:sz w:val="20"/>
                <w:szCs w:val="20"/>
                <w:color w:val="auto"/>
              </w:rPr>
            </w:pPr>
            <w:r>
              <w:rPr>
                <w:rFonts w:ascii="Arial" w:cs="Arial" w:eastAsia="Arial" w:hAnsi="Arial"/>
                <w:sz w:val="18"/>
                <w:szCs w:val="18"/>
                <w:color w:val="auto"/>
              </w:rPr>
              <w:t>Forfeiture Events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18.6</w:t>
            </w:r>
          </w:p>
        </w:tc>
        <w:tc>
          <w:tcPr>
            <w:tcW w:w="3580" w:type="dxa"/>
            <w:vAlign w:val="bottom"/>
          </w:tcPr>
          <w:p>
            <w:pPr>
              <w:ind w:left="100"/>
              <w:spacing w:after="0"/>
              <w:rPr>
                <w:sz w:val="20"/>
                <w:szCs w:val="20"/>
                <w:color w:val="auto"/>
              </w:rPr>
            </w:pPr>
            <w:r>
              <w:rPr>
                <w:rFonts w:ascii="Arial" w:cs="Arial" w:eastAsia="Arial" w:hAnsi="Arial"/>
                <w:sz w:val="18"/>
                <w:szCs w:val="18"/>
                <w:color w:val="auto"/>
              </w:rPr>
              <w:t>No Rights as a Stockholder</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18.7</w:t>
            </w:r>
          </w:p>
        </w:tc>
        <w:tc>
          <w:tcPr>
            <w:tcW w:w="3580" w:type="dxa"/>
            <w:vAlign w:val="bottom"/>
          </w:tcPr>
          <w:p>
            <w:pPr>
              <w:ind w:left="100"/>
              <w:spacing w:after="0"/>
              <w:rPr>
                <w:sz w:val="20"/>
                <w:szCs w:val="20"/>
                <w:color w:val="auto"/>
              </w:rPr>
            </w:pPr>
            <w:r>
              <w:rPr>
                <w:rFonts w:ascii="Arial" w:cs="Arial" w:eastAsia="Arial" w:hAnsi="Arial"/>
                <w:sz w:val="18"/>
                <w:szCs w:val="18"/>
                <w:color w:val="auto"/>
              </w:rPr>
              <w:t>Nature of Payments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18.8</w:t>
            </w:r>
          </w:p>
        </w:tc>
        <w:tc>
          <w:tcPr>
            <w:tcW w:w="3580" w:type="dxa"/>
            <w:vAlign w:val="bottom"/>
          </w:tcPr>
          <w:p>
            <w:pPr>
              <w:ind w:left="100"/>
              <w:spacing w:after="0"/>
              <w:rPr>
                <w:sz w:val="20"/>
                <w:szCs w:val="20"/>
                <w:color w:val="auto"/>
              </w:rPr>
            </w:pPr>
            <w:r>
              <w:rPr>
                <w:rFonts w:ascii="Arial" w:cs="Arial" w:eastAsia="Arial" w:hAnsi="Arial"/>
                <w:sz w:val="18"/>
                <w:szCs w:val="18"/>
                <w:color w:val="auto"/>
              </w:rPr>
              <w:t>Non-Exclusivity of Plan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18.9</w:t>
            </w:r>
          </w:p>
        </w:tc>
        <w:tc>
          <w:tcPr>
            <w:tcW w:w="358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18.10</w:t>
            </w:r>
          </w:p>
        </w:tc>
        <w:tc>
          <w:tcPr>
            <w:tcW w:w="3580" w:type="dxa"/>
            <w:vAlign w:val="bottom"/>
          </w:tcPr>
          <w:p>
            <w:pPr>
              <w:ind w:left="100"/>
              <w:spacing w:after="0"/>
              <w:rPr>
                <w:sz w:val="20"/>
                <w:szCs w:val="20"/>
                <w:color w:val="auto"/>
              </w:rPr>
            </w:pPr>
            <w:r>
              <w:rPr>
                <w:rFonts w:ascii="Arial" w:cs="Arial" w:eastAsia="Arial" w:hAnsi="Arial"/>
                <w:sz w:val="18"/>
                <w:szCs w:val="18"/>
                <w:color w:val="auto"/>
                <w:w w:val="92"/>
              </w:rPr>
              <w:t>Unfunded Status of Awards; Creation of Trusts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18.11</w:t>
            </w:r>
          </w:p>
        </w:tc>
        <w:tc>
          <w:tcPr>
            <w:tcW w:w="3580" w:type="dxa"/>
            <w:vAlign w:val="bottom"/>
          </w:tcPr>
          <w:p>
            <w:pPr>
              <w:ind w:left="100"/>
              <w:spacing w:after="0"/>
              <w:rPr>
                <w:sz w:val="20"/>
                <w:szCs w:val="20"/>
                <w:color w:val="auto"/>
              </w:rPr>
            </w:pPr>
            <w:r>
              <w:rPr>
                <w:rFonts w:ascii="Arial" w:cs="Arial" w:eastAsia="Arial" w:hAnsi="Arial"/>
                <w:sz w:val="18"/>
                <w:szCs w:val="18"/>
                <w:color w:val="auto"/>
              </w:rPr>
              <w:t>Affiliation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18.12</w:t>
            </w:r>
          </w:p>
        </w:tc>
        <w:tc>
          <w:tcPr>
            <w:tcW w:w="3580" w:type="dxa"/>
            <w:vAlign w:val="bottom"/>
          </w:tcPr>
          <w:p>
            <w:pPr>
              <w:ind w:left="100"/>
              <w:spacing w:after="0"/>
              <w:rPr>
                <w:sz w:val="20"/>
                <w:szCs w:val="20"/>
                <w:color w:val="auto"/>
              </w:rPr>
            </w:pPr>
            <w:r>
              <w:rPr>
                <w:rFonts w:ascii="Arial" w:cs="Arial" w:eastAsia="Arial" w:hAnsi="Arial"/>
                <w:sz w:val="18"/>
                <w:szCs w:val="18"/>
                <w:color w:val="auto"/>
              </w:rPr>
              <w:t>Participation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18.13</w:t>
            </w:r>
          </w:p>
        </w:tc>
        <w:tc>
          <w:tcPr>
            <w:tcW w:w="3580" w:type="dxa"/>
            <w:vAlign w:val="bottom"/>
          </w:tcPr>
          <w:p>
            <w:pPr>
              <w:ind w:left="100"/>
              <w:spacing w:after="0"/>
              <w:rPr>
                <w:sz w:val="20"/>
                <w:szCs w:val="20"/>
                <w:color w:val="auto"/>
              </w:rPr>
            </w:pPr>
            <w:r>
              <w:rPr>
                <w:rFonts w:ascii="Arial" w:cs="Arial" w:eastAsia="Arial" w:hAnsi="Arial"/>
                <w:sz w:val="18"/>
                <w:szCs w:val="18"/>
                <w:color w:val="auto"/>
              </w:rPr>
              <w:t>Military Service</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18.14</w:t>
            </w:r>
          </w:p>
        </w:tc>
        <w:tc>
          <w:tcPr>
            <w:tcW w:w="3580" w:type="dxa"/>
            <w:vAlign w:val="bottom"/>
          </w:tcPr>
          <w:p>
            <w:pPr>
              <w:ind w:left="100"/>
              <w:spacing w:after="0"/>
              <w:rPr>
                <w:sz w:val="20"/>
                <w:szCs w:val="20"/>
                <w:color w:val="auto"/>
              </w:rPr>
            </w:pPr>
            <w:r>
              <w:rPr>
                <w:rFonts w:ascii="Arial" w:cs="Arial" w:eastAsia="Arial" w:hAnsi="Arial"/>
                <w:sz w:val="18"/>
                <w:szCs w:val="18"/>
                <w:color w:val="auto"/>
              </w:rPr>
              <w:t>Construction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18.15</w:t>
            </w:r>
          </w:p>
        </w:tc>
        <w:tc>
          <w:tcPr>
            <w:tcW w:w="3580" w:type="dxa"/>
            <w:vAlign w:val="bottom"/>
          </w:tcPr>
          <w:p>
            <w:pPr>
              <w:ind w:left="100"/>
              <w:spacing w:after="0"/>
              <w:rPr>
                <w:sz w:val="20"/>
                <w:szCs w:val="20"/>
                <w:color w:val="auto"/>
              </w:rPr>
            </w:pPr>
            <w:r>
              <w:rPr>
                <w:rFonts w:ascii="Arial" w:cs="Arial" w:eastAsia="Arial" w:hAnsi="Arial"/>
                <w:sz w:val="18"/>
                <w:szCs w:val="18"/>
                <w:color w:val="auto"/>
              </w:rPr>
              <w:t>Headings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18.16</w:t>
            </w:r>
          </w:p>
        </w:tc>
        <w:tc>
          <w:tcPr>
            <w:tcW w:w="3580" w:type="dxa"/>
            <w:vAlign w:val="bottom"/>
          </w:tcPr>
          <w:p>
            <w:pPr>
              <w:ind w:left="100"/>
              <w:spacing w:after="0"/>
              <w:rPr>
                <w:sz w:val="20"/>
                <w:szCs w:val="20"/>
                <w:color w:val="auto"/>
              </w:rPr>
            </w:pPr>
            <w:r>
              <w:rPr>
                <w:rFonts w:ascii="Arial" w:cs="Arial" w:eastAsia="Arial" w:hAnsi="Arial"/>
                <w:sz w:val="18"/>
                <w:szCs w:val="18"/>
                <w:color w:val="auto"/>
              </w:rPr>
              <w:t>Obligations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18.17</w:t>
            </w:r>
          </w:p>
        </w:tc>
        <w:tc>
          <w:tcPr>
            <w:tcW w:w="3580" w:type="dxa"/>
            <w:vAlign w:val="bottom"/>
          </w:tcPr>
          <w:p>
            <w:pPr>
              <w:ind w:left="100"/>
              <w:spacing w:after="0"/>
              <w:rPr>
                <w:sz w:val="20"/>
                <w:szCs w:val="20"/>
                <w:color w:val="auto"/>
              </w:rPr>
            </w:pPr>
            <w:r>
              <w:rPr>
                <w:rFonts w:ascii="Arial" w:cs="Arial" w:eastAsia="Arial" w:hAnsi="Arial"/>
                <w:sz w:val="18"/>
                <w:szCs w:val="18"/>
                <w:color w:val="auto"/>
              </w:rPr>
              <w:t>No Right to Continue as Director</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18.18</w:t>
            </w:r>
          </w:p>
        </w:tc>
        <w:tc>
          <w:tcPr>
            <w:tcW w:w="3580" w:type="dxa"/>
            <w:vAlign w:val="bottom"/>
          </w:tcPr>
          <w:p>
            <w:pPr>
              <w:ind w:left="100"/>
              <w:spacing w:after="0"/>
              <w:rPr>
                <w:sz w:val="20"/>
                <w:szCs w:val="20"/>
                <w:color w:val="auto"/>
              </w:rPr>
            </w:pPr>
            <w:r>
              <w:rPr>
                <w:rFonts w:ascii="Arial" w:cs="Arial" w:eastAsia="Arial" w:hAnsi="Arial"/>
                <w:sz w:val="18"/>
                <w:szCs w:val="18"/>
                <w:color w:val="auto"/>
              </w:rPr>
              <w:t>Stockholder Approval</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0" w:right="47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ARCTURUS THERAPEUTICS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2019 OMNIBUS EQUITY INCENTIVE PLAN</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EFFECTIVE DATE, OBJECTIVES AND DURATION</w:t>
      </w:r>
    </w:p>
    <w:p>
      <w:pPr>
        <w:spacing w:after="0" w:line="211" w:lineRule="exact"/>
        <w:rPr>
          <w:sz w:val="20"/>
          <w:szCs w:val="20"/>
          <w:color w:val="auto"/>
        </w:rPr>
      </w:pPr>
    </w:p>
    <w:p>
      <w:pPr>
        <w:ind w:right="580" w:firstLine="441"/>
        <w:spacing w:after="0" w:line="34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Effective Date of the Plan</w:t>
      </w:r>
      <w:r>
        <w:rPr>
          <w:rFonts w:ascii="Arial" w:cs="Arial" w:eastAsia="Arial" w:hAnsi="Arial"/>
          <w:sz w:val="16"/>
          <w:szCs w:val="16"/>
          <w:color w:val="auto"/>
        </w:rPr>
        <w:t>. The Board of Directors of ARCTURUS THERAPEUTICS HOLDINGS INC., a Delaware corporation (the “Company”), adopted the 2019 OMNIBUS EQUITY INCENTIVE PLAN (the “Plan”) effective as of June 10, 2019 (the “Effective Date”).</w:t>
      </w:r>
    </w:p>
    <w:p>
      <w:pPr>
        <w:spacing w:after="0" w:line="16"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Objectives of the Plan</w:t>
      </w:r>
      <w:r>
        <w:rPr>
          <w:rFonts w:ascii="Arial" w:cs="Arial" w:eastAsia="Arial" w:hAnsi="Arial"/>
          <w:sz w:val="17"/>
          <w:szCs w:val="17"/>
          <w:color w:val="auto"/>
        </w:rPr>
        <w:t>.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profitability and growth of the Company and its Affiliates through incentives which are consistent with the Company’s goals, (d) to provide Grantees with an incentive for excellence in individual performance, (e) to promote teamwork among employees, consultants and Non-Employee Directors, and (f)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stockholders.</w:t>
      </w:r>
    </w:p>
    <w:p>
      <w:pPr>
        <w:spacing w:after="0" w:line="71" w:lineRule="exact"/>
        <w:rPr>
          <w:sz w:val="20"/>
          <w:szCs w:val="20"/>
          <w:color w:val="auto"/>
        </w:rPr>
      </w:pPr>
    </w:p>
    <w:p>
      <w:pPr>
        <w:jc w:val="both"/>
        <w:ind w:right="40" w:firstLine="441"/>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Whenever used in the Plan, the following terms shall have the meanings set forth below:</w:t>
      </w:r>
    </w:p>
    <w:p>
      <w:pPr>
        <w:spacing w:after="0" w:line="11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2.1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w:t>
      </w:r>
    </w:p>
    <w:p>
      <w:pPr>
        <w:spacing w:after="0" w:line="63"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w:t>
      </w:r>
      <w:r>
        <w:rPr>
          <w:rFonts w:ascii="Arial" w:cs="Arial" w:eastAsia="Arial" w:hAnsi="Arial"/>
          <w:sz w:val="18"/>
          <w:szCs w:val="18"/>
          <w:color w:val="auto"/>
        </w:rPr>
        <w:t>”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w:t>
      </w:r>
    </w:p>
    <w:p>
      <w:pPr>
        <w:sectPr>
          <w:pgSz w:w="11900" w:h="16838" w:orient="portrait"/>
          <w:cols w:equalWidth="0" w:num="1">
            <w:col w:w="10960"/>
          </w:cols>
          <w:pgMar w:left="440" w:top="270" w:right="499" w:bottom="1440" w:gutter="0" w:footer="0" w:header="0"/>
        </w:sectPr>
      </w:pPr>
    </w:p>
    <w:bookmarkStart w:id="12" w:name="page13"/>
    <w:bookmarkEnd w:id="12"/>
    <w:p>
      <w:pPr>
        <w:ind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 “</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2.5 “</w:t>
      </w:r>
      <w:r>
        <w:rPr>
          <w:rFonts w:ascii="Arial" w:cs="Arial" w:eastAsia="Arial" w:hAnsi="Arial"/>
          <w:sz w:val="17"/>
          <w:szCs w:val="17"/>
          <w:u w:val="single" w:color="auto"/>
          <w:color w:val="auto"/>
        </w:rPr>
        <w:t>Bonus Shares</w:t>
      </w:r>
      <w:r>
        <w:rPr>
          <w:rFonts w:ascii="Arial" w:cs="Arial" w:eastAsia="Arial" w:hAnsi="Arial"/>
          <w:sz w:val="17"/>
          <w:szCs w:val="17"/>
          <w:color w:val="auto"/>
        </w:rPr>
        <w:t>”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Cause</w:t>
      </w:r>
      <w:r>
        <w:rPr>
          <w:rFonts w:ascii="Arial" w:cs="Arial" w:eastAsia="Arial" w:hAnsi="Arial"/>
          <w:sz w:val="18"/>
          <w:szCs w:val="18"/>
          <w:color w:val="auto"/>
        </w:rPr>
        <w:t>” means, except as otherwise defined in an Award Agreement:</w:t>
      </w:r>
    </w:p>
    <w:p>
      <w:pPr>
        <w:spacing w:after="0" w:line="117" w:lineRule="exact"/>
        <w:rPr>
          <w:sz w:val="20"/>
          <w:szCs w:val="20"/>
          <w:color w:val="auto"/>
        </w:rPr>
      </w:pPr>
    </w:p>
    <w:p>
      <w:pPr>
        <w:ind w:left="1140" w:hanging="255"/>
        <w:spacing w:after="0"/>
        <w:tabs>
          <w:tab w:leader="none" w:pos="114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commission of any act by a Grantee constituting a felony or crime of moral turpitude (or their equivalent in a non-United States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jurisdiction);</w:t>
      </w:r>
    </w:p>
    <w:p>
      <w:pPr>
        <w:spacing w:after="0" w:line="102" w:lineRule="exact"/>
        <w:rPr>
          <w:rFonts w:ascii="Arial" w:cs="Arial" w:eastAsia="Arial" w:hAnsi="Arial"/>
          <w:sz w:val="17"/>
          <w:szCs w:val="17"/>
          <w:color w:val="auto"/>
        </w:rPr>
      </w:pPr>
    </w:p>
    <w:p>
      <w:pPr>
        <w:ind w:left="1140" w:hanging="255"/>
        <w:spacing w:after="0"/>
        <w:tabs>
          <w:tab w:leader="none" w:pos="1140" w:val="left"/>
        </w:tabs>
        <w:numPr>
          <w:ilvl w:val="1"/>
          <w:numId w:val="7"/>
        </w:numPr>
        <w:rPr>
          <w:rFonts w:ascii="Arial" w:cs="Arial" w:eastAsia="Arial" w:hAnsi="Arial"/>
          <w:sz w:val="16"/>
          <w:szCs w:val="16"/>
          <w:color w:val="auto"/>
        </w:rPr>
      </w:pPr>
      <w:r>
        <w:rPr>
          <w:rFonts w:ascii="Arial" w:cs="Arial" w:eastAsia="Arial" w:hAnsi="Arial"/>
          <w:sz w:val="16"/>
          <w:szCs w:val="16"/>
          <w:color w:val="auto"/>
        </w:rPr>
        <w:t>an act of dishonesty, fraud, intentional misrepresentation, or harassment which, as determined in good faith by the Committee, would:</w:t>
      </w:r>
    </w:p>
    <w:p>
      <w:pPr>
        <w:spacing w:after="0" w:line="46" w:lineRule="exact"/>
        <w:rPr>
          <w:rFonts w:ascii="Arial" w:cs="Arial" w:eastAsia="Arial" w:hAnsi="Arial"/>
          <w:sz w:val="16"/>
          <w:szCs w:val="16"/>
          <w:color w:val="auto"/>
        </w:rPr>
      </w:pPr>
    </w:p>
    <w:p>
      <w:pPr>
        <w:ind w:right="480" w:firstLine="4"/>
        <w:spacing w:after="0" w:line="255"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materially adversely affect the business or the reputation of the Company or any of its Affiliates with their respective current or prospective customers, suppliers, lenders and/or other third parties with whom such entity does or might do business; or (ii) expose the Company or any of its Affiliates to a risk of civil or criminal legal damages, liabilities or penalties;</w:t>
      </w:r>
    </w:p>
    <w:p>
      <w:pPr>
        <w:spacing w:after="0" w:line="82" w:lineRule="exact"/>
        <w:rPr>
          <w:rFonts w:ascii="Arial" w:cs="Arial" w:eastAsia="Arial" w:hAnsi="Arial"/>
          <w:sz w:val="18"/>
          <w:szCs w:val="18"/>
          <w:color w:val="auto"/>
        </w:rPr>
      </w:pPr>
    </w:p>
    <w:p>
      <w:pPr>
        <w:ind w:left="1140" w:hanging="255"/>
        <w:spacing w:after="0"/>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material misconduct in violation of the Company’s or an Affiliate’s written policies; or</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1"/>
          <w:numId w:val="8"/>
        </w:numPr>
        <w:rPr>
          <w:rFonts w:ascii="Arial" w:cs="Arial" w:eastAsia="Arial" w:hAnsi="Arial"/>
          <w:sz w:val="16"/>
          <w:szCs w:val="16"/>
          <w:color w:val="auto"/>
        </w:rPr>
      </w:pPr>
      <w:r>
        <w:rPr>
          <w:rFonts w:ascii="Arial" w:cs="Arial" w:eastAsia="Arial" w:hAnsi="Arial"/>
          <w:sz w:val="16"/>
          <w:szCs w:val="16"/>
          <w:color w:val="auto"/>
        </w:rPr>
        <w:t>willful and deliberate non-performance of the Grantee’s duties in connection with the business affairs of the Company or its Affiliates;</w:t>
      </w:r>
    </w:p>
    <w:p>
      <w:pPr>
        <w:spacing w:after="0" w:line="248" w:lineRule="exact"/>
        <w:rPr>
          <w:sz w:val="20"/>
          <w:szCs w:val="20"/>
          <w:color w:val="auto"/>
        </w:rPr>
      </w:pPr>
    </w:p>
    <w:p>
      <w:pPr>
        <w:jc w:val="both"/>
        <w:ind w:right="400" w:firstLine="881"/>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the Grantee has a written employment or consulting agreement with the Company or any of its Affiliates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participates in any severance plan established by the Company that includes a definition of “cause,” Cause shall have the meaning set forth in such employment or consulting agreement or severance plan.</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CEO</w:t>
      </w:r>
      <w:r>
        <w:rPr>
          <w:rFonts w:ascii="Arial" w:cs="Arial" w:eastAsia="Arial" w:hAnsi="Arial"/>
          <w:sz w:val="18"/>
          <w:szCs w:val="18"/>
          <w:color w:val="auto"/>
        </w:rPr>
        <w:t>” means the Chief Executive Officer of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set forth in Section 16.4(e).</w:t>
      </w:r>
    </w:p>
    <w:p>
      <w:pPr>
        <w:spacing w:after="0" w:line="117"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References to a particular section of the Code include references to regulations and rulings thereunder and to successor provisions.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2.10 “</w:t>
      </w:r>
      <w:r>
        <w:rPr>
          <w:rFonts w:ascii="Arial" w:cs="Arial" w:eastAsia="Arial" w:hAnsi="Arial"/>
          <w:sz w:val="18"/>
          <w:szCs w:val="18"/>
          <w:u w:val="single" w:color="auto"/>
          <w:color w:val="auto"/>
        </w:rPr>
        <w:t>Committee</w:t>
      </w:r>
      <w:r>
        <w:rPr>
          <w:rFonts w:ascii="Arial" w:cs="Arial" w:eastAsia="Arial" w:hAnsi="Arial"/>
          <w:sz w:val="18"/>
          <w:szCs w:val="18"/>
          <w:color w:val="auto"/>
        </w:rPr>
        <w:t>” or “</w:t>
      </w:r>
      <w:r>
        <w:rPr>
          <w:rFonts w:ascii="Arial" w:cs="Arial" w:eastAsia="Arial" w:hAnsi="Arial"/>
          <w:sz w:val="18"/>
          <w:szCs w:val="18"/>
          <w:u w:val="single" w:color="auto"/>
          <w:color w:val="auto"/>
        </w:rPr>
        <w:t>Incentive Plan Committee</w:t>
      </w:r>
      <w:r>
        <w:rPr>
          <w:rFonts w:ascii="Arial" w:cs="Arial" w:eastAsia="Arial" w:hAnsi="Arial"/>
          <w:sz w:val="18"/>
          <w:szCs w:val="18"/>
          <w:color w:val="auto"/>
        </w:rPr>
        <w:t>” has the meaning set forth in Section 3.1(a).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means the compensation committee of the Board.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$0.001 par value, of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shall have the meaning set forth in Section 4.2(b).</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Deferred Stock</w:t>
      </w:r>
      <w:r>
        <w:rPr>
          <w:rFonts w:ascii="Arial" w:cs="Arial" w:eastAsia="Arial" w:hAnsi="Arial"/>
          <w:sz w:val="18"/>
          <w:szCs w:val="18"/>
          <w:color w:val="auto"/>
        </w:rPr>
        <w:t>” means a right, granted under Article 10, to receive Shares at the end of a specified deferral period.</w:t>
      </w:r>
    </w:p>
    <w:p>
      <w:pPr>
        <w:spacing w:after="0" w:line="11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means, unless otherwise defined in an Award Agreement, or as otherwise determined under procedures established by the Committee for purposes of the Plan:</w:t>
      </w:r>
    </w:p>
    <w:p>
      <w:pPr>
        <w:spacing w:after="0" w:line="62" w:lineRule="exact"/>
        <w:rPr>
          <w:sz w:val="20"/>
          <w:szCs w:val="20"/>
          <w:color w:val="auto"/>
        </w:rPr>
      </w:pPr>
    </w:p>
    <w:p>
      <w:pPr>
        <w:ind w:left="1140" w:hanging="25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provided in (b) below, a disability within the meaning of Section 22(e)(3) of the Code; and</w:t>
      </w:r>
    </w:p>
    <w:p>
      <w:pPr>
        <w:spacing w:after="0" w:line="117" w:lineRule="exact"/>
        <w:rPr>
          <w:rFonts w:ascii="Arial" w:cs="Arial" w:eastAsia="Arial" w:hAnsi="Arial"/>
          <w:sz w:val="18"/>
          <w:szCs w:val="18"/>
          <w:color w:val="auto"/>
        </w:rPr>
      </w:pPr>
    </w:p>
    <w:p>
      <w:pPr>
        <w:ind w:right="60" w:firstLine="885"/>
        <w:spacing w:after="0" w:line="308" w:lineRule="auto"/>
        <w:tabs>
          <w:tab w:leader="none" w:pos="113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case of any Award that constitutes deferred compensation within the meaning of Section 409A of the Code, a disability as defined in regulations under Code Section 409A. For purpose of Code Section 409A, a Grantee will be considered Disabled if:</w:t>
      </w:r>
    </w:p>
    <w:p>
      <w:pPr>
        <w:spacing w:after="0" w:line="38" w:lineRule="exact"/>
        <w:rPr>
          <w:rFonts w:ascii="Arial" w:cs="Arial" w:eastAsia="Arial" w:hAnsi="Arial"/>
          <w:sz w:val="17"/>
          <w:szCs w:val="17"/>
          <w:color w:val="auto"/>
        </w:rPr>
      </w:pPr>
    </w:p>
    <w:p>
      <w:pPr>
        <w:ind w:left="880" w:right="160" w:firstLine="411"/>
        <w:spacing w:after="0" w:line="264"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73" w:lineRule="exact"/>
        <w:rPr>
          <w:rFonts w:ascii="Arial" w:cs="Arial" w:eastAsia="Arial" w:hAnsi="Arial"/>
          <w:sz w:val="18"/>
          <w:szCs w:val="18"/>
          <w:color w:val="auto"/>
        </w:rPr>
      </w:pPr>
    </w:p>
    <w:p>
      <w:pPr>
        <w:ind w:left="880" w:right="60" w:firstLine="411"/>
        <w:spacing w:after="0" w:line="286" w:lineRule="auto"/>
        <w:tabs>
          <w:tab w:leader="none" w:pos="155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spacing w:after="0" w:line="57"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means a right to receive payments equal to dividends or property, if and when paid or distributed, on a specified number of Shares.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Section 1.1.</w:t>
      </w:r>
    </w:p>
    <w:p>
      <w:pPr>
        <w:spacing w:after="0" w:line="117"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2.18 “</w:t>
      </w:r>
      <w:r>
        <w:rPr>
          <w:rFonts w:ascii="Arial" w:cs="Arial" w:eastAsia="Arial" w:hAnsi="Arial"/>
          <w:sz w:val="17"/>
          <w:szCs w:val="17"/>
          <w:u w:val="single" w:color="auto"/>
          <w:color w:val="auto"/>
        </w:rPr>
        <w:t>Eligible Person</w:t>
      </w:r>
      <w:r>
        <w:rPr>
          <w:rFonts w:ascii="Arial" w:cs="Arial" w:eastAsia="Arial" w:hAnsi="Arial"/>
          <w:sz w:val="17"/>
          <w:szCs w:val="17"/>
          <w:color w:val="auto"/>
        </w:rPr>
        <w:t>” means any individual who is an employee (including any officer) of, a non-employee consultant to, or a Non-Employee Director of, the Company or any Affiliate; provided, however, that solely with respect to the grant of an Incentive Stock Option, an Eligible Person shall be any employee (including any officer) of the Company or any Subsidiary Corporation. Notwithstanding the foregoing, an Eligible Person shall also include an individual who is expected to become an employee to, non-employee consultant of or Non-Employee Director of the Company or any Affiliate within a reasonable period of time after the grant of an Award (other than an Incentive Stock Option); provided that any Award granted to any such individual shall be automatically terminated and cancelled without consideration if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4" w:name="page15"/>
    <w:bookmarkEnd w:id="14"/>
    <w:p>
      <w:pPr>
        <w:ind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 does not begin performing services for the Company 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w:t>
      </w:r>
    </w:p>
    <w:p>
      <w:pPr>
        <w:spacing w:after="0" w:line="39"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References to a particular section of the Exchange Act include references to successor provisions.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2.20 “</w:t>
      </w:r>
      <w:r>
        <w:rPr>
          <w:rFonts w:ascii="Arial" w:cs="Arial" w:eastAsia="Arial" w:hAnsi="Arial"/>
          <w:sz w:val="16"/>
          <w:szCs w:val="16"/>
          <w:u w:val="single" w:color="auto"/>
          <w:color w:val="auto"/>
        </w:rPr>
        <w:t>Exercise Price</w:t>
      </w:r>
      <w:r>
        <w:rPr>
          <w:rFonts w:ascii="Arial" w:cs="Arial" w:eastAsia="Arial" w:hAnsi="Arial"/>
          <w:sz w:val="16"/>
          <w:szCs w:val="16"/>
          <w:color w:val="auto"/>
        </w:rPr>
        <w:t>” means (a) with respect to an Option, the price at which a Share may be purchased by a Grantee pursuant to such Option or</w:t>
      </w:r>
    </w:p>
    <w:p>
      <w:pPr>
        <w:spacing w:after="0" w:line="46" w:lineRule="exact"/>
        <w:rPr>
          <w:sz w:val="20"/>
          <w:szCs w:val="20"/>
          <w:color w:val="auto"/>
        </w:rPr>
      </w:pPr>
    </w:p>
    <w:p>
      <w:pPr>
        <w:ind w:right="240" w:firstLine="4"/>
        <w:spacing w:after="0" w:line="261"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an SAR, the price established at the time an SAR is granted pursuant to Article 7, which is used to determine the amount, if any, of the payment due to a Grantee upon exercise of the SAR.</w:t>
      </w:r>
    </w:p>
    <w:p>
      <w:pPr>
        <w:spacing w:after="0" w:line="76"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2.21 “</w:t>
      </w:r>
      <w:r>
        <w:rPr>
          <w:rFonts w:ascii="Arial" w:cs="Arial" w:eastAsia="Arial" w:hAnsi="Arial"/>
          <w:sz w:val="17"/>
          <w:szCs w:val="17"/>
          <w:u w:val="single" w:color="auto"/>
          <w:color w:val="auto"/>
        </w:rPr>
        <w:t>Fair Market Value</w:t>
      </w:r>
      <w:r>
        <w:rPr>
          <w:rFonts w:ascii="Arial" w:cs="Arial" w:eastAsia="Arial" w:hAnsi="Arial"/>
          <w:sz w:val="17"/>
          <w:szCs w:val="17"/>
          <w:color w:val="auto"/>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on which an Award is granted or such later date as specified in advance by the Committee.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Grantee</w:t>
      </w:r>
      <w:r>
        <w:rPr>
          <w:rFonts w:ascii="Arial" w:cs="Arial" w:eastAsia="Arial" w:hAnsi="Arial"/>
          <w:sz w:val="18"/>
          <w:szCs w:val="18"/>
          <w:color w:val="auto"/>
        </w:rPr>
        <w:t>” means a person who has been granted an Award.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meet the requirements of Section 422 of the Code.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Including</w:t>
      </w:r>
      <w:r>
        <w:rPr>
          <w:rFonts w:ascii="Arial" w:cs="Arial" w:eastAsia="Arial" w:hAnsi="Arial"/>
          <w:sz w:val="18"/>
          <w:szCs w:val="18"/>
          <w:color w:val="auto"/>
        </w:rPr>
        <w:t>” or “</w:t>
      </w:r>
      <w:r>
        <w:rPr>
          <w:rFonts w:ascii="Arial" w:cs="Arial" w:eastAsia="Arial" w:hAnsi="Arial"/>
          <w:sz w:val="18"/>
          <w:szCs w:val="18"/>
          <w:u w:val="single" w:color="auto"/>
          <w:color w:val="auto"/>
        </w:rPr>
        <w:t>includes</w:t>
      </w:r>
      <w:r>
        <w:rPr>
          <w:rFonts w:ascii="Arial" w:cs="Arial" w:eastAsia="Arial" w:hAnsi="Arial"/>
          <w:sz w:val="18"/>
          <w:szCs w:val="18"/>
          <w:color w:val="auto"/>
        </w:rPr>
        <w:t>” means “including, without limitation,” or “includes, without limitation,” respectively.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Management Committee</w:t>
      </w:r>
      <w:r>
        <w:rPr>
          <w:rFonts w:ascii="Arial" w:cs="Arial" w:eastAsia="Arial" w:hAnsi="Arial"/>
          <w:sz w:val="18"/>
          <w:szCs w:val="18"/>
          <w:color w:val="auto"/>
        </w:rPr>
        <w:t>” has the meaning set forth in Section 3.1(b).</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is not an employee of the Company or any Affiliate.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granted under Article 6 of the Plan.</w:t>
      </w:r>
    </w:p>
    <w:p>
      <w:pPr>
        <w:spacing w:after="0" w:line="11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 right, granted under Article 13 hereof, that relates to or is valued by reference to Shares or other Awards relating to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5" w:name="page16"/>
    <w:bookmarkEnd w:id="15"/>
    <w:p>
      <w:pPr>
        <w:ind w:right="3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2.30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with respect to an Award of Performance Shares or Performance Units, the period of time during which the performance vesting conditions applicable to such Award must be satisfied.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Performance Share</w:t>
      </w:r>
      <w:r>
        <w:rPr>
          <w:rFonts w:ascii="Arial" w:cs="Arial" w:eastAsia="Arial" w:hAnsi="Arial"/>
          <w:sz w:val="18"/>
          <w:szCs w:val="18"/>
          <w:color w:val="auto"/>
        </w:rPr>
        <w:t>” and “</w:t>
      </w:r>
      <w:r>
        <w:rPr>
          <w:rFonts w:ascii="Arial" w:cs="Arial" w:eastAsia="Arial" w:hAnsi="Arial"/>
          <w:sz w:val="18"/>
          <w:szCs w:val="18"/>
          <w:u w:val="single" w:color="auto"/>
          <w:color w:val="auto"/>
        </w:rPr>
        <w:t>Performance Unit</w:t>
      </w:r>
      <w:r>
        <w:rPr>
          <w:rFonts w:ascii="Arial" w:cs="Arial" w:eastAsia="Arial" w:hAnsi="Arial"/>
          <w:sz w:val="18"/>
          <w:szCs w:val="18"/>
          <w:color w:val="auto"/>
        </w:rPr>
        <w:t>” have the respective meanings set forth in Article 9.</w:t>
      </w:r>
    </w:p>
    <w:p>
      <w:pPr>
        <w:spacing w:after="0" w:line="117"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Restricted Shares are subject to forfeiture if the conditions specified in the Award Agreement are not satisfied.</w:t>
      </w:r>
    </w:p>
    <w:p>
      <w:pPr>
        <w:spacing w:after="0" w:line="62"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2.33 “</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16"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granted under Article 8, that are both subject to forfeiture and are nontransferable if the Grantee does not satisfy the conditions specified in the Award Agreement applicable to such Shares.</w:t>
      </w:r>
    </w:p>
    <w:p>
      <w:pPr>
        <w:spacing w:after="0" w:line="62"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are rights, granted under Article 10, to receive Shares if the Grantee satisfies the conditions specified in the Award Agreement applicable to such rights.</w:t>
      </w:r>
    </w:p>
    <w:p>
      <w:pPr>
        <w:spacing w:after="0" w:line="62"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by the SEC under the Exchange Act, as amended from time to time, together with any successor rule.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successor thereto.</w:t>
      </w:r>
    </w:p>
    <w:p>
      <w:pPr>
        <w:spacing w:after="0" w:line="11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Section 16 Non-Employee Director</w:t>
      </w:r>
      <w:r>
        <w:rPr>
          <w:rFonts w:ascii="Arial" w:cs="Arial" w:eastAsia="Arial" w:hAnsi="Arial"/>
          <w:sz w:val="18"/>
          <w:szCs w:val="18"/>
          <w:color w:val="auto"/>
        </w:rPr>
        <w:t>” means a member of the Board who satisfies the requirements to qualify as a “non-employee director” under Rule 16b-3.</w:t>
      </w:r>
    </w:p>
    <w:p>
      <w:pPr>
        <w:spacing w:after="0" w:line="62"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Section 16 Person</w:t>
      </w:r>
      <w:r>
        <w:rPr>
          <w:rFonts w:ascii="Arial" w:cs="Arial" w:eastAsia="Arial" w:hAnsi="Arial"/>
          <w:sz w:val="18"/>
          <w:szCs w:val="18"/>
          <w:color w:val="auto"/>
        </w:rPr>
        <w:t>” means a person who is subject to potential liability under Section 16(b) of the Exchange Act with respect to transactions involving equity securities of the Company.</w:t>
      </w:r>
    </w:p>
    <w:p>
      <w:pPr>
        <w:spacing w:after="0" w:line="62"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spacing w:after="0" w:line="73"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 and such other securities of the Company, as may be substituted or resubstituted for Shares pursuant to Section 4.2 hereof.</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Article 7 of the Plan.</w:t>
      </w:r>
    </w:p>
    <w:p>
      <w:pPr>
        <w:spacing w:after="0" w:line="117"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Subsidiary Corporation</w:t>
      </w:r>
      <w:r>
        <w:rPr>
          <w:rFonts w:ascii="Arial" w:cs="Arial" w:eastAsia="Arial" w:hAnsi="Arial"/>
          <w:sz w:val="18"/>
          <w:szCs w:val="18"/>
          <w:color w:val="auto"/>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73" w:lineRule="exact"/>
        <w:rPr>
          <w:sz w:val="20"/>
          <w:szCs w:val="20"/>
          <w:color w:val="auto"/>
        </w:rPr>
      </w:pPr>
    </w:p>
    <w:p>
      <w:pPr>
        <w:ind w:right="420" w:firstLine="441"/>
        <w:spacing w:after="0" w:line="312" w:lineRule="auto"/>
        <w:rPr>
          <w:sz w:val="20"/>
          <w:szCs w:val="20"/>
          <w:color w:val="auto"/>
        </w:rPr>
      </w:pPr>
      <w:r>
        <w:rPr>
          <w:rFonts w:ascii="Arial" w:cs="Arial" w:eastAsia="Arial" w:hAnsi="Arial"/>
          <w:sz w:val="16"/>
          <w:szCs w:val="16"/>
          <w:color w:val="auto"/>
        </w:rPr>
        <w:t>2.44 “</w:t>
      </w:r>
      <w:r>
        <w:rPr>
          <w:rFonts w:ascii="Arial" w:cs="Arial" w:eastAsia="Arial" w:hAnsi="Arial"/>
          <w:sz w:val="16"/>
          <w:szCs w:val="16"/>
          <w:u w:val="single" w:color="auto"/>
          <w:color w:val="auto"/>
        </w:rPr>
        <w:t>Surviving Company</w:t>
      </w:r>
      <w:r>
        <w:rPr>
          <w:rFonts w:ascii="Arial" w:cs="Arial" w:eastAsia="Arial" w:hAnsi="Arial"/>
          <w:sz w:val="16"/>
          <w:szCs w:val="16"/>
          <w:color w:val="auto"/>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spacing w:after="0" w:line="39" w:lineRule="exact"/>
        <w:rPr>
          <w:sz w:val="20"/>
          <w:szCs w:val="20"/>
          <w:color w:val="auto"/>
        </w:rPr>
      </w:pPr>
    </w:p>
    <w:p>
      <w:pPr>
        <w:ind w:right="320" w:firstLine="441"/>
        <w:spacing w:after="0" w:line="308" w:lineRule="auto"/>
        <w:rPr>
          <w:sz w:val="20"/>
          <w:szCs w:val="20"/>
          <w:color w:val="auto"/>
        </w:rPr>
      </w:pPr>
      <w:r>
        <w:rPr>
          <w:rFonts w:ascii="Arial" w:cs="Arial" w:eastAsia="Arial" w:hAnsi="Arial"/>
          <w:sz w:val="17"/>
          <w:szCs w:val="17"/>
          <w:color w:val="auto"/>
        </w:rPr>
        <w:t>2.45 “</w:t>
      </w:r>
      <w:r>
        <w:rPr>
          <w:rFonts w:ascii="Arial" w:cs="Arial" w:eastAsia="Arial" w:hAnsi="Arial"/>
          <w:sz w:val="17"/>
          <w:szCs w:val="17"/>
          <w:u w:val="single" w:color="auto"/>
          <w:color w:val="auto"/>
        </w:rPr>
        <w:t>Term</w:t>
      </w:r>
      <w:r>
        <w:rPr>
          <w:rFonts w:ascii="Arial" w:cs="Arial" w:eastAsia="Arial" w:hAnsi="Arial"/>
          <w:sz w:val="17"/>
          <w:szCs w:val="17"/>
          <w:color w:val="auto"/>
        </w:rPr>
        <w:t>” of any Option or SAR means the period beginning on the Grant Date of an Option or SAR and ending on the date such Option or SAR expires, terminates or is cancelled. No Option or SAR granted under this Plan shall have a Term exceeding 10 years</w:t>
      </w:r>
    </w:p>
    <w:p>
      <w:pPr>
        <w:spacing w:after="0" w:line="38"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2.46 “</w:t>
      </w:r>
      <w:r>
        <w:rPr>
          <w:rFonts w:ascii="Arial" w:cs="Arial" w:eastAsia="Arial" w:hAnsi="Arial"/>
          <w:sz w:val="16"/>
          <w:szCs w:val="16"/>
          <w:u w:val="single" w:color="auto"/>
          <w:color w:val="auto"/>
        </w:rPr>
        <w:t>Termination of Affiliation</w:t>
      </w:r>
      <w:r>
        <w:rPr>
          <w:rFonts w:ascii="Arial" w:cs="Arial" w:eastAsia="Arial" w:hAnsi="Arial"/>
          <w:sz w:val="16"/>
          <w:szCs w:val="16"/>
          <w:color w:val="auto"/>
        </w:rPr>
        <w:t>” occurs on the first day on which an individual is for any reason no longer performing services for the Company or any Affiliate in the capacity of an employee of, a non-employee consultant to, or a Non-Employee Director of, the Company or any Affiliate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Committee</w:t>
      </w:r>
      <w:r>
        <w:rPr>
          <w:rFonts w:ascii="Arial" w:cs="Arial" w:eastAsia="Arial" w:hAnsi="Arial"/>
          <w:sz w:val="18"/>
          <w:szCs w:val="18"/>
          <w:color w:val="auto"/>
        </w:rPr>
        <w:t>.</w:t>
      </w:r>
    </w:p>
    <w:p>
      <w:pPr>
        <w:spacing w:after="0" w:line="117" w:lineRule="exact"/>
        <w:rPr>
          <w:sz w:val="20"/>
          <w:szCs w:val="20"/>
          <w:color w:val="auto"/>
        </w:rPr>
      </w:pPr>
    </w:p>
    <w:p>
      <w:pPr>
        <w:ind w:right="100" w:firstLine="885"/>
        <w:spacing w:after="0" w:line="259" w:lineRule="auto"/>
        <w:tabs>
          <w:tab w:leader="none" w:pos="11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7" w:name="page18"/>
    <w:bookmarkEnd w:id="17"/>
    <w:p>
      <w:pPr>
        <w:jc w:val="both"/>
        <w:ind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spacing w:after="0" w:line="57" w:lineRule="exact"/>
        <w:rPr>
          <w:sz w:val="20"/>
          <w:szCs w:val="20"/>
          <w:color w:val="auto"/>
        </w:rPr>
      </w:pPr>
    </w:p>
    <w:p>
      <w:pPr>
        <w:ind w:firstLine="885"/>
        <w:spacing w:after="0" w:line="286" w:lineRule="auto"/>
        <w:tabs>
          <w:tab w:leader="none" w:pos="11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w:t>
      </w:r>
    </w:p>
    <w:p>
      <w:pPr>
        <w:spacing w:after="0" w:line="57" w:lineRule="exact"/>
        <w:rPr>
          <w:rFonts w:ascii="Arial" w:cs="Arial" w:eastAsia="Arial" w:hAnsi="Arial"/>
          <w:sz w:val="17"/>
          <w:szCs w:val="17"/>
          <w:color w:val="auto"/>
        </w:rPr>
      </w:pPr>
    </w:p>
    <w:p>
      <w:pPr>
        <w:ind w:firstLine="885"/>
        <w:spacing w:after="0" w:line="255" w:lineRule="auto"/>
        <w:tabs>
          <w:tab w:leader="none" w:pos="11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w:t>
      </w:r>
    </w:p>
    <w:p>
      <w:pPr>
        <w:spacing w:after="0" w:line="8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w:t>
      </w:r>
    </w:p>
    <w:p>
      <w:pPr>
        <w:spacing w:after="0" w:line="79" w:lineRule="exact"/>
        <w:rPr>
          <w:sz w:val="20"/>
          <w:szCs w:val="20"/>
          <w:color w:val="auto"/>
        </w:rPr>
      </w:pPr>
    </w:p>
    <w:p>
      <w:pPr>
        <w:ind w:left="1140" w:hanging="25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determine when, to whom and in what types and amounts Awards should be granted;</w:t>
      </w:r>
    </w:p>
    <w:p>
      <w:pPr>
        <w:spacing w:after="0" w:line="117" w:lineRule="exact"/>
        <w:rPr>
          <w:rFonts w:ascii="Arial" w:cs="Arial" w:eastAsia="Arial" w:hAnsi="Arial"/>
          <w:sz w:val="18"/>
          <w:szCs w:val="18"/>
          <w:color w:val="auto"/>
        </w:rPr>
      </w:pPr>
    </w:p>
    <w:p>
      <w:pPr>
        <w:ind w:right="20" w:firstLine="885"/>
        <w:spacing w:after="0" w:line="297" w:lineRule="auto"/>
        <w:tabs>
          <w:tab w:leader="none" w:pos="113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50" w:lineRule="exact"/>
        <w:rPr>
          <w:rFonts w:ascii="Arial" w:cs="Arial" w:eastAsia="Arial" w:hAnsi="Arial"/>
          <w:sz w:val="16"/>
          <w:szCs w:val="16"/>
          <w:color w:val="auto"/>
        </w:rPr>
      </w:pPr>
    </w:p>
    <w:p>
      <w:pPr>
        <w:ind w:right="240" w:firstLine="885"/>
        <w:spacing w:after="0" w:line="277" w:lineRule="auto"/>
        <w:tabs>
          <w:tab w:leader="none" w:pos="11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determine the benefit payable under any Performance Unit, Performance Share, Dividend Equivalent, Other Stock-Based Award or Cash Incentive Award and to determine whether any performance or vesting conditions have been satisfied;</w:t>
      </w:r>
    </w:p>
    <w:p>
      <w:pPr>
        <w:spacing w:after="0" w:line="62" w:lineRule="exact"/>
        <w:rPr>
          <w:rFonts w:ascii="Arial" w:cs="Arial" w:eastAsia="Arial" w:hAnsi="Arial"/>
          <w:sz w:val="18"/>
          <w:szCs w:val="18"/>
          <w:color w:val="auto"/>
        </w:rPr>
      </w:pPr>
    </w:p>
    <w:p>
      <w:pPr>
        <w:ind w:right="160" w:firstLine="885"/>
        <w:spacing w:after="0" w:line="277" w:lineRule="auto"/>
        <w:tabs>
          <w:tab w:leader="none" w:pos="11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determine whether or not specific Awards shall be granted in connection with other specific Awards, and if so, whether they shall be exercisable cumulatively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or alternatively to, such other specific Awards and all other matters to be determined in connection with an Award;</w:t>
      </w:r>
    </w:p>
    <w:p>
      <w:pPr>
        <w:spacing w:after="0" w:line="225" w:lineRule="exact"/>
        <w:rPr>
          <w:sz w:val="20"/>
          <w:szCs w:val="20"/>
          <w:color w:val="auto"/>
        </w:rPr>
      </w:pPr>
    </w:p>
    <w:p>
      <w:pPr>
        <w:ind w:left="1140" w:hanging="25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determine the Term of any Option or SAR;</w:t>
      </w:r>
    </w:p>
    <w:p>
      <w:pPr>
        <w:spacing w:after="0" w:line="117" w:lineRule="exact"/>
        <w:rPr>
          <w:rFonts w:ascii="Arial" w:cs="Arial" w:eastAsia="Arial" w:hAnsi="Arial"/>
          <w:sz w:val="18"/>
          <w:szCs w:val="18"/>
          <w:color w:val="auto"/>
        </w:rPr>
      </w:pPr>
    </w:p>
    <w:p>
      <w:pPr>
        <w:ind w:right="260" w:firstLine="885"/>
        <w:spacing w:after="0" w:line="264" w:lineRule="auto"/>
        <w:tabs>
          <w:tab w:leader="none" w:pos="11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spacing w:after="0" w:line="73" w:lineRule="exact"/>
        <w:rPr>
          <w:rFonts w:ascii="Arial" w:cs="Arial" w:eastAsia="Arial" w:hAnsi="Arial"/>
          <w:sz w:val="18"/>
          <w:szCs w:val="18"/>
          <w:color w:val="auto"/>
        </w:rPr>
      </w:pPr>
    </w:p>
    <w:p>
      <w:pPr>
        <w:jc w:val="both"/>
        <w:ind w:right="20" w:firstLine="885"/>
        <w:spacing w:after="0" w:line="259" w:lineRule="auto"/>
        <w:tabs>
          <w:tab w:leader="none" w:pos="11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78" w:lineRule="exact"/>
        <w:rPr>
          <w:rFonts w:ascii="Arial" w:cs="Arial" w:eastAsia="Arial" w:hAnsi="Arial"/>
          <w:sz w:val="18"/>
          <w:szCs w:val="18"/>
          <w:color w:val="auto"/>
        </w:rPr>
      </w:pPr>
    </w:p>
    <w:p>
      <w:pPr>
        <w:ind w:right="20" w:firstLine="885"/>
        <w:spacing w:after="0" w:line="264" w:lineRule="auto"/>
        <w:tabs>
          <w:tab w:leader="none" w:pos="11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73" w:lineRule="exact"/>
        <w:rPr>
          <w:rFonts w:ascii="Arial" w:cs="Arial" w:eastAsia="Arial" w:hAnsi="Arial"/>
          <w:sz w:val="18"/>
          <w:szCs w:val="18"/>
          <w:color w:val="auto"/>
        </w:rPr>
      </w:pPr>
    </w:p>
    <w:p>
      <w:pPr>
        <w:ind w:left="1100" w:hanging="215"/>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offer to exchange or buy out any previously granted Award for a payment in cash, Shares or other Award;</w:t>
      </w:r>
    </w:p>
    <w:p>
      <w:pPr>
        <w:spacing w:after="0" w:line="117" w:lineRule="exact"/>
        <w:rPr>
          <w:rFonts w:ascii="Arial" w:cs="Arial" w:eastAsia="Arial" w:hAnsi="Arial"/>
          <w:sz w:val="18"/>
          <w:szCs w:val="18"/>
          <w:color w:val="auto"/>
        </w:rPr>
      </w:pPr>
    </w:p>
    <w:p>
      <w:pPr>
        <w:ind w:right="540" w:firstLine="885"/>
        <w:spacing w:after="0" w:line="277" w:lineRule="auto"/>
        <w:tabs>
          <w:tab w:leader="none" w:pos="10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construe and interpret the Plan and to make all determinations, including factual determinations, necessary or advisable for the administration of the Plan;</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make, amend, suspend, waive and rescind rules and regulations relating to the Plan;</w:t>
      </w:r>
    </w:p>
    <w:p>
      <w:pPr>
        <w:spacing w:after="0" w:line="117" w:lineRule="exact"/>
        <w:rPr>
          <w:rFonts w:ascii="Arial" w:cs="Arial" w:eastAsia="Arial" w:hAnsi="Arial"/>
          <w:sz w:val="18"/>
          <w:szCs w:val="18"/>
          <w:color w:val="auto"/>
        </w:rPr>
      </w:pPr>
    </w:p>
    <w:p>
      <w:pPr>
        <w:ind w:left="1100" w:hanging="215"/>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appoint such agents as the Committee may deem necessary or advisable to administer the Plan;</w:t>
      </w:r>
    </w:p>
    <w:p>
      <w:pPr>
        <w:spacing w:after="0" w:line="117" w:lineRule="exact"/>
        <w:rPr>
          <w:rFonts w:ascii="Arial" w:cs="Arial" w:eastAsia="Arial" w:hAnsi="Arial"/>
          <w:sz w:val="18"/>
          <w:szCs w:val="18"/>
          <w:color w:val="auto"/>
        </w:rPr>
      </w:pPr>
    </w:p>
    <w:p>
      <w:pPr>
        <w:ind w:firstLine="885"/>
        <w:spacing w:after="0" w:line="297" w:lineRule="auto"/>
        <w:tabs>
          <w:tab w:leader="none" w:pos="11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 (ii) 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50" w:lineRule="exact"/>
        <w:rPr>
          <w:rFonts w:ascii="Arial" w:cs="Arial" w:eastAsia="Arial" w:hAnsi="Arial"/>
          <w:sz w:val="16"/>
          <w:szCs w:val="16"/>
          <w:color w:val="auto"/>
        </w:rPr>
      </w:pPr>
    </w:p>
    <w:p>
      <w:pPr>
        <w:ind w:left="1140" w:hanging="25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cancel, with the consent of the Grantee, outstanding Awards and to grant new Awards in substitution therefor;</w:t>
      </w:r>
    </w:p>
    <w:p>
      <w:pPr>
        <w:spacing w:after="0" w:line="117" w:lineRule="exact"/>
        <w:rPr>
          <w:rFonts w:ascii="Arial" w:cs="Arial" w:eastAsia="Arial" w:hAnsi="Arial"/>
          <w:sz w:val="18"/>
          <w:szCs w:val="18"/>
          <w:color w:val="auto"/>
        </w:rPr>
      </w:pPr>
    </w:p>
    <w:p>
      <w:pPr>
        <w:ind w:right="600" w:firstLine="885"/>
        <w:spacing w:after="0" w:line="277" w:lineRule="auto"/>
        <w:tabs>
          <w:tab w:leader="none" w:pos="11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impose such additional terms and conditions upon the grant, exercise or retention of Awards as the Committee may, before or concurrently with the grant thereof, deem</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appropriate, including limiting the percentage of Awards which may from time to time be exercised by a Grantee;</w:t>
      </w:r>
    </w:p>
    <w:p>
      <w:pPr>
        <w:spacing w:after="0" w:line="225" w:lineRule="exact"/>
        <w:rPr>
          <w:sz w:val="20"/>
          <w:szCs w:val="20"/>
          <w:color w:val="auto"/>
        </w:rPr>
      </w:pPr>
    </w:p>
    <w:p>
      <w:pPr>
        <w:ind w:right="560" w:firstLine="885"/>
        <w:spacing w:after="0" w:line="264" w:lineRule="auto"/>
        <w:tabs>
          <w:tab w:leader="none" w:pos="11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73" w:lineRule="exact"/>
        <w:rPr>
          <w:rFonts w:ascii="Arial" w:cs="Arial" w:eastAsia="Arial" w:hAnsi="Arial"/>
          <w:sz w:val="18"/>
          <w:szCs w:val="18"/>
          <w:color w:val="auto"/>
        </w:rPr>
      </w:pPr>
    </w:p>
    <w:p>
      <w:pPr>
        <w:ind w:right="680" w:firstLine="885"/>
        <w:spacing w:after="0" w:line="277" w:lineRule="auto"/>
        <w:tabs>
          <w:tab w:leader="none" w:pos="11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62" w:lineRule="exact"/>
        <w:rPr>
          <w:rFonts w:ascii="Arial" w:cs="Arial" w:eastAsia="Arial" w:hAnsi="Arial"/>
          <w:sz w:val="18"/>
          <w:szCs w:val="18"/>
          <w:color w:val="auto"/>
        </w:rPr>
      </w:pPr>
    </w:p>
    <w:p>
      <w:pPr>
        <w:ind w:right="120" w:firstLine="885"/>
        <w:spacing w:after="0" w:line="342" w:lineRule="auto"/>
        <w:tabs>
          <w:tab w:leader="none" w:pos="110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24" w:lineRule="exact"/>
        <w:rPr>
          <w:sz w:val="20"/>
          <w:szCs w:val="20"/>
          <w:color w:val="auto"/>
        </w:rPr>
      </w:pPr>
    </w:p>
    <w:p>
      <w:pPr>
        <w:ind w:right="160" w:firstLine="441"/>
        <w:spacing w:after="0" w:line="272" w:lineRule="auto"/>
        <w:rPr>
          <w:sz w:val="20"/>
          <w:szCs w:val="20"/>
          <w:color w:val="auto"/>
        </w:rPr>
      </w:pPr>
      <w:r>
        <w:rPr>
          <w:rFonts w:ascii="Arial" w:cs="Arial" w:eastAsia="Arial" w:hAnsi="Arial"/>
          <w:sz w:val="17"/>
          <w:szCs w:val="17"/>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17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Repricings</w:t>
      </w:r>
      <w:r>
        <w:rPr>
          <w:rFonts w:ascii="Arial" w:cs="Arial" w:eastAsia="Arial" w:hAnsi="Arial"/>
          <w:sz w:val="18"/>
          <w:szCs w:val="18"/>
          <w:color w:val="auto"/>
        </w:rPr>
        <w:t>. Notwithstanding any provision in Section 3.2 to the contrary, the terms of any outstanding Option or SAR may not be amended to reduce the Exercise Price of such Option or SAR or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without stockholder approval; provided, however, that the restrictions set forth in this Section 3.3, shall not apply (i) unless the Company has a class of stock that is registered under Section 12 of the Exchange Act or (ii) to any adjustment allowed under to Section 4.2.</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jc w:val="both"/>
        <w:ind w:right="640" w:firstLine="441"/>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 Available for Grants</w:t>
      </w:r>
      <w:r>
        <w:rPr>
          <w:rFonts w:ascii="Arial" w:cs="Arial" w:eastAsia="Arial" w:hAnsi="Arial"/>
          <w:sz w:val="18"/>
          <w:szCs w:val="18"/>
          <w:color w:val="auto"/>
        </w:rPr>
        <w:t>. Subject to adjustment as provided in Section 4.2 and except as provided in Section 5.6(b), the maximum number of Shares hereby reserved for delivery under the Plan shall be 2,600,00 Shares. Up to a maximum of 2,600,00 Shares may be delivered pursuant to the exercise of Incentive Stock Options granted hereunder.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0" w:name="page21"/>
    <w:bookmarkEnd w:id="20"/>
    <w:p>
      <w:pPr>
        <w:ind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Shares subject to an Award granted hereunder (other than a Substitute Award granted pursuant to Section 5.6(b)) are forfeited or such Award otherwise terminates without payment or delivery of such Shares, the Shares subject to such Award, to the extent of any such forfeiture or termination, shall again be available for grant under the Plan. For avoidance of doubt, however, if any Shares subject to an Award granted hereunder are withheld or applied as payment in connection with the exercise of an Award or the withholding or payment of taxes related thereto (“Returned Shares”), such Returned Shares will be treated as having been delivered for purposes of determining the maximum number of Shares available for grant under the Plan and shall not again be treated as available for grant under the Plan. Moreover, the number of Shares available for issuance under the Plan may not be increased through the Company’s purchase of Shares on the open market with the proceeds obtained from the exercise of any Options granted hereunder. Upon settlement of an SAR, the number of Shares underlying the portion of the SAR that is exercised will be treated as having been delivered for purposes of determining the maximum number of Shares available for grant under the Plan and shall not again be treated as available for issuance under the Plan.</w:t>
      </w:r>
    </w:p>
    <w:p>
      <w:pPr>
        <w:spacing w:after="0" w:line="178"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auto"/>
        </w:rPr>
        <w:t>Shares delivered pursuant to the Plan may be, in whole or in part, authorized and unissued Shares, or treasury Shares, including Shares repurchased by the Company for purposes of the Plan.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Adjustments in Authorized Shares and Awards; Corporate Transaction, Liquidation or Dissolution</w:t>
      </w:r>
      <w:r>
        <w:rPr>
          <w:rFonts w:ascii="Arial" w:cs="Arial" w:eastAsia="Arial" w:hAnsi="Arial"/>
          <w:sz w:val="18"/>
          <w:szCs w:val="18"/>
          <w:color w:val="auto"/>
        </w:rPr>
        <w:t>.</w:t>
      </w:r>
    </w:p>
    <w:p>
      <w:pPr>
        <w:spacing w:after="0" w:line="117" w:lineRule="exact"/>
        <w:rPr>
          <w:sz w:val="20"/>
          <w:szCs w:val="20"/>
          <w:color w:val="auto"/>
        </w:rPr>
      </w:pPr>
    </w:p>
    <w:p>
      <w:pPr>
        <w:ind w:right="20" w:firstLine="885"/>
        <w:spacing w:after="0" w:line="268" w:lineRule="auto"/>
        <w:tabs>
          <w:tab w:leader="none" w:pos="1126"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Adjustment in Authorized Shares and Awards</w:t>
      </w:r>
      <w:r>
        <w:rPr>
          <w:rFonts w:ascii="Arial" w:cs="Arial" w:eastAsia="Arial" w:hAnsi="Arial"/>
          <w:sz w:val="17"/>
          <w:szCs w:val="17"/>
          <w:color w:val="auto"/>
        </w:rPr>
        <w:t xml:space="preserve">.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number of Shares subject to any Award denominated in Shares shall always be a whole number.</w:t>
      </w:r>
    </w:p>
    <w:p>
      <w:pPr>
        <w:spacing w:after="0" w:line="79" w:lineRule="exact"/>
        <w:rPr>
          <w:rFonts w:ascii="Arial" w:cs="Arial" w:eastAsia="Arial" w:hAnsi="Arial"/>
          <w:sz w:val="17"/>
          <w:szCs w:val="17"/>
          <w:color w:val="auto"/>
        </w:rPr>
      </w:pPr>
    </w:p>
    <w:p>
      <w:pPr>
        <w:ind w:right="80" w:firstLine="885"/>
        <w:spacing w:after="0" w:line="277" w:lineRule="auto"/>
        <w:tabs>
          <w:tab w:leader="none" w:pos="113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Merger, Consolidation or Similar Corporate Transaction</w:t>
      </w:r>
      <w:r>
        <w:rPr>
          <w:rFonts w:ascii="Arial" w:cs="Arial" w:eastAsia="Arial" w:hAnsi="Arial"/>
          <w:sz w:val="18"/>
          <w:szCs w:val="18"/>
          <w:color w:val="auto"/>
        </w:rPr>
        <w:t>. In the event of a merger or consolidation of the Company with or into another corporation or a sale of substantially all of the stock of the Company (a “Corporate Transaction”), unless an outstanding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21" w:name="page22"/>
    <w:bookmarkEnd w:id="21"/>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w:t>
      </w:r>
    </w:p>
    <w:p>
      <w:pPr>
        <w:spacing w:after="0" w:line="2" w:lineRule="exact"/>
        <w:rPr>
          <w:sz w:val="20"/>
          <w:szCs w:val="20"/>
          <w:color w:val="auto"/>
        </w:rPr>
      </w:pPr>
    </w:p>
    <w:p>
      <w:pPr>
        <w:ind w:firstLine="4"/>
        <w:spacing w:after="0" w:line="270" w:lineRule="auto"/>
        <w:tabs>
          <w:tab w:leader="none" w:pos="2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70" w:lineRule="exact"/>
        <w:rPr>
          <w:rFonts w:ascii="Arial" w:cs="Arial" w:eastAsia="Arial" w:hAnsi="Arial"/>
          <w:sz w:val="17"/>
          <w:szCs w:val="17"/>
          <w:color w:val="auto"/>
        </w:rPr>
      </w:pPr>
    </w:p>
    <w:p>
      <w:pPr>
        <w:ind w:right="160" w:firstLine="885"/>
        <w:spacing w:after="0" w:line="273" w:lineRule="auto"/>
        <w:tabs>
          <w:tab w:leader="none" w:pos="1126"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Liquidation or Dissolution of the Company</w:t>
      </w:r>
      <w:r>
        <w:rPr>
          <w:rFonts w:ascii="Arial" w:cs="Arial" w:eastAsia="Arial" w:hAnsi="Arial"/>
          <w:sz w:val="17"/>
          <w:szCs w:val="17"/>
          <w:color w:val="auto"/>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70" w:lineRule="exact"/>
        <w:rPr>
          <w:rFonts w:ascii="Arial" w:cs="Arial" w:eastAsia="Arial" w:hAnsi="Arial"/>
          <w:sz w:val="17"/>
          <w:szCs w:val="17"/>
          <w:color w:val="auto"/>
        </w:rPr>
      </w:pPr>
    </w:p>
    <w:p>
      <w:pPr>
        <w:ind w:right="20" w:firstLine="885"/>
        <w:spacing w:after="0" w:line="286" w:lineRule="auto"/>
        <w:tabs>
          <w:tab w:leader="none" w:pos="1136"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Deferred Compensation</w:t>
      </w:r>
      <w:r>
        <w:rPr>
          <w:rFonts w:ascii="Arial" w:cs="Arial" w:eastAsia="Arial" w:hAnsi="Arial"/>
          <w:sz w:val="17"/>
          <w:szCs w:val="17"/>
          <w:color w:val="auto"/>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GENERAL CONDITIONS OF AWARDS</w:t>
      </w:r>
    </w:p>
    <w:p>
      <w:pPr>
        <w:spacing w:after="0" w:line="211" w:lineRule="exact"/>
        <w:rPr>
          <w:sz w:val="20"/>
          <w:szCs w:val="20"/>
          <w:color w:val="auto"/>
        </w:rPr>
      </w:pPr>
    </w:p>
    <w:p>
      <w:pPr>
        <w:ind w:right="420" w:firstLine="441"/>
        <w:spacing w:after="0" w:line="34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Eligibility</w:t>
      </w:r>
      <w:r>
        <w:rPr>
          <w:rFonts w:ascii="Arial" w:cs="Arial" w:eastAsia="Arial" w:hAnsi="Arial"/>
          <w:sz w:val="16"/>
          <w:szCs w:val="16"/>
          <w:color w:val="auto"/>
        </w:rPr>
        <w:t>. The Committee may in its discretion grant Awards to any Eligible Person, whether or not he or she has previously received an Award; provided, however, that all Awards made to Non-Employee Directors shall be determined by the Board in its sole discretion.</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Award Agreement</w:t>
      </w:r>
      <w:r>
        <w:rPr>
          <w:rFonts w:ascii="Arial" w:cs="Arial" w:eastAsia="Arial" w:hAnsi="Arial"/>
          <w:sz w:val="16"/>
          <w:szCs w:val="16"/>
          <w:color w:val="auto"/>
        </w:rPr>
        <w:t>. To the extent not set forth in the Plan, the terms and conditions of each Award shall be set forth in an Award Agreement.</w:t>
      </w:r>
    </w:p>
    <w:p>
      <w:pPr>
        <w:spacing w:after="0" w:line="140"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General Terms and Termination of Affiliation</w:t>
      </w:r>
      <w:r>
        <w:rPr>
          <w:rFonts w:ascii="Arial" w:cs="Arial" w:eastAsia="Arial" w:hAnsi="Arial"/>
          <w:sz w:val="17"/>
          <w:szCs w:val="17"/>
          <w:color w:val="auto"/>
        </w:rPr>
        <w:t>. The Committee may impose on any Award or the exercise or settlement thereof, at the date of grant or, subject to the provisions of Section 15.2, thereafter, such additional terms and conditions not inconsistent with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2" w:name="page23"/>
    <w:bookmarkEnd w:id="22"/>
    <w:p>
      <w:pPr>
        <w:ind w:right="1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w:t>
      </w:r>
    </w:p>
    <w:p>
      <w:pPr>
        <w:ind w:right="100" w:firstLine="4"/>
        <w:spacing w:after="0" w:line="302" w:lineRule="auto"/>
        <w:tabs>
          <w:tab w:leader="none" w:pos="2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and (b) all outstanding Options and SARs not previously exercised shall expire three months after the Grantee’s Termination of Affiliation.</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312" w:lineRule="auto"/>
        <w:tabs>
          <w:tab w:leader="none" w:pos="11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38" w:lineRule="exact"/>
        <w:rPr>
          <w:rFonts w:ascii="Arial" w:cs="Arial" w:eastAsia="Arial" w:hAnsi="Arial"/>
          <w:sz w:val="16"/>
          <w:szCs w:val="16"/>
          <w:color w:val="auto"/>
        </w:rPr>
      </w:pPr>
    </w:p>
    <w:p>
      <w:pPr>
        <w:ind w:right="260" w:firstLine="885"/>
        <w:spacing w:after="0" w:line="255" w:lineRule="auto"/>
        <w:tabs>
          <w:tab w:leader="none" w:pos="11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85" w:lineRule="exact"/>
        <w:rPr>
          <w:rFonts w:ascii="Arial" w:cs="Arial" w:eastAsia="Arial" w:hAnsi="Arial"/>
          <w:sz w:val="18"/>
          <w:szCs w:val="18"/>
          <w:color w:val="auto"/>
        </w:rPr>
      </w:pPr>
    </w:p>
    <w:p>
      <w:pPr>
        <w:ind w:right="20" w:firstLine="885"/>
        <w:spacing w:after="0" w:line="287" w:lineRule="auto"/>
        <w:tabs>
          <w:tab w:leader="none" w:pos="11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3" w:name="page24"/>
    <w:bookmarkEnd w:id="23"/>
    <w:p>
      <w:pPr>
        <w:ind w:left="8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 Nothing herein shall be construed as requiring the Committee to honor a QDRO except to the extent required under applicable law.</w:t>
      </w:r>
    </w:p>
    <w:p>
      <w:pPr>
        <w:spacing w:after="0" w:line="1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Cancellation and Rescission of Awards</w:t>
      </w:r>
      <w:r>
        <w:rPr>
          <w:rFonts w:ascii="Arial" w:cs="Arial" w:eastAsia="Arial" w:hAnsi="Arial"/>
          <w:sz w:val="18"/>
          <w:szCs w:val="18"/>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Stand-Alone, Tandem and Substitute Awards</w:t>
      </w:r>
      <w:r>
        <w:rPr>
          <w:rFonts w:ascii="Arial" w:cs="Arial" w:eastAsia="Arial" w:hAnsi="Arial"/>
          <w:sz w:val="18"/>
          <w:szCs w:val="18"/>
          <w:color w:val="auto"/>
        </w:rPr>
        <w:t>.</w:t>
      </w:r>
    </w:p>
    <w:p>
      <w:pPr>
        <w:spacing w:after="0" w:line="117" w:lineRule="exact"/>
        <w:rPr>
          <w:sz w:val="20"/>
          <w:szCs w:val="20"/>
          <w:color w:val="auto"/>
        </w:rPr>
      </w:pPr>
    </w:p>
    <w:p>
      <w:pPr>
        <w:ind w:right="20" w:firstLine="885"/>
        <w:spacing w:after="0" w:line="254" w:lineRule="auto"/>
        <w:tabs>
          <w:tab w:leader="none" w:pos="11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 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spacing w:after="0" w:line="84" w:lineRule="exact"/>
        <w:rPr>
          <w:rFonts w:ascii="Arial" w:cs="Arial" w:eastAsia="Arial" w:hAnsi="Arial"/>
          <w:sz w:val="18"/>
          <w:szCs w:val="18"/>
          <w:color w:val="auto"/>
        </w:rPr>
      </w:pPr>
    </w:p>
    <w:p>
      <w:pPr>
        <w:ind w:right="120" w:firstLine="885"/>
        <w:spacing w:after="0" w:line="254" w:lineRule="auto"/>
        <w:tabs>
          <w:tab w:leader="none" w:pos="11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spacing w:after="0" w:line="84"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Compliance with Rule 16b-3</w:t>
      </w:r>
      <w:r>
        <w:rPr>
          <w:rFonts w:ascii="Arial" w:cs="Arial" w:eastAsia="Arial" w:hAnsi="Arial"/>
          <w:sz w:val="18"/>
          <w:szCs w:val="18"/>
          <w:color w:val="auto"/>
        </w:rPr>
        <w:t>. The provisions of this Section 5.7will not apply unless and until the Company has a class of stock that is registered under Section 12 of the Exchange Act.</w:t>
      </w:r>
    </w:p>
    <w:p>
      <w:pPr>
        <w:spacing w:after="0" w:line="62" w:lineRule="exact"/>
        <w:rPr>
          <w:sz w:val="20"/>
          <w:szCs w:val="20"/>
          <w:color w:val="auto"/>
        </w:rPr>
      </w:pPr>
    </w:p>
    <w:p>
      <w:pPr>
        <w:ind w:right="60" w:firstLine="885"/>
        <w:spacing w:after="0" w:line="257" w:lineRule="auto"/>
        <w:tabs>
          <w:tab w:leader="none" w:pos="112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Six-Month Holding Period Advice</w:t>
      </w:r>
      <w:r>
        <w:rPr>
          <w:rFonts w:ascii="Arial" w:cs="Arial" w:eastAsia="Arial" w:hAnsi="Arial"/>
          <w:sz w:val="18"/>
          <w:szCs w:val="18"/>
          <w:color w:val="auto"/>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Plan other than upon exercise or conversion of a derivative security must be held for at least six months from the date of grant of an Award.</w:t>
      </w:r>
    </w:p>
    <w:p>
      <w:pPr>
        <w:spacing w:after="0" w:line="140" w:lineRule="exact"/>
        <w:rPr>
          <w:sz w:val="20"/>
          <w:szCs w:val="20"/>
          <w:color w:val="auto"/>
        </w:rPr>
      </w:pPr>
    </w:p>
    <w:p>
      <w:pPr>
        <w:ind w:right="60" w:firstLine="885"/>
        <w:spacing w:after="0" w:line="255" w:lineRule="auto"/>
        <w:tabs>
          <w:tab w:leader="none" w:pos="113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Reformation to Comply with Exchange Act Rules</w:t>
      </w:r>
      <w:r>
        <w:rPr>
          <w:rFonts w:ascii="Arial" w:cs="Arial" w:eastAsia="Arial" w:hAnsi="Arial"/>
          <w:sz w:val="18"/>
          <w:szCs w:val="18"/>
          <w:color w:val="auto"/>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85" w:lineRule="exact"/>
        <w:rPr>
          <w:rFonts w:ascii="Arial" w:cs="Arial" w:eastAsia="Arial" w:hAnsi="Arial"/>
          <w:sz w:val="18"/>
          <w:szCs w:val="18"/>
          <w:color w:val="auto"/>
        </w:rPr>
      </w:pPr>
    </w:p>
    <w:p>
      <w:pPr>
        <w:ind w:right="220" w:firstLine="885"/>
        <w:spacing w:after="0" w:line="255" w:lineRule="auto"/>
        <w:tabs>
          <w:tab w:leader="none" w:pos="112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Rule 16b-3 Administration</w:t>
      </w:r>
      <w:r>
        <w:rPr>
          <w:rFonts w:ascii="Arial" w:cs="Arial" w:eastAsia="Arial" w:hAnsi="Arial"/>
          <w:sz w:val="18"/>
          <w:szCs w:val="18"/>
          <w:color w:val="auto"/>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85"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Deferral of Award Payouts</w:t>
      </w:r>
      <w:r>
        <w:rPr>
          <w:rFonts w:ascii="Arial" w:cs="Arial" w:eastAsia="Arial" w:hAnsi="Arial"/>
          <w:sz w:val="17"/>
          <w:szCs w:val="17"/>
          <w:color w:val="auto"/>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and consistent with the provisions of the Plan, Options may be granted to any Eligible Person in such number, and upon such terms, and at any time and from time to time as shall be determined by the Committee.</w:t>
      </w:r>
    </w:p>
    <w:p>
      <w:pPr>
        <w:spacing w:after="0" w:line="6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Option grant shall be evidenced by an Award Agreement that shall specify the Exercise Price, the Term of the Option, the number of Shares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the Option pertains, the time or times at which such Option shall be exercisable and such other provisions as the Committee shall determine.</w:t>
      </w:r>
    </w:p>
    <w:p>
      <w:pPr>
        <w:spacing w:after="0" w:line="140"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Exercise Price of an Option under this Plan shall be determined in the sole discretion of the Committee but may not be less than 100% of the Fair Market Value of a Share on the Grant Date.</w:t>
      </w:r>
    </w:p>
    <w:p>
      <w:pPr>
        <w:spacing w:after="0" w:line="62"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Grant of Incentive Stock Options</w:t>
      </w:r>
      <w:r>
        <w:rPr>
          <w:rFonts w:ascii="Arial" w:cs="Arial" w:eastAsia="Arial" w:hAnsi="Arial"/>
          <w:sz w:val="16"/>
          <w:szCs w:val="16"/>
          <w:color w:val="auto"/>
        </w:rPr>
        <w:t>. At the time of the grant of any Option, the Committee may in its discretion designate that such Option shall be made subject to additional restrictions to permit it to qualify as an Incentive Stock Option. Any Option designated as an Incentive Stock Option:</w:t>
      </w:r>
    </w:p>
    <w:p>
      <w:pPr>
        <w:spacing w:after="0" w:line="16" w:lineRule="exact"/>
        <w:rPr>
          <w:sz w:val="20"/>
          <w:szCs w:val="20"/>
          <w:color w:val="auto"/>
        </w:rPr>
      </w:pPr>
    </w:p>
    <w:p>
      <w:pPr>
        <w:ind w:left="1140" w:hanging="255"/>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shall be granted only to an employee of the Company or a Subsidiary Corporation;</w:t>
      </w:r>
    </w:p>
    <w:p>
      <w:pPr>
        <w:spacing w:after="0" w:line="117" w:lineRule="exact"/>
        <w:rPr>
          <w:rFonts w:ascii="Arial" w:cs="Arial" w:eastAsia="Arial" w:hAnsi="Arial"/>
          <w:sz w:val="18"/>
          <w:szCs w:val="18"/>
          <w:color w:val="auto"/>
        </w:rPr>
      </w:pPr>
    </w:p>
    <w:p>
      <w:pPr>
        <w:ind w:right="20" w:firstLine="885"/>
        <w:spacing w:after="0" w:line="259" w:lineRule="auto"/>
        <w:tabs>
          <w:tab w:leader="none" w:pos="11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w:t>
      </w:r>
    </w:p>
    <w:p>
      <w:pPr>
        <w:spacing w:after="0" w:line="78" w:lineRule="exact"/>
        <w:rPr>
          <w:rFonts w:ascii="Arial" w:cs="Arial" w:eastAsia="Arial" w:hAnsi="Arial"/>
          <w:sz w:val="18"/>
          <w:szCs w:val="18"/>
          <w:color w:val="auto"/>
        </w:rPr>
      </w:pPr>
    </w:p>
    <w:p>
      <w:pPr>
        <w:ind w:right="200" w:firstLine="885"/>
        <w:spacing w:after="0" w:line="277" w:lineRule="auto"/>
        <w:tabs>
          <w:tab w:leader="none" w:pos="11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shall be for a period of not more than 10 years (five years if the Grantee is a More Than 10% Owner) from its Grant Date, and shall be subject to earlier termination as provided herein or in the applicable Award Agreement;</w:t>
      </w:r>
    </w:p>
    <w:p>
      <w:pPr>
        <w:spacing w:after="0" w:line="62" w:lineRule="exact"/>
        <w:rPr>
          <w:rFonts w:ascii="Arial" w:cs="Arial" w:eastAsia="Arial" w:hAnsi="Arial"/>
          <w:sz w:val="18"/>
          <w:szCs w:val="18"/>
          <w:color w:val="auto"/>
        </w:rPr>
      </w:pPr>
    </w:p>
    <w:p>
      <w:pPr>
        <w:ind w:right="160" w:firstLine="885"/>
        <w:spacing w:after="0" w:line="259" w:lineRule="auto"/>
        <w:tabs>
          <w:tab w:leader="none" w:pos="11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spacing w:after="0" w:line="78" w:lineRule="exact"/>
        <w:rPr>
          <w:rFonts w:ascii="Arial" w:cs="Arial" w:eastAsia="Arial" w:hAnsi="Arial"/>
          <w:sz w:val="18"/>
          <w:szCs w:val="18"/>
          <w:color w:val="auto"/>
        </w:rPr>
      </w:pPr>
    </w:p>
    <w:p>
      <w:pPr>
        <w:ind w:right="40" w:firstLine="885"/>
        <w:spacing w:after="0" w:line="259" w:lineRule="auto"/>
        <w:tabs>
          <w:tab w:leader="none" w:pos="112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spacing w:after="0" w:line="78" w:lineRule="exact"/>
        <w:rPr>
          <w:rFonts w:ascii="Arial" w:cs="Arial" w:eastAsia="Arial" w:hAnsi="Arial"/>
          <w:sz w:val="18"/>
          <w:szCs w:val="18"/>
          <w:color w:val="auto"/>
        </w:rPr>
      </w:pPr>
    </w:p>
    <w:p>
      <w:pPr>
        <w:ind w:right="360" w:firstLine="885"/>
        <w:spacing w:after="0" w:line="264" w:lineRule="auto"/>
        <w:tabs>
          <w:tab w:leader="none" w:pos="11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spacing w:after="0" w:line="73" w:lineRule="exact"/>
        <w:rPr>
          <w:rFonts w:ascii="Arial" w:cs="Arial" w:eastAsia="Arial" w:hAnsi="Arial"/>
          <w:sz w:val="18"/>
          <w:szCs w:val="18"/>
          <w:color w:val="auto"/>
        </w:rPr>
      </w:pPr>
    </w:p>
    <w:p>
      <w:pPr>
        <w:ind w:firstLine="885"/>
        <w:spacing w:after="0" w:line="308" w:lineRule="auto"/>
        <w:tabs>
          <w:tab w:leader="none" w:pos="11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shall by its terms not be assignable or transferable other than by will or the laws of descent and distribution and may be exercised, during the Grantee’s lifetime, only by the Grantee; provided, however, that the Grantee may, to the extent provided in the Plan in any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manner specified by the Committee, designate in writing a beneficiary to exercise his or her Incentive Stock Option after the Grantee’s death; and</w:t>
      </w:r>
    </w:p>
    <w:p>
      <w:pPr>
        <w:spacing w:after="0" w:line="129" w:lineRule="exact"/>
        <w:rPr>
          <w:sz w:val="20"/>
          <w:szCs w:val="20"/>
          <w:color w:val="auto"/>
        </w:rPr>
      </w:pPr>
    </w:p>
    <w:p>
      <w:pPr>
        <w:ind w:right="80" w:firstLine="885"/>
        <w:spacing w:after="0" w:line="264" w:lineRule="auto"/>
        <w:tabs>
          <w:tab w:leader="none" w:pos="11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spacing w:after="0" w:line="181"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16"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73" w:lineRule="exact"/>
        <w:rPr>
          <w:sz w:val="20"/>
          <w:szCs w:val="20"/>
          <w:color w:val="auto"/>
        </w:rPr>
      </w:pPr>
    </w:p>
    <w:p>
      <w:pPr>
        <w:ind w:left="1140" w:hanging="25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personal check or wire transfer;</w:t>
      </w:r>
    </w:p>
    <w:p>
      <w:pPr>
        <w:spacing w:after="0" w:line="117" w:lineRule="exact"/>
        <w:rPr>
          <w:rFonts w:ascii="Arial" w:cs="Arial" w:eastAsia="Arial" w:hAnsi="Arial"/>
          <w:sz w:val="18"/>
          <w:szCs w:val="18"/>
          <w:color w:val="auto"/>
        </w:rPr>
      </w:pPr>
    </w:p>
    <w:p>
      <w:pPr>
        <w:ind w:right="80" w:firstLine="885"/>
        <w:spacing w:after="0" w:line="277" w:lineRule="auto"/>
        <w:tabs>
          <w:tab w:leader="none" w:pos="11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the approval of the Committee, delivery of Common Stock owned by the Grantee prior to exercise, valued at Fair Market Value on the date of exercise;</w:t>
      </w:r>
    </w:p>
    <w:p>
      <w:pPr>
        <w:spacing w:after="0" w:line="62" w:lineRule="exact"/>
        <w:rPr>
          <w:rFonts w:ascii="Arial" w:cs="Arial" w:eastAsia="Arial" w:hAnsi="Arial"/>
          <w:sz w:val="18"/>
          <w:szCs w:val="18"/>
          <w:color w:val="auto"/>
        </w:rPr>
      </w:pPr>
    </w:p>
    <w:p>
      <w:pPr>
        <w:ind w:right="160" w:firstLine="885"/>
        <w:spacing w:after="0" w:line="277" w:lineRule="auto"/>
        <w:tabs>
          <w:tab w:leader="none" w:pos="11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the approval of the Committee, Shares acquired upon the exercise of such Option, such Shares valued at Fair Market Value on the date of exercise;</w:t>
      </w:r>
    </w:p>
    <w:p>
      <w:pPr>
        <w:spacing w:after="0" w:line="62" w:lineRule="exact"/>
        <w:rPr>
          <w:rFonts w:ascii="Arial" w:cs="Arial" w:eastAsia="Arial" w:hAnsi="Arial"/>
          <w:sz w:val="18"/>
          <w:szCs w:val="18"/>
          <w:color w:val="auto"/>
        </w:rPr>
      </w:pPr>
    </w:p>
    <w:p>
      <w:pPr>
        <w:ind w:right="360" w:firstLine="885"/>
        <w:spacing w:after="0" w:line="277" w:lineRule="auto"/>
        <w:tabs>
          <w:tab w:leader="none" w:pos="11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the approval of the Committee, Restricted Shares held by the Grantee prior to the exercise of the Option, valued at Fair Market Value on the date of exercise; or</w:t>
      </w:r>
    </w:p>
    <w:p>
      <w:pPr>
        <w:spacing w:after="0" w:line="62" w:lineRule="exact"/>
        <w:rPr>
          <w:rFonts w:ascii="Arial" w:cs="Arial" w:eastAsia="Arial" w:hAnsi="Arial"/>
          <w:sz w:val="18"/>
          <w:szCs w:val="18"/>
          <w:color w:val="auto"/>
        </w:rPr>
      </w:pPr>
    </w:p>
    <w:p>
      <w:pPr>
        <w:ind w:right="40" w:firstLine="885"/>
        <w:spacing w:after="0" w:line="279" w:lineRule="auto"/>
        <w:tabs>
          <w:tab w:leader="none" w:pos="1126"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Committee may in its discretion specify that, if any Restricted Shares (“Tendered Restricted Shares”) are used to pay the Exercise Price,</w:t>
      </w:r>
    </w:p>
    <w:p>
      <w:pPr>
        <w:spacing w:after="0" w:line="35" w:lineRule="exact"/>
        <w:rPr>
          <w:sz w:val="20"/>
          <w:szCs w:val="20"/>
          <w:color w:val="auto"/>
        </w:rPr>
      </w:pPr>
    </w:p>
    <w:p>
      <w:pPr>
        <w:ind w:firstLine="4"/>
        <w:spacing w:after="0" w:line="277" w:lineRule="auto"/>
        <w:tabs>
          <w:tab w:leader="none" w:pos="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Issuance</w:t>
      </w:r>
      <w:r>
        <w:rPr>
          <w:rFonts w:ascii="Arial" w:cs="Arial" w:eastAsia="Arial" w:hAnsi="Arial"/>
          <w:sz w:val="18"/>
          <w:szCs w:val="18"/>
          <w:color w:val="auto"/>
        </w:rPr>
        <w:t>.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spacing w:after="0" w:line="79" w:lineRule="exact"/>
        <w:rPr>
          <w:sz w:val="20"/>
          <w:szCs w:val="20"/>
          <w:color w:val="auto"/>
        </w:rPr>
      </w:pPr>
    </w:p>
    <w:p>
      <w:pPr>
        <w:ind w:right="520" w:firstLine="441"/>
        <w:spacing w:after="0" w:line="34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Award Agreements</w:t>
      </w:r>
      <w:r>
        <w:rPr>
          <w:rFonts w:ascii="Arial" w:cs="Arial" w:eastAsia="Arial" w:hAnsi="Arial"/>
          <w:sz w:val="16"/>
          <w:szCs w:val="16"/>
          <w:color w:val="auto"/>
        </w:rPr>
        <w:t>. Each SAR grant shall be evidenced by an Award Agreement in such form as the Committee may approve and shall contain such terms and conditions not inconsistent with other provisions of the Plan as shall be determined from time to time by the Committee.</w:t>
      </w:r>
    </w:p>
    <w:p>
      <w:pPr>
        <w:spacing w:after="0" w:line="16"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SAR Exercise Price</w:t>
      </w:r>
      <w:r>
        <w:rPr>
          <w:rFonts w:ascii="Arial" w:cs="Arial" w:eastAsia="Arial" w:hAnsi="Arial"/>
          <w:sz w:val="18"/>
          <w:szCs w:val="18"/>
          <w:color w:val="auto"/>
        </w:rPr>
        <w:t>. The Exercise Price of a SAR shall be determined by the Committee in its sole discretion; provided that the Exercise Price shall not be less than 100% of the Fair Market Value of a Share on the date of the grant of the SAR.</w:t>
      </w:r>
    </w:p>
    <w:p>
      <w:pPr>
        <w:spacing w:after="0" w:line="62"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Upon the exercise of an SAR, a Grantee shall be entitled to receive payment from the Company in an amount determined by multiplying:</w:t>
      </w:r>
    </w:p>
    <w:p>
      <w:pPr>
        <w:spacing w:after="0" w:line="62" w:lineRule="exact"/>
        <w:rPr>
          <w:sz w:val="20"/>
          <w:szCs w:val="20"/>
          <w:color w:val="auto"/>
        </w:rPr>
      </w:pPr>
    </w:p>
    <w:p>
      <w:pPr>
        <w:ind w:left="1140" w:hanging="25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Exercise Price; by</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5" w:lineRule="exact"/>
        <w:rPr>
          <w:sz w:val="20"/>
          <w:szCs w:val="20"/>
          <w:color w:val="auto"/>
        </w:rPr>
      </w:pPr>
    </w:p>
    <w:p>
      <w:pPr>
        <w:ind w:right="180" w:firstLine="441"/>
        <w:spacing w:after="0" w:line="302" w:lineRule="auto"/>
        <w:rPr>
          <w:sz w:val="20"/>
          <w:szCs w:val="20"/>
          <w:color w:val="auto"/>
        </w:rPr>
      </w:pPr>
      <w:r>
        <w:rPr>
          <w:rFonts w:ascii="Arial" w:cs="Arial" w:eastAsia="Arial" w:hAnsi="Arial"/>
          <w:sz w:val="16"/>
          <w:szCs w:val="16"/>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SHARES</w:t>
      </w:r>
    </w:p>
    <w:p>
      <w:pPr>
        <w:spacing w:after="0" w:line="21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Subject to and consistent with the provisions of the Plan, the Committee, at any time and from time to time, may grant Restricted Shares to any Eligible Person in such amounts as the Committee shall determine.</w:t>
      </w:r>
    </w:p>
    <w:p>
      <w:pPr>
        <w:spacing w:after="0" w:line="62"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Award Agreement</w:t>
      </w:r>
      <w:r>
        <w:rPr>
          <w:rFonts w:ascii="Arial" w:cs="Arial" w:eastAsia="Arial" w:hAnsi="Arial"/>
          <w:sz w:val="16"/>
          <w:szCs w:val="16"/>
          <w:color w:val="auto"/>
        </w:rPr>
        <w:t>.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0"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Grantee’s Termination of Affiliation due to death, Disability, or involuntary termination by the Company or an Affiliate without Cause.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Consideration for Restricted Shares</w:t>
      </w:r>
      <w:r>
        <w:rPr>
          <w:rFonts w:ascii="Arial" w:cs="Arial" w:eastAsia="Arial" w:hAnsi="Arial"/>
          <w:sz w:val="17"/>
          <w:szCs w:val="17"/>
          <w:color w:val="auto"/>
        </w:rPr>
        <w:t>. The Committee shall determine the amount, if any, that a Grantee shall pay for Restricted Shares.</w:t>
      </w:r>
    </w:p>
    <w:p>
      <w:pPr>
        <w:spacing w:after="0" w:line="129"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Effect of Forfeiture</w:t>
      </w:r>
      <w:r>
        <w:rPr>
          <w:rFonts w:ascii="Arial" w:cs="Arial" w:eastAsia="Arial" w:hAnsi="Arial"/>
          <w:sz w:val="17"/>
          <w:szCs w:val="17"/>
          <w:color w:val="auto"/>
        </w:rPr>
        <w:t>.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spacing w:after="0" w:line="70"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Escrow; Legends</w:t>
      </w:r>
      <w:r>
        <w:rPr>
          <w:rFonts w:ascii="Arial" w:cs="Arial" w:eastAsia="Arial" w:hAnsi="Arial"/>
          <w:sz w:val="16"/>
          <w:szCs w:val="16"/>
          <w:color w:val="auto"/>
        </w:rPr>
        <w:t>. The Committee may provide that the certificates for any Restricted Shares (x) shall be held (together with a stock power executed in blank by the Grantee) in escrow by the Secretary of the Company until such Restricted Shares become nonforfeitable or are forfeited and/or</w:t>
      </w:r>
    </w:p>
    <w:p>
      <w:pPr>
        <w:ind w:firstLine="4"/>
        <w:spacing w:after="0" w:line="261"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shall bear an appropriate legend restricting the transfer of such Restricted Shares under the Plan. If any Restricted Shares become nonforfeitable, the Company shall cause certificates for such shares to be delivered without such legend.</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PERFORMANCE UNITS AND PERFORMANCE SHARES</w:t>
      </w:r>
    </w:p>
    <w:p>
      <w:pPr>
        <w:spacing w:after="0" w:line="211"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Performance Units and Performance Shares</w:t>
      </w:r>
      <w:r>
        <w:rPr>
          <w:rFonts w:ascii="Arial" w:cs="Arial" w:eastAsia="Arial" w:hAnsi="Arial"/>
          <w:sz w:val="18"/>
          <w:szCs w:val="18"/>
          <w:color w:val="auto"/>
        </w:rPr>
        <w:t>.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73"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Value/Performance Goals</w:t>
      </w:r>
      <w:r>
        <w:rPr>
          <w:rFonts w:ascii="Arial" w:cs="Arial" w:eastAsia="Arial" w:hAnsi="Arial"/>
          <w:sz w:val="18"/>
          <w:szCs w:val="18"/>
          <w:color w:val="auto"/>
        </w:rPr>
        <w:t>. The Committee shall set performance goals in its discretion which, depending on the extent to which they are met, will determine the number or value of Performance Units or Performance Shares that will be paid to the Grantee.</w:t>
      </w:r>
    </w:p>
    <w:p>
      <w:pPr>
        <w:spacing w:after="0" w:line="62" w:lineRule="exact"/>
        <w:rPr>
          <w:sz w:val="20"/>
          <w:szCs w:val="20"/>
          <w:color w:val="auto"/>
        </w:rPr>
      </w:pPr>
    </w:p>
    <w:p>
      <w:pPr>
        <w:ind w:left="1120" w:hanging="235"/>
        <w:spacing w:after="0"/>
        <w:tabs>
          <w:tab w:leader="none" w:pos="112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Performance Unit</w:t>
      </w:r>
      <w:r>
        <w:rPr>
          <w:rFonts w:ascii="Arial" w:cs="Arial" w:eastAsia="Arial" w:hAnsi="Arial"/>
          <w:sz w:val="17"/>
          <w:szCs w:val="17"/>
          <w:color w:val="auto"/>
        </w:rPr>
        <w:t>. Each Performance Unit shall have an initial value that is established by the Committee at the time of grant.</w:t>
      </w:r>
    </w:p>
    <w:p>
      <w:pPr>
        <w:spacing w:after="0" w:line="128" w:lineRule="exact"/>
        <w:rPr>
          <w:rFonts w:ascii="Arial" w:cs="Arial" w:eastAsia="Arial" w:hAnsi="Arial"/>
          <w:sz w:val="17"/>
          <w:szCs w:val="17"/>
          <w:color w:val="auto"/>
        </w:rPr>
      </w:pPr>
    </w:p>
    <w:p>
      <w:pPr>
        <w:ind w:left="1140" w:hanging="255"/>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Performance Share</w:t>
      </w:r>
      <w:r>
        <w:rPr>
          <w:rFonts w:ascii="Arial" w:cs="Arial" w:eastAsia="Arial" w:hAnsi="Arial"/>
          <w:sz w:val="16"/>
          <w:szCs w:val="16"/>
          <w:color w:val="auto"/>
        </w:rPr>
        <w:t>. Each Performance Share shall have an initial value equal to the Fair Market Value of a Share on the date of grant.</w:t>
      </w:r>
    </w:p>
    <w:p>
      <w:pPr>
        <w:spacing w:after="0" w:line="140"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Earning of Performance Units and Performance Shares</w:t>
      </w:r>
      <w:r>
        <w:rPr>
          <w:rFonts w:ascii="Arial" w:cs="Arial" w:eastAsia="Arial" w:hAnsi="Arial"/>
          <w:sz w:val="16"/>
          <w:szCs w:val="16"/>
          <w:color w:val="auto"/>
        </w:rPr>
        <w:t>. After the applicable Performance Period has ended, the holder of Performance Units or Performance Shares shall be entitled to payment based on the level of achievement of performance goals set by the Committee.</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74" w:right="519" w:bottom="1440" w:gutter="0" w:footer="0" w:header="0"/>
        </w:sectPr>
      </w:pPr>
    </w:p>
    <w:bookmarkStart w:id="29" w:name="page30"/>
    <w:bookmarkEnd w:id="29"/>
    <w:p>
      <w:pPr>
        <w:ind w:right="1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discretion of the Committee, the settlement of Performance Units or Performance Shares may be in cash, Shares of equivalent value, or in some combination thereof, as set forth in the Award Agreement.</w:t>
      </w:r>
    </w:p>
    <w:p>
      <w:pPr>
        <w:spacing w:after="0" w:line="170" w:lineRule="exact"/>
        <w:rPr>
          <w:sz w:val="20"/>
          <w:szCs w:val="20"/>
          <w:color w:val="auto"/>
        </w:rPr>
      </w:pPr>
    </w:p>
    <w:p>
      <w:pPr>
        <w:jc w:val="both"/>
        <w:ind w:right="100" w:firstLine="441"/>
        <w:spacing w:after="0" w:line="279" w:lineRule="auto"/>
        <w:rPr>
          <w:sz w:val="20"/>
          <w:szCs w:val="20"/>
          <w:color w:val="auto"/>
        </w:rPr>
      </w:pPr>
      <w:r>
        <w:rPr>
          <w:rFonts w:ascii="Arial" w:cs="Arial" w:eastAsia="Arial" w:hAnsi="Arial"/>
          <w:sz w:val="17"/>
          <w:szCs w:val="17"/>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171" w:lineRule="exact"/>
        <w:rPr>
          <w:sz w:val="20"/>
          <w:szCs w:val="20"/>
          <w:color w:val="auto"/>
        </w:rPr>
      </w:pPr>
    </w:p>
    <w:p>
      <w:pPr>
        <w:ind w:right="220" w:firstLine="441"/>
        <w:spacing w:after="0" w:line="308" w:lineRule="auto"/>
        <w:rPr>
          <w:sz w:val="20"/>
          <w:szCs w:val="20"/>
          <w:color w:val="auto"/>
        </w:rPr>
      </w:pPr>
      <w:r>
        <w:rPr>
          <w:rFonts w:ascii="Arial" w:cs="Arial" w:eastAsia="Arial" w:hAnsi="Arial"/>
          <w:sz w:val="17"/>
          <w:szCs w:val="17"/>
          <w:color w:val="auto"/>
        </w:rPr>
        <w:t>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DEFERRED STOCK AND RESTRICTED STOCK UNITS</w:t>
      </w:r>
    </w:p>
    <w:p>
      <w:pPr>
        <w:spacing w:after="0" w:line="21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 of Deferred Stock and Restricted Stock Units</w:t>
      </w:r>
      <w:r>
        <w:rPr>
          <w:rFonts w:ascii="Arial" w:cs="Arial" w:eastAsia="Arial" w:hAnsi="Arial"/>
          <w:sz w:val="18"/>
          <w:szCs w:val="18"/>
          <w:color w:val="auto"/>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Vesting and Delivery</w:t>
      </w:r>
      <w:r>
        <w:rPr>
          <w:rFonts w:ascii="Arial" w:cs="Arial" w:eastAsia="Arial" w:hAnsi="Arial"/>
          <w:sz w:val="18"/>
          <w:szCs w:val="18"/>
          <w:color w:val="auto"/>
        </w:rPr>
        <w:t>.</w:t>
      </w:r>
    </w:p>
    <w:p>
      <w:pPr>
        <w:spacing w:after="0" w:line="117" w:lineRule="exact"/>
        <w:rPr>
          <w:sz w:val="20"/>
          <w:szCs w:val="20"/>
          <w:color w:val="auto"/>
        </w:rPr>
      </w:pPr>
    </w:p>
    <w:p>
      <w:pPr>
        <w:ind w:right="60" w:firstLine="885"/>
        <w:spacing w:after="0" w:line="271" w:lineRule="auto"/>
        <w:tabs>
          <w:tab w:leader="none" w:pos="1126"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Delivery with Respect to Deferred Stock</w:t>
      </w:r>
      <w:r>
        <w:rPr>
          <w:rFonts w:ascii="Arial" w:cs="Arial" w:eastAsia="Arial" w:hAnsi="Arial"/>
          <w:sz w:val="17"/>
          <w:szCs w:val="17"/>
          <w:color w:val="auto"/>
        </w:rPr>
        <w:t>.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70" w:lineRule="exact"/>
        <w:rPr>
          <w:rFonts w:ascii="Arial" w:cs="Arial" w:eastAsia="Arial" w:hAnsi="Arial"/>
          <w:sz w:val="17"/>
          <w:szCs w:val="17"/>
          <w:color w:val="auto"/>
        </w:rPr>
      </w:pPr>
    </w:p>
    <w:p>
      <w:pPr>
        <w:ind w:right="40" w:firstLine="885"/>
        <w:spacing w:after="0" w:line="279" w:lineRule="auto"/>
        <w:tabs>
          <w:tab w:leader="none" w:pos="1136"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Delivery with Respect to Restricted Stock Units</w:t>
      </w:r>
      <w:r>
        <w:rPr>
          <w:rFonts w:ascii="Arial" w:cs="Arial" w:eastAsia="Arial" w:hAnsi="Arial"/>
          <w:sz w:val="17"/>
          <w:szCs w:val="17"/>
          <w:color w:val="auto"/>
        </w:rPr>
        <w:t>. Delivery of Shares subject to a grant of Restricted Stock Units shall occur no later than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73" w:lineRule="exact"/>
        <w:rPr>
          <w:sz w:val="20"/>
          <w:szCs w:val="20"/>
          <w:color w:val="auto"/>
        </w:rPr>
      </w:pPr>
    </w:p>
    <w:p>
      <w:pPr>
        <w:ind w:right="180" w:firstLine="441"/>
        <w:spacing w:after="0" w:line="273"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Voting and Dividend Equivalent Rights Attributable to Deferred Stock and Restricted Stock Units</w:t>
      </w:r>
      <w:r>
        <w:rPr>
          <w:rFonts w:ascii="Arial" w:cs="Arial" w:eastAsia="Arial" w:hAnsi="Arial"/>
          <w:sz w:val="17"/>
          <w:szCs w:val="17"/>
          <w:color w:val="auto"/>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EQUIVALENTS</w:t>
      </w:r>
    </w:p>
    <w:p>
      <w:pPr>
        <w:spacing w:after="0" w:line="211" w:lineRule="exact"/>
        <w:rPr>
          <w:sz w:val="20"/>
          <w:szCs w:val="20"/>
          <w:color w:val="auto"/>
        </w:rPr>
      </w:pPr>
    </w:p>
    <w:p>
      <w:pPr>
        <w:ind w:right="180" w:firstLine="441"/>
        <w:spacing w:after="0" w:line="271" w:lineRule="auto"/>
        <w:rPr>
          <w:sz w:val="20"/>
          <w:szCs w:val="20"/>
          <w:color w:val="auto"/>
        </w:rPr>
      </w:pPr>
      <w:r>
        <w:rPr>
          <w:rFonts w:ascii="Arial" w:cs="Arial" w:eastAsia="Arial" w:hAnsi="Arial"/>
          <w:sz w:val="17"/>
          <w:szCs w:val="17"/>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any payments in respect of any Dividend Equivalents granted in conjunction with any Options or SARs may not be conditioned, directly or indirectly, on the Grantee’s exercise of the Options or SARs or paid at the same time that the Options or SARs are exercised. The timing of payment or distribution of Dividend Equivalents must comply with the requirements of Section 409A of the Code.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BONUS SHARES</w:t>
      </w:r>
    </w:p>
    <w:p>
      <w:pPr>
        <w:spacing w:after="0" w:line="21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Subject to the terms of the Plan, the Committee may grant Bonus Shares to any Eligible Person, in such amount and upon such terms and at any time and from time to time as shall be determined by the Committee.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STOCK-BASED AWARDS</w:t>
      </w:r>
    </w:p>
    <w:p>
      <w:pPr>
        <w:spacing w:after="0" w:line="211"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31" w:name="page32"/>
    <w:bookmarkEnd w:id="31"/>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 AWARDS</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Subject to the terms of the Plan, the Board may grant Awards to any Non-Employee Director, in such amount and upon such terms and at any time and from time to time as shall be determined by the full Board in its sole discretion. Except as otherwise provided in Section 5.6(b), a Non-Employee Director may not be granted Awards with respect to Shares that have a Fair Market Value (determined as of the date of grant) in excess of $500,000 in a single calendar year.</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right="200" w:firstLine="441"/>
        <w:spacing w:after="0" w:line="276"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64"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WITH CODE SECTION 409A</w:t>
      </w:r>
    </w:p>
    <w:p>
      <w:pPr>
        <w:spacing w:after="0" w:line="211" w:lineRule="exact"/>
        <w:rPr>
          <w:sz w:val="20"/>
          <w:szCs w:val="20"/>
          <w:color w:val="auto"/>
        </w:rPr>
      </w:pPr>
    </w:p>
    <w:p>
      <w:pPr>
        <w:ind w:right="400" w:firstLine="441"/>
        <w:spacing w:after="0" w:line="264"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Awards Subject to Code Section 409A</w:t>
      </w:r>
      <w:r>
        <w:rPr>
          <w:rFonts w:ascii="Arial" w:cs="Arial" w:eastAsia="Arial" w:hAnsi="Arial"/>
          <w:sz w:val="18"/>
          <w:szCs w:val="18"/>
          <w:color w:val="auto"/>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spacing w:after="0" w:line="73"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Deferral and/or Distribution Elections</w:t>
      </w:r>
      <w:r>
        <w:rPr>
          <w:rFonts w:ascii="Arial" w:cs="Arial" w:eastAsia="Arial" w:hAnsi="Arial"/>
          <w:sz w:val="18"/>
          <w:szCs w:val="18"/>
          <w:color w:val="auto"/>
        </w:rPr>
        <w:t>. Except as otherwise permitted or required by Code Section 409A, the following rules shall apply to any deferral and/or elections as to the form or timing of distributions (each, an “Election”) that may be permitted or required by the Committee with respect to a 409A Award: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2" w:name="page33"/>
    <w:bookmarkEnd w:id="32"/>
    <w:p>
      <w:pPr>
        <w:ind w:right="640" w:firstLine="885"/>
        <w:spacing w:after="0" w:line="342" w:lineRule="auto"/>
        <w:tabs>
          <w:tab w:leader="none" w:pos="1126"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15" w:lineRule="exact"/>
        <w:rPr>
          <w:rFonts w:ascii="Arial" w:cs="Arial" w:eastAsia="Arial" w:hAnsi="Arial"/>
          <w:sz w:val="16"/>
          <w:szCs w:val="16"/>
          <w:color w:val="auto"/>
        </w:rPr>
      </w:pPr>
    </w:p>
    <w:p>
      <w:pPr>
        <w:ind w:right="80" w:firstLine="885"/>
        <w:spacing w:after="0" w:line="259" w:lineRule="auto"/>
        <w:tabs>
          <w:tab w:leader="none" w:pos="11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78" w:lineRule="exact"/>
        <w:rPr>
          <w:rFonts w:ascii="Arial" w:cs="Arial" w:eastAsia="Arial" w:hAnsi="Arial"/>
          <w:sz w:val="18"/>
          <w:szCs w:val="18"/>
          <w:color w:val="auto"/>
        </w:rPr>
      </w:pPr>
    </w:p>
    <w:p>
      <w:pPr>
        <w:ind w:right="480" w:firstLine="885"/>
        <w:spacing w:after="0" w:line="277" w:lineRule="auto"/>
        <w:tabs>
          <w:tab w:leader="none" w:pos="1126"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Unless otherwise provided by the Committee, an Election shall continue in effect until a written election to revoke or change such Election is received by the Committee, prior to the last day for making an Election for the subsequent year.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16.3 </w:t>
      </w:r>
      <w:r>
        <w:rPr>
          <w:rFonts w:ascii="Arial" w:cs="Arial" w:eastAsia="Arial" w:hAnsi="Arial"/>
          <w:sz w:val="17"/>
          <w:szCs w:val="17"/>
          <w:u w:val="single" w:color="auto"/>
          <w:color w:val="auto"/>
        </w:rPr>
        <w:t>Subsequent Elections</w:t>
      </w:r>
      <w:r>
        <w:rPr>
          <w:rFonts w:ascii="Arial" w:cs="Arial" w:eastAsia="Arial" w:hAnsi="Arial"/>
          <w:sz w:val="17"/>
          <w:szCs w:val="17"/>
          <w:color w:val="auto"/>
        </w:rPr>
        <w:t>. Except as otherwise permitted or required by Code Section 409A, any 409A Award which permits a subsequent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Election to further defer the distribution or change the form of distribution shall comply with the following requirements:</w:t>
      </w:r>
    </w:p>
    <w:p>
      <w:pPr>
        <w:spacing w:after="0" w:line="103" w:lineRule="exact"/>
        <w:rPr>
          <w:sz w:val="20"/>
          <w:szCs w:val="20"/>
          <w:color w:val="auto"/>
        </w:rPr>
      </w:pPr>
    </w:p>
    <w:p>
      <w:pPr>
        <w:ind w:left="1140" w:hanging="255"/>
        <w:spacing w:after="0"/>
        <w:tabs>
          <w:tab w:leader="none" w:pos="11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 subsequent Election may take effect until at least twelve (12) months after the date on which the subsequent Election is made;</w:t>
      </w:r>
    </w:p>
    <w:p>
      <w:pPr>
        <w:spacing w:after="0" w:line="128" w:lineRule="exact"/>
        <w:rPr>
          <w:rFonts w:ascii="Arial" w:cs="Arial" w:eastAsia="Arial" w:hAnsi="Arial"/>
          <w:sz w:val="17"/>
          <w:szCs w:val="17"/>
          <w:color w:val="auto"/>
        </w:rPr>
      </w:pPr>
    </w:p>
    <w:p>
      <w:pPr>
        <w:ind w:firstLine="885"/>
        <w:spacing w:after="0" w:line="308" w:lineRule="auto"/>
        <w:tabs>
          <w:tab w:leader="none" w:pos="11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38" w:lineRule="exact"/>
        <w:rPr>
          <w:rFonts w:ascii="Arial" w:cs="Arial" w:eastAsia="Arial" w:hAnsi="Arial"/>
          <w:sz w:val="17"/>
          <w:szCs w:val="17"/>
          <w:color w:val="auto"/>
        </w:rPr>
      </w:pPr>
    </w:p>
    <w:p>
      <w:pPr>
        <w:ind w:right="240" w:firstLine="885"/>
        <w:spacing w:after="0" w:line="277" w:lineRule="auto"/>
        <w:tabs>
          <w:tab w:leader="none" w:pos="1126"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subsequent Election related to a distribution to be made at a specified time or pursuant to a fixed schedule shall be made less than twelve (12) months prior to the date the first scheduled payment would otherwise be made.</w:t>
      </w:r>
    </w:p>
    <w:p>
      <w:pPr>
        <w:spacing w:after="0" w:line="62"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Distributions Pursuant to Deferral Elections</w:t>
      </w:r>
      <w:r>
        <w:rPr>
          <w:rFonts w:ascii="Arial" w:cs="Arial" w:eastAsia="Arial" w:hAnsi="Arial"/>
          <w:sz w:val="18"/>
          <w:szCs w:val="18"/>
          <w:color w:val="auto"/>
        </w:rPr>
        <w:t>. Except as otherwise permitted or required by Code Section 409A, no distribution in settlement of a 409A Award may commence earlier than:</w:t>
      </w:r>
    </w:p>
    <w:p>
      <w:pPr>
        <w:spacing w:after="0" w:line="62" w:lineRule="exact"/>
        <w:rPr>
          <w:sz w:val="20"/>
          <w:szCs w:val="20"/>
          <w:color w:val="auto"/>
        </w:rPr>
      </w:pPr>
    </w:p>
    <w:p>
      <w:pPr>
        <w:ind w:left="1140" w:hanging="255"/>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the Participant becomes Disabled (as defined in Section 2.15(b);</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117" w:lineRule="exact"/>
        <w:rPr>
          <w:rFonts w:ascii="Arial" w:cs="Arial" w:eastAsia="Arial" w:hAnsi="Arial"/>
          <w:sz w:val="18"/>
          <w:szCs w:val="18"/>
          <w:color w:val="auto"/>
        </w:rPr>
      </w:pPr>
    </w:p>
    <w:p>
      <w:pPr>
        <w:ind w:right="60" w:firstLine="885"/>
        <w:spacing w:after="0" w:line="342" w:lineRule="auto"/>
        <w:tabs>
          <w:tab w:leader="none" w:pos="11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15" w:lineRule="exact"/>
        <w:rPr>
          <w:rFonts w:ascii="Arial" w:cs="Arial" w:eastAsia="Arial" w:hAnsi="Arial"/>
          <w:sz w:val="16"/>
          <w:szCs w:val="16"/>
          <w:color w:val="auto"/>
        </w:rPr>
      </w:pPr>
    </w:p>
    <w:p>
      <w:pPr>
        <w:ind w:left="1140" w:hanging="255"/>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change in ownership of the Company or a substantial portion of its assets within the meaning of Treasury Regulation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1.409A-3(i)(5)(v) or (vii) or a change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effective control of the Company within the meaning of Treasury Regulation Section 1.409A-3(i)(5)(vi) (a “Change in Control”).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16.5 </w:t>
      </w:r>
      <w:r>
        <w:rPr>
          <w:rFonts w:ascii="Arial" w:cs="Arial" w:eastAsia="Arial" w:hAnsi="Arial"/>
          <w:sz w:val="16"/>
          <w:szCs w:val="16"/>
          <w:u w:val="single" w:color="auto"/>
          <w:color w:val="auto"/>
        </w:rPr>
        <w:t>Six Month Delay</w:t>
      </w:r>
      <w:r>
        <w:rPr>
          <w:rFonts w:ascii="Arial" w:cs="Arial" w:eastAsia="Arial" w:hAnsi="Arial"/>
          <w:sz w:val="16"/>
          <w:szCs w:val="16"/>
          <w:color w:val="auto"/>
        </w:rPr>
        <w:t>. Notwithstanding anything herein or in any Award Agreement or Election to the contrary, to the extent that distribution of a</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409A Award is triggered by a Grantee’s Separation from Service, if the Grantee is then a “specified employee” (as defined in Treasury Regulation Section 1.409A-1(i)), no distribution may be made before the date which is six (6) months after such Grantee’s Separation from Service, or, if earlier, the date of the Grantee’s death.</w:t>
      </w:r>
    </w:p>
    <w:p>
      <w:pPr>
        <w:spacing w:after="0" w:line="82" w:lineRule="exact"/>
        <w:rPr>
          <w:sz w:val="20"/>
          <w:szCs w:val="20"/>
          <w:color w:val="auto"/>
        </w:rPr>
      </w:pPr>
    </w:p>
    <w:p>
      <w:pPr>
        <w:jc w:val="both"/>
        <w:ind w:right="80" w:firstLine="441"/>
        <w:spacing w:after="0" w:line="259"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Death or Disability</w:t>
      </w:r>
      <w:r>
        <w:rPr>
          <w:rFonts w:ascii="Arial" w:cs="Arial" w:eastAsia="Arial" w:hAnsi="Arial"/>
          <w:sz w:val="18"/>
          <w:szCs w:val="18"/>
          <w:color w:val="auto"/>
        </w:rPr>
        <w:t>.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79" w:lineRule="exact"/>
        <w:rPr>
          <w:sz w:val="20"/>
          <w:szCs w:val="20"/>
          <w:color w:val="auto"/>
        </w:rPr>
      </w:pPr>
    </w:p>
    <w:p>
      <w:pPr>
        <w:jc w:val="both"/>
        <w:ind w:right="80" w:firstLine="441"/>
        <w:spacing w:after="0" w:line="277"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No Acceleration of Distributions</w:t>
      </w:r>
      <w:r>
        <w:rPr>
          <w:rFonts w:ascii="Arial" w:cs="Arial" w:eastAsia="Arial" w:hAnsi="Arial"/>
          <w:sz w:val="18"/>
          <w:szCs w:val="18"/>
          <w:color w:val="auto"/>
        </w:rPr>
        <w:t>. This Plan does not permit the acceleration of the time or schedule of any distribution under a 409A Award, except as provided by Code Section 409A and/or applicable regulations or rulings issued thereunder.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WITHHOLDING</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Required Withholding</w:t>
      </w:r>
      <w:r>
        <w:rPr>
          <w:rFonts w:ascii="Arial" w:cs="Arial" w:eastAsia="Arial" w:hAnsi="Arial"/>
          <w:sz w:val="18"/>
          <w:szCs w:val="18"/>
          <w:color w:val="auto"/>
        </w:rPr>
        <w:t>.</w:t>
      </w:r>
    </w:p>
    <w:p>
      <w:pPr>
        <w:spacing w:after="0" w:line="117" w:lineRule="exact"/>
        <w:rPr>
          <w:sz w:val="20"/>
          <w:szCs w:val="20"/>
          <w:color w:val="auto"/>
        </w:rPr>
      </w:pPr>
    </w:p>
    <w:p>
      <w:pPr>
        <w:ind w:right="60" w:firstLine="885"/>
        <w:spacing w:after="0" w:line="257" w:lineRule="auto"/>
        <w:tabs>
          <w:tab w:leader="none" w:pos="112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80" w:lineRule="exact"/>
        <w:rPr>
          <w:rFonts w:ascii="Arial" w:cs="Arial" w:eastAsia="Arial" w:hAnsi="Arial"/>
          <w:sz w:val="18"/>
          <w:szCs w:val="18"/>
          <w:color w:val="auto"/>
        </w:rPr>
      </w:pPr>
    </w:p>
    <w:p>
      <w:pPr>
        <w:ind w:left="880" w:right="80" w:firstLine="411"/>
        <w:spacing w:after="0" w:line="312" w:lineRule="auto"/>
        <w:tabs>
          <w:tab w:leader="none" w:pos="15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38" w:lineRule="exact"/>
        <w:rPr>
          <w:rFonts w:ascii="Arial" w:cs="Arial" w:eastAsia="Arial" w:hAnsi="Arial"/>
          <w:sz w:val="16"/>
          <w:szCs w:val="16"/>
          <w:color w:val="auto"/>
        </w:rPr>
      </w:pPr>
    </w:p>
    <w:p>
      <w:pPr>
        <w:ind w:left="1560" w:hanging="269"/>
        <w:spacing w:after="0"/>
        <w:tabs>
          <w:tab w:leader="none" w:pos="15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delivering part or all of the amount to be withheld in the form of Common Stock valued at its Fair Market Value on the Tax Date;</w:t>
      </w:r>
    </w:p>
    <w:p>
      <w:pPr>
        <w:spacing w:after="0" w:line="140" w:lineRule="exact"/>
        <w:rPr>
          <w:rFonts w:ascii="Arial" w:cs="Arial" w:eastAsia="Arial" w:hAnsi="Arial"/>
          <w:sz w:val="16"/>
          <w:szCs w:val="16"/>
          <w:color w:val="auto"/>
        </w:rPr>
      </w:pPr>
    </w:p>
    <w:p>
      <w:pPr>
        <w:ind w:left="880" w:right="340" w:firstLine="411"/>
        <w:spacing w:after="0" w:line="277" w:lineRule="auto"/>
        <w:tabs>
          <w:tab w:leader="none" w:pos="1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requesting the Company to withhold from those Shares that would otherwise be received upon exercise of the Option or SAR, upon the lapse of restrictions on Restricted Stock, or upon the transfer of Shares, a number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34" w:name="page35"/>
    <w:bookmarkEnd w:id="34"/>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having a Fair Market Value on the Tax Date equal to the amount to be withheld; or</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(iv) withholding from any compensation otherwise due to the Grantee.</w:t>
      </w:r>
    </w:p>
    <w:p>
      <w:pPr>
        <w:spacing w:after="0" w:line="117" w:lineRule="exact"/>
        <w:rPr>
          <w:sz w:val="20"/>
          <w:szCs w:val="20"/>
          <w:color w:val="auto"/>
        </w:rPr>
      </w:pPr>
    </w:p>
    <w:p>
      <w:pPr>
        <w:ind w:left="440" w:right="20" w:firstLine="423"/>
        <w:spacing w:after="0" w:line="293" w:lineRule="auto"/>
        <w:rPr>
          <w:sz w:val="20"/>
          <w:szCs w:val="20"/>
          <w:color w:val="auto"/>
        </w:rPr>
      </w:pPr>
      <w:r>
        <w:rPr>
          <w:rFonts w:ascii="Arial" w:cs="Arial" w:eastAsia="Arial" w:hAnsi="Arial"/>
          <w:sz w:val="16"/>
          <w:szCs w:val="16"/>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57" w:lineRule="exact"/>
        <w:rPr>
          <w:sz w:val="20"/>
          <w:szCs w:val="20"/>
          <w:color w:val="auto"/>
        </w:rPr>
      </w:pPr>
    </w:p>
    <w:p>
      <w:pPr>
        <w:ind w:right="160" w:firstLine="885"/>
        <w:spacing w:after="0" w:line="342" w:lineRule="auto"/>
        <w:tabs>
          <w:tab w:leader="none" w:pos="11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spacing w:after="0" w:line="16"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Notification under Code Section 83(b)</w:t>
      </w:r>
      <w:r>
        <w:rPr>
          <w:rFonts w:ascii="Arial" w:cs="Arial" w:eastAsia="Arial" w:hAnsi="Arial"/>
          <w:sz w:val="16"/>
          <w:szCs w:val="16"/>
          <w:color w:val="auto"/>
        </w:rPr>
        <w:t>. If the Grantee, in connection with the exercise of any Option, or the grant of Restricted Shares, makes the election permitted under Section 83(b) of the Code to include in such Grantee’s gross income in the year of transfer the amounts specified in Section 83(b) of the Code, then such Grantee shall notify the Company of such election within 10 days of filing the notice of the election with the Internal Revenue Service, in addition to any filing and notification required pursuant to regulations issued under Section 83(b) of the Code. The Committee may, in connection with the grant of an Award or at any time thereafter, prohibit a Grantee from making the election described above.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PROVISIONS</w:t>
      </w:r>
    </w:p>
    <w:p>
      <w:pPr>
        <w:spacing w:after="0" w:line="21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Successors</w:t>
      </w:r>
      <w:r>
        <w:rPr>
          <w:rFonts w:ascii="Arial" w:cs="Arial" w:eastAsia="Arial" w:hAnsi="Arial"/>
          <w:sz w:val="18"/>
          <w:szCs w:val="18"/>
          <w:color w:val="auto"/>
        </w:rPr>
        <w:t>.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73"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spacing w:after="0" w:line="7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The granting of Awards and the delivery of Shares under the Plan shall be subject to all applicable laws, rules, and regulations, and to such approvals by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5" w:name="page36"/>
    <w:bookmarkEnd w:id="3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w:t>
      </w:r>
    </w:p>
    <w:p>
      <w:pPr>
        <w:spacing w:after="0" w:line="117" w:lineRule="exact"/>
        <w:rPr>
          <w:sz w:val="20"/>
          <w:szCs w:val="20"/>
          <w:color w:val="auto"/>
        </w:rPr>
      </w:pPr>
    </w:p>
    <w:p>
      <w:pPr>
        <w:ind w:firstLine="885"/>
        <w:spacing w:after="0" w:line="287" w:lineRule="auto"/>
        <w:tabs>
          <w:tab w:leader="none" w:pos="1126"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60" w:lineRule="exact"/>
        <w:rPr>
          <w:rFonts w:ascii="Arial" w:cs="Arial" w:eastAsia="Arial" w:hAnsi="Arial"/>
          <w:sz w:val="16"/>
          <w:szCs w:val="16"/>
          <w:color w:val="auto"/>
        </w:rPr>
      </w:pPr>
    </w:p>
    <w:p>
      <w:pPr>
        <w:ind w:right="100" w:firstLine="885"/>
        <w:spacing w:after="0" w:line="302" w:lineRule="auto"/>
        <w:tabs>
          <w:tab w:leader="none" w:pos="11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46"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 xml:space="preserve">18.5 </w:t>
      </w:r>
      <w:r>
        <w:rPr>
          <w:rFonts w:ascii="Arial" w:cs="Arial" w:eastAsia="Arial" w:hAnsi="Arial"/>
          <w:sz w:val="16"/>
          <w:szCs w:val="16"/>
          <w:u w:val="single" w:color="auto"/>
          <w:color w:val="auto"/>
        </w:rPr>
        <w:t>Forfeiture Events</w:t>
      </w:r>
      <w:r>
        <w:rPr>
          <w:rFonts w:ascii="Arial" w:cs="Arial" w:eastAsia="Arial" w:hAnsi="Arial"/>
          <w:sz w:val="16"/>
          <w:szCs w:val="16"/>
          <w:color w:val="auto"/>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6" w:name="page37"/>
    <w:bookmarkEnd w:id="36"/>
    <w:p>
      <w:pPr>
        <w:ind w:right="2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46"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18.6 </w:t>
      </w:r>
      <w:r>
        <w:rPr>
          <w:rFonts w:ascii="Arial" w:cs="Arial" w:eastAsia="Arial" w:hAnsi="Arial"/>
          <w:sz w:val="16"/>
          <w:szCs w:val="16"/>
          <w:u w:val="single" w:color="auto"/>
          <w:color w:val="auto"/>
        </w:rPr>
        <w:t>No Rights as a Stockholder</w:t>
      </w:r>
      <w:r>
        <w:rPr>
          <w:rFonts w:ascii="Arial" w:cs="Arial" w:eastAsia="Arial" w:hAnsi="Arial"/>
          <w:sz w:val="16"/>
          <w:szCs w:val="16"/>
          <w:color w:val="auto"/>
        </w:rPr>
        <w:t>.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5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Nature of Payments</w:t>
      </w:r>
      <w:r>
        <w:rPr>
          <w:rFonts w:ascii="Arial" w:cs="Arial" w:eastAsia="Arial" w:hAnsi="Arial"/>
          <w:sz w:val="18"/>
          <w:szCs w:val="18"/>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80"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Non-Exclusivity of Plan</w:t>
      </w:r>
      <w:r>
        <w:rPr>
          <w:rFonts w:ascii="Arial" w:cs="Arial" w:eastAsia="Arial" w:hAnsi="Arial"/>
          <w:sz w:val="18"/>
          <w:szCs w:val="18"/>
          <w:color w:val="auto"/>
        </w:rPr>
        <w:t>.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w:t>
      </w:r>
    </w:p>
    <w:p>
      <w:pPr>
        <w:spacing w:after="0" w:line="73"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agreements hereunder, shall be construed in accordance with and governed by the laws of the State of Delaware,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80"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 xml:space="preserve">18.10 </w:t>
      </w:r>
      <w:r>
        <w:rPr>
          <w:rFonts w:ascii="Arial" w:cs="Arial" w:eastAsia="Arial" w:hAnsi="Arial"/>
          <w:sz w:val="17"/>
          <w:szCs w:val="17"/>
          <w:u w:val="single" w:color="auto"/>
          <w:color w:val="auto"/>
        </w:rPr>
        <w:t>Unfunded Status of Awards; Creation of Trusts</w:t>
      </w:r>
      <w:r>
        <w:rPr>
          <w:rFonts w:ascii="Arial" w:cs="Arial" w:eastAsia="Arial" w:hAnsi="Arial"/>
          <w:sz w:val="17"/>
          <w:szCs w:val="17"/>
          <w:color w:val="auto"/>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7" w:name="page38"/>
    <w:bookmarkEnd w:id="37"/>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Shares or other property pursuant to any Award which trusts or other arrangements shall be consistent with the “unfunded” status of the Plan unless the Committee otherwise determines.</w:t>
      </w:r>
    </w:p>
    <w:p>
      <w:pPr>
        <w:spacing w:after="0" w:line="62"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Affiliation</w:t>
      </w:r>
      <w:r>
        <w:rPr>
          <w:rFonts w:ascii="Arial" w:cs="Arial" w:eastAsia="Arial" w:hAnsi="Arial"/>
          <w:sz w:val="18"/>
          <w:szCs w:val="18"/>
          <w:color w:val="auto"/>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spacing w:after="0" w:line="73"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or officer shall have the right to be selected to receive an Award under this Plan or, having been so selected, to be selected to receive a future Award.</w:t>
      </w:r>
    </w:p>
    <w:p>
      <w:pPr>
        <w:spacing w:after="0" w:line="62"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Military Service</w:t>
      </w:r>
      <w:r>
        <w:rPr>
          <w:rFonts w:ascii="Arial" w:cs="Arial" w:eastAsia="Arial" w:hAnsi="Arial"/>
          <w:sz w:val="18"/>
          <w:szCs w:val="18"/>
          <w:color w:val="auto"/>
        </w:rPr>
        <w:t>. Awards shall be administered in accordance with Section 414(u) of the Code and the Uniformed Services Employment and Reemployment Rights Act of 1994.</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18.14 </w:t>
      </w:r>
      <w:r>
        <w:rPr>
          <w:rFonts w:ascii="Arial" w:cs="Arial" w:eastAsia="Arial" w:hAnsi="Arial"/>
          <w:sz w:val="16"/>
          <w:szCs w:val="16"/>
          <w:u w:val="single" w:color="auto"/>
          <w:color w:val="auto"/>
        </w:rPr>
        <w:t>Construction</w:t>
      </w:r>
      <w:r>
        <w:rPr>
          <w:rFonts w:ascii="Arial" w:cs="Arial" w:eastAsia="Arial" w:hAnsi="Arial"/>
          <w:sz w:val="16"/>
          <w:szCs w:val="16"/>
          <w:color w:val="auto"/>
        </w:rPr>
        <w:t>. The following rules of construction will apply to the Plan: (a) the word “or” is disjunctive but not necessarily exclusive, and</w:t>
      </w:r>
    </w:p>
    <w:p>
      <w:pPr>
        <w:spacing w:after="0" w:line="46" w:lineRule="exact"/>
        <w:rPr>
          <w:sz w:val="20"/>
          <w:szCs w:val="20"/>
          <w:color w:val="auto"/>
        </w:rPr>
      </w:pPr>
    </w:p>
    <w:p>
      <w:pPr>
        <w:ind w:right="120" w:firstLine="4"/>
        <w:spacing w:after="0" w:line="261"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words in the singular include the plural, words in the plural include the singular, and words in the neuter gender include the masculine and feminine genders and words in the masculine or feminine gender include the other neuter genders.</w:t>
      </w:r>
    </w:p>
    <w:p>
      <w:pPr>
        <w:spacing w:after="0" w:line="76"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articles and sections are included solely for convenience of reference, and if there is any conflict between such headings and the text of this Plan, the text shall control.</w:t>
      </w:r>
    </w:p>
    <w:p>
      <w:pPr>
        <w:spacing w:after="0" w:line="62"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 xml:space="preserve">18.16 </w:t>
      </w:r>
      <w:r>
        <w:rPr>
          <w:rFonts w:ascii="Arial" w:cs="Arial" w:eastAsia="Arial" w:hAnsi="Arial"/>
          <w:sz w:val="18"/>
          <w:szCs w:val="18"/>
          <w:u w:val="single" w:color="auto"/>
          <w:color w:val="auto"/>
        </w:rPr>
        <w:t>Obligations</w:t>
      </w:r>
      <w:r>
        <w:rPr>
          <w:rFonts w:ascii="Arial" w:cs="Arial" w:eastAsia="Arial" w:hAnsi="Arial"/>
          <w:sz w:val="18"/>
          <w:szCs w:val="18"/>
          <w:color w:val="auto"/>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73"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18.17 </w:t>
      </w:r>
      <w:r>
        <w:rPr>
          <w:rFonts w:ascii="Arial" w:cs="Arial" w:eastAsia="Arial" w:hAnsi="Arial"/>
          <w:sz w:val="18"/>
          <w:szCs w:val="18"/>
          <w:u w:val="single" w:color="auto"/>
          <w:color w:val="auto"/>
        </w:rPr>
        <w:t>No Right to Continue as Director</w:t>
      </w:r>
      <w:r>
        <w:rPr>
          <w:rFonts w:ascii="Arial" w:cs="Arial" w:eastAsia="Arial" w:hAnsi="Arial"/>
          <w:sz w:val="18"/>
          <w:szCs w:val="18"/>
          <w:color w:val="auto"/>
        </w:rPr>
        <w:t>. Nothing in the Plan or any Award Agreement shall confer upon any Non-Employee Director the right to continue to serve as a director of the Company.</w:t>
      </w:r>
    </w:p>
    <w:p>
      <w:pPr>
        <w:spacing w:after="0" w:line="62"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18.18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All Incentive Stock Options granted on or after the Effective Date and prior to the date the Company’s stockholders approve the Plan are expressly conditioned upon and subject to approval of the Plan by the Company’s stockholders.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303655" cy="266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303655" cy="26606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United States</w:t>
      </w:r>
    </w:p>
    <w:p>
      <w:pPr>
        <w:spacing w:after="0" w:line="224" w:lineRule="exact"/>
        <w:rPr>
          <w:sz w:val="20"/>
          <w:szCs w:val="20"/>
          <w:color w:val="auto"/>
        </w:rPr>
      </w:pPr>
    </w:p>
    <w:p>
      <w:pPr>
        <w:ind w:left="8380"/>
        <w:spacing w:after="0"/>
        <w:rPr>
          <w:sz w:val="20"/>
          <w:szCs w:val="20"/>
          <w:color w:val="auto"/>
        </w:rPr>
      </w:pPr>
      <w:r>
        <w:rPr>
          <w:rFonts w:ascii="Arial" w:cs="Arial" w:eastAsia="Arial" w:hAnsi="Arial"/>
          <w:sz w:val="16"/>
          <w:szCs w:val="16"/>
          <w:color w:val="auto"/>
        </w:rPr>
        <w:t>Salans FMC SNR Denton McKenna Long</w:t>
      </w:r>
    </w:p>
    <w:p>
      <w:pPr>
        <w:spacing w:after="0" w:line="46" w:lineRule="exact"/>
        <w:rPr>
          <w:sz w:val="20"/>
          <w:szCs w:val="20"/>
          <w:color w:val="auto"/>
        </w:rPr>
      </w:pPr>
    </w:p>
    <w:p>
      <w:pPr>
        <w:ind w:left="10500"/>
        <w:spacing w:after="0"/>
        <w:rPr>
          <w:sz w:val="20"/>
          <w:szCs w:val="20"/>
          <w:color w:val="auto"/>
        </w:rPr>
      </w:pPr>
      <w:r>
        <w:rPr>
          <w:rFonts w:ascii="Arial" w:cs="Arial" w:eastAsia="Arial" w:hAnsi="Arial"/>
          <w:sz w:val="16"/>
          <w:szCs w:val="16"/>
          <w:color w:val="auto"/>
        </w:rPr>
        <w:t>dentons.com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June 21,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Arcturus Therapeutics Holdings Inc.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our capacity as counsel to Arcturus Therapeutics Holdings Inc., a Delaware corporation (the “Company”), we have been asked to render this opinion in connection with a registration statement on Form S-8 (the “Registration Statement”), being filed contemporaneously herewith by the Company with the Securities and Exchange Commission under the Securities Act of 1933, as amended (the “Act”), covering an aggregate of 2,600,000 shares (the “Shares”) of common stock, par value $0.001 per share, of the Company issuable pursuant to the terms of the Company’s 2019 Omnibus Equity Incentive Plan (the “Plan”).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rendering this opinion, we have examined (i) the Company’s Certificate of Incorporation, (ii) the Company’s By-Laws, (iii) the Plan,</w:t>
      </w:r>
    </w:p>
    <w:p>
      <w:pPr>
        <w:spacing w:after="0" w:line="35" w:lineRule="exact"/>
        <w:rPr>
          <w:sz w:val="20"/>
          <w:szCs w:val="20"/>
          <w:color w:val="auto"/>
        </w:rPr>
      </w:pPr>
    </w:p>
    <w:p>
      <w:pPr>
        <w:ind w:right="340" w:firstLine="8"/>
        <w:spacing w:after="0" w:line="261" w:lineRule="auto"/>
        <w:tabs>
          <w:tab w:leader="none" w:pos="3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Registration Statement, (v) corporate proceedings of the Company relating to the Plan, and (vi) such other instruments and documents as we have deemed relevant under the circumstances.</w:t>
      </w:r>
    </w:p>
    <w:p>
      <w:pPr>
        <w:spacing w:after="0" w:line="18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making the aforesaid examinations, we have assumed the genuineness of all signatures, the authority of the persons who executed such documents, the authenticity of all documents submitted to us as originals, the conformity to the original documents of all documents submitted to us as copies, and the due execution and delivery of all documents by any persons or entities where due execution and delivery by such persons or entities is a prerequisite to the effectiveness of such documents. As to various factual matters that are material to this opinion, we have relied upon certificates of public officials and certificates, resolutions, documents, statements and other information of the Company or its representatives. In addition, for purposes of this opinion, we have assumed that a sufficient number of authorized but unissued shares of the Company’s common stock, par value $0.001 per share, will be available for issuance when the Shares are issued. We have not independently verified or investigated, nor do we assume any responsibility for, the factual accuracy or completeness of such factual statements. We have also assumed that the corporate records furnished to us by the Company include all corporate proceedings taken by the Company to date.</w:t>
      </w:r>
    </w:p>
    <w:p>
      <w:pPr>
        <w:spacing w:after="0" w:line="19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Based upon the foregoing and subject to the assumptions and qualifications set forth herein, we are of the opinion that the Shares have been duly and validly authorized and, when issued and paid for in accordance with the terms of the Plan, will be duly and validly issued, fully paid and non-assessable.</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foregoing opinion is limited to the laws of the United States of America and Delaware corporate law (which includes the Delaware General Corporation Law and applicable provisions of the Delaware constitution, as well as reported judicial opinions interpreting same), as now in effect and that, in the exercise of reasonable professional judgment, are normally considered in transactions such as the issuance of the Shares, and the foregoing opinion does not purport to express any opinion on the laws of any other jurisdiction. This opinion is provided for use solely in connection with the sale of the Shares, and except for its use in connection with such sale, may not be furnished to, quoted from or relied upon by any other person, firm, or corporation without our express written consent. No opinion may be implied or inferred beyond the opinion expressly stated in the paragraph immediately above. The opinion expressed herein is as of the date hereof, and we undertake no obligation to advise you of any changes in applicable law or any other matters that may come to our attention after the date hereof that may affect our opinions expressed herein.</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hereby consent to the use of our opinion as an exhibit to the Registration Statement. In giving such consent, we do not hereby admit that we come within the category of persons whose consent is required under Section 7 of the Act, or the rules and regulations of the Securities and Exchange Commission thereunder.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Dentons US LLP</w:t>
      </w:r>
    </w:p>
    <w:p>
      <w:pPr>
        <w:spacing w:after="0" w:line="1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Dentons US LLP</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Arcturus Therapeutics Holdings Inc. 2019 Omnibus Equity Incentive Plan of our report dated March 15, 2019, with respect to the consolidated financial statements of Arcturus Therapeutics Ltd. included in its Annual Report (Form 10-K) for the year ended December 31, 2018, filed with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21, 2019</w:t>
      </w:r>
    </w:p>
    <w:p>
      <w:pPr>
        <w:sectPr>
          <w:pgSz w:w="11900" w:h="16838" w:orient="portrait"/>
          <w:cols w:equalWidth="0" w:num="1">
            <w:col w:w="11020"/>
          </w:cols>
          <w:pgMar w:left="440" w:top="121"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ACCOUNTING FIRM</w:t>
      </w:r>
    </w:p>
    <w:p>
      <w:pPr>
        <w:spacing w:after="0" w:line="229" w:lineRule="exact"/>
        <w:rPr>
          <w:sz w:val="20"/>
          <w:szCs w:val="20"/>
          <w:color w:val="auto"/>
        </w:rPr>
      </w:pPr>
    </w:p>
    <w:p>
      <w:pPr>
        <w:jc w:val="both"/>
        <w:ind w:right="220" w:firstLine="441"/>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2019 Omnibus Equity Incentive Plan of Arcturus Therapeutics Holdings Inc. of our report dated May 14, 2018, with respect to the consolidated financial statements of Arcturus Therapeutics Ltd. included in its Annual Report (Form 10-K) for the year ended December 31, 2018, filed with the Securities and Exchange Commission</w:t>
      </w:r>
    </w:p>
    <w:p>
      <w:pPr>
        <w:spacing w:after="0" w:line="174"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KOST FORER GABBAY &amp; KASIERER</w:t>
      </w:r>
    </w:p>
    <w:p>
      <w:pPr>
        <w:sectPr>
          <w:pgSz w:w="11900" w:h="16838" w:orient="portrait"/>
          <w:cols w:equalWidth="0" w:num="1">
            <w:col w:w="11020"/>
          </w:cols>
          <w:pgMar w:left="440" w:top="121"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Tel-Aviv, Israel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June 21, 2019</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080"/>
        <w:spacing w:after="0"/>
        <w:rPr>
          <w:sz w:val="20"/>
          <w:szCs w:val="20"/>
          <w:color w:val="auto"/>
        </w:rPr>
      </w:pPr>
      <w:r>
        <w:rPr>
          <w:rFonts w:ascii="Arial" w:cs="Arial" w:eastAsia="Arial" w:hAnsi="Arial"/>
          <w:sz w:val="17"/>
          <w:szCs w:val="17"/>
          <w:color w:val="auto"/>
        </w:rPr>
        <w:t>KOST FORER GABBAY &amp; KASIERER</w:t>
      </w:r>
    </w:p>
    <w:p>
      <w:pPr>
        <w:spacing w:after="0" w:line="35"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A member of Ernst &amp; Young global</w:t>
      </w:r>
    </w:p>
    <w:sectPr>
      <w:pgSz w:w="11900" w:h="16838" w:orient="portrait"/>
      <w:cols w:equalWidth="0" w:num="2">
        <w:col w:w="6220" w:space="720"/>
        <w:col w:w="408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lowerRoman"/>
      <w:start w:val="2"/>
    </w:lvl>
  </w:abstractNum>
  <w:abstractNum w:abstractNumId="4">
    <w:nsid w:val="333AB105"/>
    <w:multiLevelType w:val="hybridMultilevel"/>
    <w:lvl w:ilvl="0">
      <w:lvlJc w:val="left"/>
      <w:lvlText w:val="%1."/>
      <w:numFmt w:val="decimal"/>
      <w:start w:val="2"/>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1"/>
      <w:numFmt w:val="lowerLetter"/>
      <w:start w:val="1"/>
    </w:lvl>
    <w:lvl w:ilvl="1">
      <w:lvlJc w:val="left"/>
      <w:lvlText w:val="(%2)"/>
      <w:numFmt w:val="lowerLetter"/>
      <w:start w:val="1"/>
    </w:lvl>
  </w:abstractNum>
  <w:abstractNum w:abstractNumId="7">
    <w:nsid w:val="2D1D5AE9"/>
    <w:multiLevelType w:val="hybridMultilevel"/>
    <w:lvl w:ilvl="0">
      <w:lvlJc w:val="left"/>
      <w:lvlText w:val="(%1)"/>
      <w:numFmt w:val="lowerLetter"/>
      <w:start w:val="9"/>
    </w:lvl>
    <w:lvl w:ilvl="1">
      <w:lvlJc w:val="left"/>
      <w:lvlText w:val="(%2)"/>
      <w:numFmt w:val="lowerLetter"/>
      <w:start w:val="3"/>
    </w:lvl>
  </w:abstractNum>
  <w:abstractNum w:abstractNumId="8">
    <w:nsid w:val="6763845E"/>
    <w:multiLevelType w:val="hybridMultilevel"/>
    <w:lvl w:ilvl="0">
      <w:lvlJc w:val="left"/>
      <w:lvlText w:val="(%1)"/>
      <w:numFmt w:val="lowerLetter"/>
      <w:start w:val="1"/>
    </w:lvl>
    <w:lvl w:ilvl="1">
      <w:lvlJc w:val="left"/>
      <w:lvlText w:val="(%2)"/>
      <w:numFmt w:val="lowerRoman"/>
      <w:start w:val="1"/>
    </w:lvl>
  </w:abstractNum>
  <w:abstractNum w:abstractNumId="9">
    <w:nsid w:val="75A2A8D4"/>
    <w:multiLevelType w:val="hybridMultilevel"/>
    <w:lvl w:ilvl="0">
      <w:lvlJc w:val="left"/>
      <w:lvlText w:val="(%1)"/>
      <w:numFmt w:val="lowerLetter"/>
      <w:start w:val="2"/>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2"/>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1)"/>
      <w:numFmt w:val="lowerLetter"/>
      <w:start w:val="5"/>
    </w:lvl>
  </w:abstractNum>
  <w:abstractNum w:abstractNumId="14">
    <w:nsid w:val="189A769B"/>
    <w:multiLevelType w:val="hybridMultilevel"/>
    <w:lvl w:ilvl="0">
      <w:lvlJc w:val="left"/>
      <w:lvlText w:val="(%1)"/>
      <w:numFmt w:val="lowerLetter"/>
      <w:start w:val="16"/>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35"/>
    </w:lvl>
    <w:lvl w:ilvl="1">
      <w:lvlJc w:val="left"/>
      <w:lvlText w:val="(%2)"/>
      <w:numFmt w:val="lowerLetter"/>
      <w:start w:val="3"/>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1)"/>
      <w:numFmt w:val="lowerLetter"/>
      <w:start w:val="2"/>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Letter"/>
      <w:start w:val="8"/>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Roman"/>
      <w:start w:val="10"/>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25"/>
    </w:lvl>
  </w:abstractNum>
  <w:abstractNum w:abstractNumId="28">
    <w:nsid w:val="3006C83E"/>
    <w:multiLevelType w:val="hybridMultilevel"/>
    <w:lvl w:ilvl="0">
      <w:lvlJc w:val="left"/>
      <w:lvlText w:val="(%1)"/>
      <w:numFmt w:val="lowerLetter"/>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1"/>
    </w:lvl>
    <w:lvl w:ilvl="1">
      <w:lvlJc w:val="left"/>
      <w:lvlText w:val="(%2)"/>
      <w:numFmt w:val="lowerRoman"/>
      <w:start w:val="1"/>
    </w:lvl>
  </w:abstractNum>
  <w:abstractNum w:abstractNumId="34">
    <w:nsid w:val="3804823E"/>
    <w:multiLevelType w:val="hybridMultilevel"/>
    <w:lvl w:ilvl="0">
      <w:lvlJc w:val="left"/>
      <w:lvlText w:val="(%1)"/>
      <w:numFmt w:val="lowerLetter"/>
      <w:start w:val="2"/>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lowerLetter"/>
      <w:start w:val="2"/>
    </w:lvl>
  </w:abstractNum>
  <w:abstractNum w:abstractNumId="37">
    <w:nsid w:val="5C482A9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jpeg"/><Relationship Id="rId18" Type="http://schemas.openxmlformats.org/officeDocument/2006/relationships/hyperlink" Target="http://www.sec.gov/Archives/edgar/data/1566049/000156459019008092/arct-10k_20181231.htm" TargetMode="External"/><Relationship Id="rId19" Type="http://schemas.openxmlformats.org/officeDocument/2006/relationships/hyperlink" Target="http://www.sec.gov/Archives/edgar/data/1566049/000156459019018656/arct-10q_20190331.htm" TargetMode="External"/><Relationship Id="rId20" Type="http://schemas.openxmlformats.org/officeDocument/2006/relationships/hyperlink" Target="http://www.sec.gov/Archives/edgar/data/1768224/000119312519176112/d754519d8k.htm" TargetMode="External"/><Relationship Id="rId21" Type="http://schemas.openxmlformats.org/officeDocument/2006/relationships/hyperlink" Target="http://www.sec.gov/Archives/edgar/data/1566049/000119312519176908/d721252d8k.htm" TargetMode="External"/><Relationship Id="rId22" Type="http://schemas.openxmlformats.org/officeDocument/2006/relationships/hyperlink" Target="http://www.sec.gov/Archives/edgar/data/1566049/000114420413030169/v345563_8a12b.htm" TargetMode="External"/><Relationship Id="rId23" Type="http://schemas.openxmlformats.org/officeDocument/2006/relationships/hyperlink" Target="http://www.sec.gov/Archives/edgar/data/1768224/000119312519173808/d826633d8k12b.htm" TargetMode="External"/><Relationship Id="rId26" Type="http://schemas.openxmlformats.org/officeDocument/2006/relationships/hyperlink" Target="http://www.sec.gov/Archives/edgar/data/1566049/000119312519077140/d721306ds4.htm#annexb" TargetMode="External"/><Relationship Id="rId27" Type="http://schemas.openxmlformats.org/officeDocument/2006/relationships/hyperlink" Target="http://www.sec.gov/Archives/edgar/data/1566049/000119312519077140/d721306ds4.htm#annexc"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2019-12-01T13:50:41Z</dcterms:created>
  <dcterms:modified xsi:type="dcterms:W3CDTF">2019-12-01T13:50:41Z</dcterms:modified>
</cp:coreProperties>
</file>