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212529"/>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Date of Report (Date of earliest event reported): June 14,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12529"/>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(Exact name of registrant as specified in its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6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rPr>
              <w:t>San Diego, California 92121</w:t>
            </w:r>
          </w:p>
        </w:tc>
        <w:tc>
          <w:tcPr>
            <w:tcW w:w="1640" w:type="dxa"/>
            <w:vAlign w:val="bottom"/>
          </w:tcPr>
          <w:p>
            <w:pPr>
              <w:spacing w:after="0"/>
              <w:rPr>
                <w:sz w:val="18"/>
                <w:szCs w:val="18"/>
                <w:color w:val="auto"/>
              </w:rPr>
            </w:pPr>
          </w:p>
        </w:tc>
      </w:tr>
      <w:tr>
        <w:trPr>
          <w:trHeight w:val="238"/>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212529"/>
                <w:w w:val="99"/>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212529"/>
                <w:w w:val="99"/>
              </w:rPr>
              <w:t>(Former name or former address, if changed since last report)</w:t>
            </w:r>
          </w:p>
        </w:tc>
        <w:tc>
          <w:tcPr>
            <w:tcW w:w="164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212529"/>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10"/>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ARCT</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Emerging growth company </w:t>
      </w:r>
      <w:r>
        <w:rPr>
          <w:rFonts w:ascii="MS PGothic" w:cs="MS PGothic" w:eastAsia="MS PGothic" w:hAnsi="MS PGothic"/>
          <w:sz w:val="18"/>
          <w:szCs w:val="18"/>
          <w:color w:val="212529"/>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212529"/>
        </w:rPr>
        <w:t xml:space="preserve">On June 14, 2024, Arcturus Therapeutics Holdings Inc. (the “Company”) held its annual meeting of stockholders (the “Meeting”). </w:t>
      </w:r>
      <w:r>
        <w:rPr>
          <w:rFonts w:ascii="Times New Roman" w:cs="Times New Roman" w:eastAsia="Times New Roman" w:hAnsi="Times New Roman"/>
          <w:sz w:val="18"/>
          <w:szCs w:val="18"/>
          <w:color w:val="000000"/>
        </w:rPr>
        <w:t>At the Meeting,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Company’s stockholders approved an amendment </w:t>
      </w:r>
      <w:r>
        <w:rPr>
          <w:rFonts w:ascii="Times New Roman" w:cs="Times New Roman" w:eastAsia="Times New Roman" w:hAnsi="Times New Roman"/>
          <w:sz w:val="18"/>
          <w:szCs w:val="18"/>
          <w:color w:val="212529"/>
        </w:rPr>
        <w:t>to the Company’s Amended and Restated 2019 Omnibus Equity Incentive Plan as amended (the “Plan”),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to, among other things, increase the maximum number of shares of common stock available to Plan participants thereunder by 2,000,000 shares to an aggregate of 10,750,000 shares (the “Amendment”).</w:t>
      </w:r>
    </w:p>
    <w:p>
      <w:pPr>
        <w:spacing w:after="0" w:line="18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of the Amendment is set forth under the heading “Proposal Number 2 —To Approve the Amendment to the Amended and Restated 2019 Omnibus Equity Incentive Plan” in the proxy statement filed with the Securities and Exchange Commission (the “SEC”) on April 29, 2024, which description is hereby incorporated into this Item 5.02 by reference. A copy of the Plan, as amended by the Amendment, is attached hereto as Exhibit 10.1 and is incorporated into this Item 5.02 by reference.</w:t>
      </w:r>
    </w:p>
    <w:p>
      <w:pPr>
        <w:spacing w:after="0" w:line="17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12529"/>
        </w:rPr>
        <w:t>The total number of shares entitled to vote at the Meeting was 26,928,041 and there were present at the Meeting, in person or by proxy, 23,309,890 shares, which constituted a quorum for the Meeting.</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2529"/>
        </w:rPr>
        <w:t>At the Meeting, the stockholders voted on the following proposals, each of which is described in more detail in the Company’s definitive proxy statement filed with the SEC on April 29, 2024:</w:t>
      </w:r>
    </w:p>
    <w:p>
      <w:pPr>
        <w:spacing w:after="0" w:line="162" w:lineRule="exact"/>
        <w:rPr>
          <w:sz w:val="20"/>
          <w:szCs w:val="20"/>
          <w:color w:val="auto"/>
        </w:rPr>
      </w:pPr>
    </w:p>
    <w:p>
      <w:pPr>
        <w:ind w:right="2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elect Dr. Peter Farrell, Joseph E. Payne, Andy Sassine, James Barlow, Dr. Edward W. Holmes, Dr. Magda Marquet, Dr. Jing L. Marantz and Dr. John H. Markels to the Board of Directors (the “Board”), to serve until the Company’s next annual meeting of stockholders;</w:t>
      </w:r>
    </w:p>
    <w:p>
      <w:pPr>
        <w:spacing w:after="0" w:line="161" w:lineRule="exact"/>
        <w:rPr>
          <w:rFonts w:ascii="Times New Roman" w:cs="Times New Roman" w:eastAsia="Times New Roman" w:hAnsi="Times New Roman"/>
          <w:sz w:val="18"/>
          <w:szCs w:val="18"/>
          <w:color w:val="212529"/>
        </w:rPr>
      </w:pPr>
    </w:p>
    <w:p>
      <w:pPr>
        <w:ind w:right="500" w:firstLine="8"/>
        <w:spacing w:after="0" w:line="312" w:lineRule="auto"/>
        <w:tabs>
          <w:tab w:leader="none" w:pos="255" w:val="left"/>
        </w:tabs>
        <w:numPr>
          <w:ilvl w:val="0"/>
          <w:numId w:val="2"/>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212529"/>
        </w:rPr>
        <w:t>To approve the Amendment to the Amended and Restated 2019 Omnibus Equity Incentive Plan, as amended, to, among other things, increase the maximum number of shares of common stock available to Plan participants thereunder by 2,000,000 shares to an aggregate of 10,750,000 shares;</w:t>
      </w:r>
    </w:p>
    <w:p>
      <w:pPr>
        <w:spacing w:after="0" w:line="139" w:lineRule="exact"/>
        <w:rPr>
          <w:rFonts w:ascii="Times New Roman" w:cs="Times New Roman" w:eastAsia="Times New Roman" w:hAnsi="Times New Roman"/>
          <w:sz w:val="17"/>
          <w:szCs w:val="17"/>
          <w:color w:val="212529"/>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approve, on a non-binding advisory basis, the resolution approving named executive officer compensation; and</w:t>
      </w:r>
    </w:p>
    <w:p>
      <w:pPr>
        <w:spacing w:after="0" w:line="225" w:lineRule="exact"/>
        <w:rPr>
          <w:rFonts w:ascii="Times New Roman" w:cs="Times New Roman" w:eastAsia="Times New Roman" w:hAnsi="Times New Roman"/>
          <w:sz w:val="18"/>
          <w:szCs w:val="18"/>
          <w:color w:val="212529"/>
        </w:rPr>
      </w:pPr>
    </w:p>
    <w:p>
      <w:pPr>
        <w:ind w:right="560" w:firstLine="8"/>
        <w:spacing w:after="0" w:line="282" w:lineRule="auto"/>
        <w:tabs>
          <w:tab w:leader="none" w:pos="255" w:val="left"/>
        </w:tabs>
        <w:numPr>
          <w:ilvl w:val="0"/>
          <w:numId w:val="2"/>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To ratify the appointment of Deloitte &amp; Touche LLP (“Deloitte”), as our independent registered public accounting firm for the fiscal year ending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final results of the stockholder votes at the Meeting are set forth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Proposal No.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For</w:t>
            </w: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Withhold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178"/>
        </w:trPr>
        <w:tc>
          <w:tcPr>
            <w:tcW w:w="642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election of the following individuals as directors of the Company, as</w:t>
            </w:r>
          </w:p>
        </w:tc>
        <w:tc>
          <w:tcPr>
            <w:tcW w:w="1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r>
      <w:tr>
        <w:trPr>
          <w:trHeight w:val="23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provided in Proposal Number 1 of the Proxy Statement:</w:t>
            </w: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Peter Farrell</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20,844,568</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159,554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E. Payne</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20,922,344</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81,778</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Andy Sassine</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20,734,162</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269,960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Barlow</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20,454,267</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549,855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Edward W. Holmes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19,895,980</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1,108,142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Magda Marquet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20,414,805</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589,317</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 Jing L. Marantz</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20,390,182</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613,940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John H. Markels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20,740,090</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264,032</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2,305,768</w:t>
            </w:r>
          </w:p>
        </w:tc>
      </w:tr>
      <w:tr>
        <w:trPr>
          <w:trHeight w:val="567"/>
        </w:trPr>
        <w:tc>
          <w:tcPr>
            <w:tcW w:w="2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ind w:right="760"/>
        <w:spacing w:after="0" w:line="282" w:lineRule="auto"/>
        <w:rPr>
          <w:sz w:val="20"/>
          <w:szCs w:val="20"/>
          <w:color w:val="auto"/>
        </w:rPr>
      </w:pPr>
      <w:r>
        <w:rPr>
          <w:rFonts w:ascii="Times New Roman" w:cs="Times New Roman" w:eastAsia="Times New Roman" w:hAnsi="Times New Roman"/>
          <w:sz w:val="18"/>
          <w:szCs w:val="18"/>
          <w:color w:val="212529"/>
        </w:rPr>
        <w:t>Each of the eight nominees was elected to the Board, each to hold office until the Company’s 2025 annual meeting of stockholders and until their respective successors are elected and qualified.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Proposal No. 2</w:t>
            </w:r>
          </w:p>
        </w:tc>
        <w:tc>
          <w:tcPr>
            <w:tcW w:w="1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color w:val="auto"/>
              </w:rPr>
              <w:t>For</w:t>
            </w:r>
          </w:p>
        </w:tc>
        <w:tc>
          <w:tcPr>
            <w:tcW w:w="1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Against</w:t>
            </w:r>
          </w:p>
        </w:tc>
        <w:tc>
          <w:tcPr>
            <w:tcW w:w="1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Abstain</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Broker Non-Votes</w:t>
            </w:r>
          </w:p>
        </w:tc>
        <w:tc>
          <w:tcPr>
            <w:tcW w:w="0" w:type="dxa"/>
            <w:vAlign w:val="bottom"/>
          </w:tcPr>
          <w:p>
            <w:pPr>
              <w:spacing w:after="0"/>
              <w:rPr>
                <w:sz w:val="1"/>
                <w:szCs w:val="1"/>
                <w:color w:val="auto"/>
              </w:rPr>
            </w:pPr>
          </w:p>
        </w:tc>
      </w:tr>
      <w:tr>
        <w:trPr>
          <w:trHeight w:val="237"/>
        </w:trPr>
        <w:tc>
          <w:tcPr>
            <w:tcW w:w="1080" w:type="dxa"/>
            <w:vAlign w:val="bottom"/>
            <w:tcBorders>
              <w:top w:val="single" w:sz="8" w:color="212529"/>
            </w:tcBorders>
          </w:tcPr>
          <w:p>
            <w:pPr>
              <w:spacing w:after="0"/>
              <w:rPr>
                <w:sz w:val="20"/>
                <w:szCs w:val="20"/>
                <w:color w:val="auto"/>
              </w:rPr>
            </w:pPr>
          </w:p>
        </w:tc>
        <w:tc>
          <w:tcPr>
            <w:tcW w:w="406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14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Approval of the Amendment to the Company’s Plan, as provided in</w:t>
            </w:r>
          </w:p>
        </w:tc>
        <w:tc>
          <w:tcPr>
            <w:tcW w:w="1340" w:type="dxa"/>
            <w:vAlign w:val="bottom"/>
            <w:tcBorders>
              <w:top w:val="single" w:sz="8" w:color="auto"/>
            </w:tcBorders>
            <w:shd w:val="clear" w:color="auto" w:fill="CCEEFF"/>
          </w:tcPr>
          <w:p>
            <w:pPr>
              <w:ind w:left="520"/>
              <w:spacing w:after="0" w:line="177" w:lineRule="exact"/>
              <w:rPr>
                <w:sz w:val="20"/>
                <w:szCs w:val="20"/>
                <w:color w:val="auto"/>
              </w:rPr>
            </w:pPr>
            <w:r>
              <w:rPr>
                <w:rFonts w:ascii="Times New Roman" w:cs="Times New Roman" w:eastAsia="Times New Roman" w:hAnsi="Times New Roman"/>
                <w:sz w:val="18"/>
                <w:szCs w:val="18"/>
                <w:color w:val="auto"/>
                <w:w w:val="98"/>
              </w:rPr>
              <w:t>13,464,434</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7,356,256</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183,432</w:t>
            </w:r>
          </w:p>
        </w:tc>
        <w:tc>
          <w:tcPr>
            <w:tcW w:w="2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2,305,768</w:t>
            </w:r>
          </w:p>
        </w:tc>
        <w:tc>
          <w:tcPr>
            <w:tcW w:w="0" w:type="dxa"/>
            <w:vAlign w:val="bottom"/>
          </w:tcPr>
          <w:p>
            <w:pPr>
              <w:spacing w:after="0"/>
              <w:rPr>
                <w:sz w:val="1"/>
                <w:szCs w:val="1"/>
                <w:color w:val="auto"/>
              </w:rPr>
            </w:pPr>
          </w:p>
        </w:tc>
      </w:tr>
      <w:tr>
        <w:trPr>
          <w:trHeight w:val="234"/>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Proposal Number 2 of the Proxy Statement:</w:t>
            </w: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702"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212529"/>
        </w:rPr>
        <w:t>The proposal was approved.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Proposal No. 3</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Approval, </w:t>
      </w:r>
      <w:r>
        <w:rPr>
          <w:rFonts w:ascii="Times New Roman" w:cs="Times New Roman" w:eastAsia="Times New Roman" w:hAnsi="Times New Roman"/>
          <w:sz w:val="18"/>
          <w:szCs w:val="18"/>
          <w:color w:val="212529"/>
        </w:rPr>
        <w:t>on a non-binding advisory basis, the resolution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approving named executive officer compensation</w:t>
      </w:r>
      <w:r>
        <w:rPr>
          <w:rFonts w:ascii="Times New Roman" w:cs="Times New Roman" w:eastAsia="Times New Roman" w:hAnsi="Times New Roman"/>
          <w:sz w:val="18"/>
          <w:szCs w:val="18"/>
          <w:color w:val="000000"/>
        </w:rPr>
        <w:t>, referred to 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“say-on-pay,” as provided in Proposal Number 3 of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Against</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Abstain</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8"/>
        </w:trPr>
        <w:tc>
          <w:tcPr>
            <w:tcW w:w="13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19,875,930</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1,069,592</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58,600</w:t>
            </w:r>
          </w:p>
        </w:tc>
        <w:tc>
          <w:tcPr>
            <w:tcW w:w="2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2,305,768</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-156845</wp:posOffset>
            </wp:positionV>
            <wp:extent cx="713232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814" w:lineRule="exact"/>
        <w:rPr>
          <w:sz w:val="20"/>
          <w:szCs w:val="20"/>
          <w:color w:val="auto"/>
        </w:rPr>
      </w:pPr>
    </w:p>
    <w:p>
      <w:pPr>
        <w:sectPr>
          <w:pgSz w:w="11900" w:h="16838" w:orient="portrait"/>
          <w:cols w:equalWidth="0" w:num="2">
            <w:col w:w="4600" w:space="540"/>
            <w:col w:w="6100"/>
          </w:cols>
          <w:pgMar w:left="320" w:top="7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12529"/>
        </w:rPr>
        <w:t>The proposal was approved.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12529"/>
        </w:rPr>
        <w:t>Proposal No. 4</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Approval of the ratification of the appointment of Deloitte as the Company’s independent registered public accounting firm for the year ending December 31, 2024, as provided in Proposal Number 4 of the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For</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Against</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Abstain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28"/>
        </w:trPr>
        <w:tc>
          <w:tcPr>
            <w:tcW w:w="13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23,267,449</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2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-156845</wp:posOffset>
            </wp:positionV>
            <wp:extent cx="7132320"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814" w:lineRule="exact"/>
        <w:rPr>
          <w:sz w:val="20"/>
          <w:szCs w:val="20"/>
          <w:color w:val="auto"/>
        </w:rPr>
      </w:pPr>
    </w:p>
    <w:p>
      <w:pPr>
        <w:sectPr>
          <w:pgSz w:w="11900" w:h="16838" w:orient="portrait"/>
          <w:cols w:equalWidth="0" w:num="2">
            <w:col w:w="4860" w:space="280"/>
            <w:col w:w="6100"/>
          </w:cols>
          <w:pgMar w:left="320" w:top="70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212529"/>
        </w:rPr>
        <w:t>The appointment was ratified.</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Amended and Restated 2019 Omnibus Equity Incentive Plan, as amended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2024</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(Originally Effective June 10, 2019; Amended &amp; Restated Effective June 5, 2020; Amended Effective June 21, 2022; Amended Effective June 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OBJECTIVES AND DURATION</w:t>
      </w:r>
    </w:p>
    <w:p>
      <w:pPr>
        <w:spacing w:after="0" w:line="207"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An amendment to the amended and restated Plan became effective on June 21, 2022 upon approval by the Company’s stockholders. The most recent amendment of the Plan was adopted by the Board on February 20, 2024 and became effective on June 14, 2024, upon approval by the Company’s stockholder (the “Effective Date”).</w:t>
      </w:r>
    </w:p>
    <w:p>
      <w:pPr>
        <w:spacing w:after="0" w:line="187"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Objectives of the Plan</w:t>
      </w:r>
      <w:r>
        <w:rPr>
          <w:rFonts w:ascii="Times New Roman" w:cs="Times New Roman" w:eastAsia="Times New Roman" w:hAnsi="Times New Roman"/>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such Non-Employee Directors of a greater proprietary interest in the Company, thereby aligning such Non-Employee Directors’ interests more closely with the interests of the Company’s stockholders.</w:t>
      </w:r>
    </w:p>
    <w:p>
      <w:pPr>
        <w:spacing w:after="0" w:line="18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Bonus Shares</w:t>
      </w:r>
      <w:r>
        <w:rPr>
          <w:rFonts w:ascii="Times New Roman" w:cs="Times New Roman" w:eastAsia="Times New Roman" w:hAnsi="Times New Roman"/>
          <w:sz w:val="18"/>
          <w:szCs w:val="18"/>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by a Grantee constituting a felony or crime of moral turpitude (or their equivalent in a non-United States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fraud, intentional misrepresentation, or harassment which, as determined in good faith by the Committee, would:</w:t>
      </w:r>
    </w:p>
    <w:p>
      <w:pPr>
        <w:spacing w:after="0" w:line="27"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in violation of the Company’s or an Affiliate’s written policies; or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and deliberate non-performance of the Grantee’s duties in connection with the business affairs of the Company or its Affiliates;</w:t>
      </w:r>
    </w:p>
    <w:p>
      <w:pPr>
        <w:spacing w:after="0" w:line="223" w:lineRule="exact"/>
        <w:rPr>
          <w:sz w:val="20"/>
          <w:szCs w:val="20"/>
          <w:color w:val="auto"/>
        </w:rPr>
      </w:pPr>
    </w:p>
    <w:p>
      <w:pPr>
        <w:jc w:val="both"/>
        <w:ind w:right="6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Grantee has a written employment or consulting agreement with the Company 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Section 16.4(e).</w:t>
      </w:r>
    </w:p>
    <w:p>
      <w:pPr>
        <w:spacing w:after="0" w:line="225"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Incentive Plan Committee</w:t>
      </w:r>
      <w:r>
        <w:rPr>
          <w:rFonts w:ascii="Times New Roman" w:cs="Times New Roman" w:eastAsia="Times New Roman" w:hAnsi="Times New Roman"/>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means, unless otherwise defined in an Award Agreement, or as otherwise determined under procedures established by the Committee for purposes of the Plan:</w:t>
      </w:r>
    </w:p>
    <w:p>
      <w:pPr>
        <w:spacing w:after="0" w:line="162" w:lineRule="exact"/>
        <w:rPr>
          <w:sz w:val="20"/>
          <w:szCs w:val="20"/>
          <w:color w:val="auto"/>
        </w:rPr>
      </w:pPr>
    </w:p>
    <w:p>
      <w:pPr>
        <w:ind w:left="1140" w:hanging="251"/>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(b) below, a disability within the meaning of Section 22(e)(3) of the Code; and</w:t>
      </w:r>
    </w:p>
    <w:p>
      <w:pPr>
        <w:spacing w:after="0" w:line="225"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 w:name="page7"/>
    <w:bookmarkEnd w:id="6"/>
    <w:p>
      <w:pPr>
        <w:ind w:left="880" w:right="160" w:firstLine="450"/>
        <w:spacing w:after="0" w:line="282" w:lineRule="auto"/>
        <w:tabs>
          <w:tab w:leader="none" w:pos="15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61" w:lineRule="exact"/>
        <w:rPr>
          <w:rFonts w:ascii="Times New Roman" w:cs="Times New Roman" w:eastAsia="Times New Roman" w:hAnsi="Times New Roman"/>
          <w:sz w:val="18"/>
          <w:szCs w:val="18"/>
          <w:color w:val="auto"/>
        </w:rPr>
      </w:pPr>
    </w:p>
    <w:p>
      <w:pPr>
        <w:jc w:val="both"/>
        <w:ind w:left="880" w:right="180" w:firstLine="450"/>
        <w:spacing w:after="0" w:line="266" w:lineRule="auto"/>
        <w:tabs>
          <w:tab w:leader="none" w:pos="15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76"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a right to receive payments equal to dividends or property, if and when paid or distributed, on a specified number of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individual who is an employee (including any officer) of, a non-employee consultant to, or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of, the Company or any Affiliate; provided, however, that solely with respect to the grant of an Incentive Stock Option,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shall be any employee (including any officer) of the Company or any Subsidiary Corporation. Notwithstanding the foregoing, an Eligible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also include an individual who is expected to become an employee to, non-employee consultant of or Non-Employee Director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within a reasonable period of time after the grant of an Award (other than an Incentive Stock Option); provided that any Award granted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shall be automatically terminated and cancelled without consideration if the individual does not begin performing services for the Company</w:t>
      </w:r>
    </w:p>
    <w:p>
      <w:pPr>
        <w:spacing w:after="0" w:line="9"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8"/>
          <w:szCs w:val="18"/>
          <w:color w:val="auto"/>
        </w:rPr>
        <w:t>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References to a particular section of the Exchange Act include references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(a) with respect to an Option, the price at which a Share may be purchased by a Grantee pursuant to such Option or</w:t>
      </w:r>
    </w:p>
    <w:p>
      <w:pPr>
        <w:spacing w:after="0" w:line="27" w:lineRule="exact"/>
        <w:rPr>
          <w:sz w:val="20"/>
          <w:szCs w:val="20"/>
          <w:color w:val="auto"/>
        </w:rPr>
      </w:pPr>
    </w:p>
    <w:p>
      <w:pPr>
        <w:ind w:right="18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means “including, without limitation,” or “includes, without limitation,”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 w:name="page8"/>
    <w:bookmarkEnd w:id="7"/>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means a Non-Employee Director who has been appointed as lead independent director by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Management Committee</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 or any Affiliate.</w:t>
      </w:r>
    </w:p>
    <w:p>
      <w:pPr>
        <w:spacing w:after="0" w:line="225"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 Chair</w:t>
      </w:r>
      <w:r>
        <w:rPr>
          <w:rFonts w:ascii="Times New Roman" w:cs="Times New Roman" w:eastAsia="Times New Roman" w:hAnsi="Times New Roman"/>
          <w:sz w:val="18"/>
          <w:szCs w:val="18"/>
          <w:color w:val="auto"/>
        </w:rPr>
        <w:t>” means a Non-Employee Director who has been appointed to act as chair of one or more committees of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granted under Article 6 of the Plan.</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 right, granted under Article 13 hereof, that relates to or is valued by reference to Shares or other Awards relating to Shares.</w:t>
      </w:r>
    </w:p>
    <w:p>
      <w:pPr>
        <w:spacing w:after="0" w:line="162"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an Award of Performance Shares or Performance Units, the period of time during which the performance vesting conditions applicable to such Award must be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have the respective meanings set forth in Article 9.</w:t>
      </w:r>
    </w:p>
    <w:p>
      <w:pPr>
        <w:spacing w:after="0" w:line="225"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Restricted Shares are subject to forfeiture if the conditions specified in the Award Agreement are not satisfied.</w:t>
      </w:r>
    </w:p>
    <w:p>
      <w:pPr>
        <w:spacing w:after="0" w:line="162" w:lineRule="exact"/>
        <w:rPr>
          <w:sz w:val="20"/>
          <w:szCs w:val="20"/>
          <w:color w:val="auto"/>
        </w:rPr>
      </w:pPr>
    </w:p>
    <w:p>
      <w:pPr>
        <w:ind w:right="200" w:firstLine="441"/>
        <w:spacing w:after="0" w:line="312" w:lineRule="auto"/>
        <w:rPr>
          <w:sz w:val="20"/>
          <w:szCs w:val="20"/>
          <w:color w:val="auto"/>
        </w:rPr>
      </w:pPr>
      <w:r>
        <w:rPr>
          <w:rFonts w:ascii="Times New Roman" w:cs="Times New Roman" w:eastAsia="Times New Roman" w:hAnsi="Times New Roman"/>
          <w:sz w:val="17"/>
          <w:szCs w:val="17"/>
          <w:color w:val="auto"/>
        </w:rPr>
        <w:t>2.35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40"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6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are rights, granted under Article 10, to receive Shares (or cash in lieu thereof) if the Grantee satisfies the conditions specified in the Award Agreement applicable to such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by the SEC under the Exchange Act, as amended from time to time, together with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Section 16 Non-Employee Director</w:t>
      </w:r>
      <w:r>
        <w:rPr>
          <w:rFonts w:ascii="Times New Roman" w:cs="Times New Roman" w:eastAsia="Times New Roman" w:hAnsi="Times New Roman"/>
          <w:sz w:val="18"/>
          <w:szCs w:val="18"/>
          <w:color w:val="auto"/>
        </w:rPr>
        <w:t>” means a member of the Board who satisfies the requirements to qualify as a “non-employee director” under Rule 16b-3.</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Section 16 Person</w:t>
      </w:r>
      <w:r>
        <w:rPr>
          <w:rFonts w:ascii="Times New Roman" w:cs="Times New Roman" w:eastAsia="Times New Roman" w:hAnsi="Times New Roman"/>
          <w:sz w:val="18"/>
          <w:szCs w:val="18"/>
          <w:color w:val="auto"/>
        </w:rPr>
        <w:t>” means a person who is subject to potential liability under Section 16(b) of the Exchange Act with respect to transactions involving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02" w:right="519" w:bottom="1440" w:gutter="0" w:footer="0" w:header="0"/>
        </w:sectPr>
      </w:pPr>
    </w:p>
    <w:bookmarkStart w:id="8" w:name="page9"/>
    <w:bookmarkEnd w:id="8"/>
    <w:p>
      <w:pPr>
        <w:ind w:firstLine="441"/>
        <w:spacing w:after="0" w:line="25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9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and such other securities of the Company, as may be substituted or resubstituted for Shares pursuant to Section 4.2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Article 7 of the Plan.</w:t>
      </w:r>
    </w:p>
    <w:p>
      <w:pPr>
        <w:spacing w:after="0" w:line="22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76"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Termination of Affiliation</w:t>
      </w:r>
      <w:r>
        <w:rPr>
          <w:rFonts w:ascii="Times New Roman" w:cs="Times New Roman" w:eastAsia="Times New Roman" w:hAnsi="Times New Roman"/>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6" w:lineRule="auto"/>
        <w:tabs>
          <w:tab w:leader="none" w:pos="11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87" w:lineRule="exact"/>
        <w:rPr>
          <w:rFonts w:ascii="Times New Roman" w:cs="Times New Roman" w:eastAsia="Times New Roman" w:hAnsi="Times New Roman"/>
          <w:sz w:val="18"/>
          <w:szCs w:val="18"/>
          <w:color w:val="auto"/>
        </w:rPr>
      </w:pPr>
    </w:p>
    <w:p>
      <w:pPr>
        <w:ind w:right="240" w:firstLine="889"/>
        <w:spacing w:after="0" w:line="266" w:lineRule="auto"/>
        <w:tabs>
          <w:tab w:leader="none" w:pos="11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 w:name="page10"/>
    <w:bookmarkEnd w:id="9"/>
    <w:p>
      <w:pPr>
        <w:ind w:firstLine="889"/>
        <w:spacing w:after="0" w:line="256" w:lineRule="auto"/>
        <w:tabs>
          <w:tab w:leader="none" w:pos="1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0" w:lineRule="exact"/>
        <w:rPr>
          <w:sz w:val="20"/>
          <w:szCs w:val="20"/>
          <w:color w:val="auto"/>
        </w:rPr>
      </w:pPr>
    </w:p>
    <w:p>
      <w:pPr>
        <w:ind w:left="1140" w:hanging="251"/>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to whom and in what types and amounts Awards should be granted;</w:t>
      </w:r>
    </w:p>
    <w:p>
      <w:pPr>
        <w:spacing w:after="0" w:line="225" w:lineRule="exact"/>
        <w:rPr>
          <w:rFonts w:ascii="Times New Roman" w:cs="Times New Roman" w:eastAsia="Times New Roman" w:hAnsi="Times New Roman"/>
          <w:sz w:val="18"/>
          <w:szCs w:val="18"/>
          <w:color w:val="auto"/>
        </w:rPr>
      </w:pPr>
    </w:p>
    <w:p>
      <w:pPr>
        <w:ind w:right="40" w:firstLine="889"/>
        <w:spacing w:after="0" w:line="258" w:lineRule="auto"/>
        <w:tabs>
          <w:tab w:leader="none" w:pos="11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83" w:lineRule="exact"/>
        <w:rPr>
          <w:rFonts w:ascii="Times New Roman" w:cs="Times New Roman" w:eastAsia="Times New Roman" w:hAnsi="Times New Roman"/>
          <w:sz w:val="18"/>
          <w:szCs w:val="18"/>
          <w:color w:val="auto"/>
        </w:rPr>
      </w:pPr>
    </w:p>
    <w:p>
      <w:pPr>
        <w:ind w:right="20" w:firstLine="889"/>
        <w:spacing w:after="0" w:line="282" w:lineRule="auto"/>
        <w:tabs>
          <w:tab w:leader="none" w:pos="11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61" w:lineRule="exact"/>
        <w:rPr>
          <w:rFonts w:ascii="Times New Roman" w:cs="Times New Roman" w:eastAsia="Times New Roman" w:hAnsi="Times New Roman"/>
          <w:sz w:val="18"/>
          <w:szCs w:val="18"/>
          <w:color w:val="auto"/>
        </w:rPr>
      </w:pPr>
    </w:p>
    <w:p>
      <w:pPr>
        <w:ind w:right="340" w:firstLine="889"/>
        <w:spacing w:after="0" w:line="282" w:lineRule="auto"/>
        <w:tabs>
          <w:tab w:leader="none" w:pos="11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 of any Option or SAR;</w:t>
      </w:r>
    </w:p>
    <w:p>
      <w:pPr>
        <w:spacing w:after="0" w:line="225"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75" w:lineRule="exact"/>
        <w:rPr>
          <w:rFonts w:ascii="Times New Roman" w:cs="Times New Roman" w:eastAsia="Times New Roman" w:hAnsi="Times New Roman"/>
          <w:sz w:val="18"/>
          <w:szCs w:val="18"/>
          <w:color w:val="auto"/>
        </w:rPr>
      </w:pPr>
    </w:p>
    <w:p>
      <w:pPr>
        <w:ind w:right="20" w:firstLine="889"/>
        <w:spacing w:after="0" w:line="261" w:lineRule="auto"/>
        <w:tabs>
          <w:tab w:leader="none" w:pos="11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79"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7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to exchange or buy out any previously granted Award for a payment in cash, Shares or other Award;</w:t>
      </w:r>
    </w:p>
    <w:p>
      <w:pPr>
        <w:spacing w:after="0" w:line="225" w:lineRule="exact"/>
        <w:rPr>
          <w:rFonts w:ascii="Times New Roman" w:cs="Times New Roman" w:eastAsia="Times New Roman" w:hAnsi="Times New Roman"/>
          <w:sz w:val="18"/>
          <w:szCs w:val="18"/>
          <w:color w:val="auto"/>
        </w:rPr>
      </w:pPr>
    </w:p>
    <w:p>
      <w:pPr>
        <w:ind w:right="780" w:firstLine="889"/>
        <w:spacing w:after="0" w:line="282" w:lineRule="auto"/>
        <w:tabs>
          <w:tab w:leader="none" w:pos="10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to make all determinations, including factual determinations, necessary or advisable for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0" w:name="page11"/>
    <w:bookmarkEnd w:id="10"/>
    <w:p>
      <w:pPr>
        <w:ind w:left="1140" w:hanging="251"/>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amend, suspend, waive and rescind rules and regulations relating to the Plan;</w:t>
      </w:r>
    </w:p>
    <w:p>
      <w:pPr>
        <w:spacing w:after="0" w:line="22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as the Committee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right="40" w:firstLine="889"/>
        <w:spacing w:after="0" w:line="272" w:lineRule="auto"/>
        <w:tabs>
          <w:tab w:leader="none" w:pos="118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1" w:lineRule="exact"/>
        <w:rPr>
          <w:rFonts w:ascii="Times New Roman" w:cs="Times New Roman" w:eastAsia="Times New Roman" w:hAnsi="Times New Roman"/>
          <w:sz w:val="17"/>
          <w:szCs w:val="17"/>
          <w:color w:val="auto"/>
        </w:rPr>
      </w:pPr>
    </w:p>
    <w:p>
      <w:pPr>
        <w:ind w:right="20" w:firstLine="8"/>
        <w:spacing w:after="0" w:line="260"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8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with the consent of the Grantee, outstanding Awards and to grant new Awards in substitution therefor;</w:t>
      </w:r>
    </w:p>
    <w:p>
      <w:pPr>
        <w:spacing w:after="0" w:line="225" w:lineRule="exact"/>
        <w:rPr>
          <w:rFonts w:ascii="Times New Roman" w:cs="Times New Roman" w:eastAsia="Times New Roman" w:hAnsi="Times New Roman"/>
          <w:sz w:val="18"/>
          <w:szCs w:val="18"/>
          <w:color w:val="auto"/>
        </w:rPr>
      </w:pPr>
    </w:p>
    <w:p>
      <w:pPr>
        <w:ind w:right="20" w:firstLine="889"/>
        <w:spacing w:after="0" w:line="312" w:lineRule="auto"/>
        <w:tabs>
          <w:tab w:leader="none" w:pos="1136"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39" w:lineRule="exact"/>
        <w:rPr>
          <w:rFonts w:ascii="Times New Roman" w:cs="Times New Roman" w:eastAsia="Times New Roman" w:hAnsi="Times New Roman"/>
          <w:sz w:val="17"/>
          <w:szCs w:val="17"/>
          <w:color w:val="auto"/>
        </w:rPr>
      </w:pPr>
    </w:p>
    <w:p>
      <w:pPr>
        <w:jc w:val="both"/>
        <w:ind w:right="80" w:firstLine="889"/>
        <w:spacing w:after="0" w:line="266" w:lineRule="auto"/>
        <w:tabs>
          <w:tab w:leader="none" w:pos="11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61" w:lineRule="exact"/>
        <w:rPr>
          <w:rFonts w:ascii="Times New Roman" w:cs="Times New Roman" w:eastAsia="Times New Roman" w:hAnsi="Times New Roman"/>
          <w:sz w:val="18"/>
          <w:szCs w:val="18"/>
          <w:color w:val="auto"/>
        </w:rPr>
      </w:pPr>
    </w:p>
    <w:p>
      <w:pPr>
        <w:ind w:right="340" w:firstLine="889"/>
        <w:spacing w:after="0" w:line="282" w:lineRule="auto"/>
        <w:tabs>
          <w:tab w:leader="none" w:pos="110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62"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Repricings</w:t>
      </w:r>
      <w:r>
        <w:rPr>
          <w:rFonts w:ascii="Times New Roman" w:cs="Times New Roman" w:eastAsia="Times New Roman" w:hAnsi="Times New Roman"/>
          <w:sz w:val="18"/>
          <w:szCs w:val="18"/>
          <w:color w:val="auto"/>
        </w:rPr>
        <w:t>. Notwithstanding any provision in Section 3.2 to the contrary, the terms of any outstanding Option or SAR may not be amended:</w:t>
      </w:r>
    </w:p>
    <w:p>
      <w:pPr>
        <w:spacing w:after="0" w:line="27" w:lineRule="exact"/>
        <w:rPr>
          <w:sz w:val="20"/>
          <w:szCs w:val="20"/>
          <w:color w:val="auto"/>
        </w:rPr>
      </w:pPr>
    </w:p>
    <w:p>
      <w:pPr>
        <w:ind w:right="60" w:firstLine="8"/>
        <w:spacing w:after="0" w:line="252"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 Available for Grants</w:t>
      </w:r>
      <w:r>
        <w:rPr>
          <w:rFonts w:ascii="Times New Roman" w:cs="Times New Roman" w:eastAsia="Times New Roman" w:hAnsi="Times New Roman"/>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11,500,000Shares. Up to a maximum of 11,500,000Shares may be delivered pursuant to the exercise of Incentive Stock Options granted hereunder.</w:t>
      </w:r>
    </w:p>
    <w:p>
      <w:pPr>
        <w:spacing w:after="0" w:line="180"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87"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Shares delivered pursuant to the Plan may be, in whole or in part, authorized and unissued Shares, or treasury Shares, including Shares repurchased by the Company for purposes of the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Adjustments in Authorized Shares and Awards; Corporate Transaction, Liquidation or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89"/>
        <w:spacing w:after="0" w:line="253" w:lineRule="auto"/>
        <w:tabs>
          <w:tab w:leader="none" w:pos="11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Shares and Awards</w:t>
      </w:r>
      <w:r>
        <w:rPr>
          <w:rFonts w:ascii="Times New Roman" w:cs="Times New Roman" w:eastAsia="Times New Roman" w:hAnsi="Times New Roman"/>
          <w:sz w:val="18"/>
          <w:szCs w:val="18"/>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number of Shares subject to any Award denominated in Shares shall always be a whole number.</w:t>
      </w:r>
    </w:p>
    <w:p>
      <w:pPr>
        <w:spacing w:after="0" w:line="189" w:lineRule="exact"/>
        <w:rPr>
          <w:rFonts w:ascii="Times New Roman" w:cs="Times New Roman" w:eastAsia="Times New Roman" w:hAnsi="Times New Roman"/>
          <w:sz w:val="18"/>
          <w:szCs w:val="18"/>
          <w:color w:val="auto"/>
        </w:rPr>
      </w:pPr>
    </w:p>
    <w:p>
      <w:pPr>
        <w:ind w:firstLine="889"/>
        <w:spacing w:after="0" w:line="253" w:lineRule="auto"/>
        <w:tabs>
          <w:tab w:leader="none" w:pos="11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or Similar Corporate Transaction</w:t>
      </w:r>
      <w:r>
        <w:rPr>
          <w:rFonts w:ascii="Times New Roman" w:cs="Times New Roman" w:eastAsia="Times New Roman" w:hAnsi="Times New Roman"/>
          <w:sz w:val="18"/>
          <w:szCs w:val="18"/>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2" w:name="page13"/>
    <w:bookmarkEnd w:id="12"/>
    <w:p>
      <w:pPr>
        <w:ind w:firstLine="889"/>
        <w:spacing w:after="0" w:line="256" w:lineRule="auto"/>
        <w:tabs>
          <w:tab w:leader="none" w:pos="11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or Dissolution of the Company</w:t>
      </w:r>
      <w:r>
        <w:rPr>
          <w:rFonts w:ascii="Times New Roman" w:cs="Times New Roman" w:eastAsia="Times New Roman" w:hAnsi="Times New Roman"/>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87"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ELIGIBILITY AND GENERAL CONDITIONS OF AWARDS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To the extent not set forth in the Plan, the terms and conditions of each Award shall be set forth in an Award Agreement.</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General Terms and Termination of Affiliation</w:t>
      </w:r>
      <w:r>
        <w:rPr>
          <w:rFonts w:ascii="Times New Roman" w:cs="Times New Roman" w:eastAsia="Times New Roman" w:hAnsi="Times New Roman"/>
          <w:sz w:val="18"/>
          <w:szCs w:val="18"/>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889"/>
        <w:spacing w:after="0" w:line="266" w:lineRule="auto"/>
        <w:tabs>
          <w:tab w:leader="none" w:pos="11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75" w:lineRule="exact"/>
        <w:rPr>
          <w:rFonts w:ascii="Times New Roman" w:cs="Times New Roman" w:eastAsia="Times New Roman" w:hAnsi="Times New Roman"/>
          <w:sz w:val="18"/>
          <w:szCs w:val="18"/>
          <w:color w:val="auto"/>
        </w:rPr>
      </w:pPr>
    </w:p>
    <w:p>
      <w:pPr>
        <w:jc w:val="both"/>
        <w:ind w:firstLine="889"/>
        <w:spacing w:after="0" w:line="258" w:lineRule="auto"/>
        <w:tabs>
          <w:tab w:leader="none" w:pos="11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13" w:name="page14"/>
    <w:bookmarkEnd w:id="13"/>
    <w:p>
      <w:pPr>
        <w:ind w:right="20" w:firstLine="889"/>
        <w:spacing w:after="0" w:line="253" w:lineRule="auto"/>
        <w:tabs>
          <w:tab w:leader="none" w:pos="11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89"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as requiring the Committee to honor a QDRO except to the extent required under applicable law.</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Cancellation and Rescission of Awards</w:t>
      </w:r>
      <w:r>
        <w:rPr>
          <w:rFonts w:ascii="Times New Roman" w:cs="Times New Roman" w:eastAsia="Times New Roman" w:hAnsi="Times New Roman"/>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Stand-Alone, Tandem and Substitute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69" w:lineRule="auto"/>
        <w:tabs>
          <w:tab w:leader="none" w:pos="112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2" w:lineRule="exact"/>
        <w:rPr>
          <w:rFonts w:ascii="Times New Roman" w:cs="Times New Roman" w:eastAsia="Times New Roman" w:hAnsi="Times New Roman"/>
          <w:sz w:val="17"/>
          <w:szCs w:val="17"/>
          <w:color w:val="auto"/>
        </w:rPr>
      </w:pPr>
    </w:p>
    <w:p>
      <w:pPr>
        <w:ind w:right="2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4" w:name="page15"/>
    <w:bookmarkEnd w:id="14"/>
    <w:p>
      <w:pPr>
        <w:ind w:right="20" w:firstLine="889"/>
        <w:spacing w:after="0" w:line="254" w:lineRule="auto"/>
        <w:tabs>
          <w:tab w:leader="none" w:pos="1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Rule 16b-3</w:t>
      </w:r>
      <w:r>
        <w:rPr>
          <w:rFonts w:ascii="Times New Roman" w:cs="Times New Roman" w:eastAsia="Times New Roman" w:hAnsi="Times New Roman"/>
          <w:sz w:val="18"/>
          <w:szCs w:val="18"/>
          <w:color w:val="auto"/>
        </w:rPr>
        <w:t>. The provisions of this Section 5.7will not apply unless and until the Company has a class of stock that is registered under Section 12 of the Exchange Act.</w:t>
      </w:r>
    </w:p>
    <w:p>
      <w:pPr>
        <w:spacing w:after="0" w:line="162" w:lineRule="exact"/>
        <w:rPr>
          <w:sz w:val="20"/>
          <w:szCs w:val="20"/>
          <w:color w:val="auto"/>
        </w:rPr>
      </w:pPr>
    </w:p>
    <w:p>
      <w:pPr>
        <w:ind w:right="120" w:firstLine="889"/>
        <w:spacing w:after="0" w:line="256" w:lineRule="auto"/>
        <w:tabs>
          <w:tab w:leader="none" w:pos="11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Six-Month Holding Period Advice</w:t>
      </w:r>
      <w:r>
        <w:rPr>
          <w:rFonts w:ascii="Times New Roman" w:cs="Times New Roman" w:eastAsia="Times New Roman" w:hAnsi="Times New Roman"/>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15" w:name="page16"/>
    <w:bookmarkEnd w:id="15"/>
    <w:p>
      <w:pPr>
        <w:ind w:firstLine="889"/>
        <w:spacing w:after="0" w:line="258"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 to Comply with Exchange Act Rules</w:t>
      </w:r>
      <w:r>
        <w:rPr>
          <w:rFonts w:ascii="Times New Roman" w:cs="Times New Roman" w:eastAsia="Times New Roman" w:hAnsi="Times New Roman"/>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83" w:lineRule="exact"/>
        <w:rPr>
          <w:rFonts w:ascii="Times New Roman" w:cs="Times New Roman" w:eastAsia="Times New Roman" w:hAnsi="Times New Roman"/>
          <w:sz w:val="18"/>
          <w:szCs w:val="18"/>
          <w:color w:val="auto"/>
        </w:rPr>
      </w:pPr>
    </w:p>
    <w:p>
      <w:pPr>
        <w:ind w:right="120" w:firstLine="889"/>
        <w:spacing w:after="0" w:line="277" w:lineRule="auto"/>
        <w:tabs>
          <w:tab w:leader="none" w:pos="112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16b-3 Administration</w:t>
      </w:r>
      <w:r>
        <w:rPr>
          <w:rFonts w:ascii="Times New Roman" w:cs="Times New Roman" w:eastAsia="Times New Roman" w:hAnsi="Times New Roman"/>
          <w:sz w:val="17"/>
          <w:szCs w:val="17"/>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Deferral of Award Payouts</w:t>
      </w:r>
      <w:r>
        <w:rPr>
          <w:rFonts w:ascii="Times New Roman" w:cs="Times New Roman" w:eastAsia="Times New Roman" w:hAnsi="Times New Roman"/>
          <w:sz w:val="18"/>
          <w:szCs w:val="18"/>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76"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Grant of Incentive Stock Options</w:t>
      </w:r>
      <w:r>
        <w:rPr>
          <w:rFonts w:ascii="Times New Roman" w:cs="Times New Roman" w:eastAsia="Times New Roman" w:hAnsi="Times New Roman"/>
          <w:sz w:val="18"/>
          <w:szCs w:val="18"/>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2" w:lineRule="exact"/>
        <w:rPr>
          <w:sz w:val="20"/>
          <w:szCs w:val="20"/>
          <w:color w:val="auto"/>
        </w:rPr>
      </w:pPr>
    </w:p>
    <w:p>
      <w:pPr>
        <w:ind w:left="1140" w:hanging="25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granted only to an employee of the Company or a Subsidiary Corporation;</w:t>
      </w:r>
    </w:p>
    <w:p>
      <w:pPr>
        <w:spacing w:after="0" w:line="225" w:lineRule="exact"/>
        <w:rPr>
          <w:rFonts w:ascii="Times New Roman" w:cs="Times New Roman" w:eastAsia="Times New Roman" w:hAnsi="Times New Roman"/>
          <w:sz w:val="18"/>
          <w:szCs w:val="18"/>
          <w:color w:val="auto"/>
        </w:rPr>
      </w:pPr>
    </w:p>
    <w:p>
      <w:pPr>
        <w:jc w:val="both"/>
        <w:ind w:right="180" w:firstLine="889"/>
        <w:spacing w:after="0" w:line="261"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6" w:name="page17"/>
    <w:bookmarkEnd w:id="16"/>
    <w:p>
      <w:pPr>
        <w:ind w:right="420" w:firstLine="889"/>
        <w:spacing w:after="0" w:line="282" w:lineRule="auto"/>
        <w:tabs>
          <w:tab w:leader="none" w:pos="1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61"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79"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75" w:lineRule="exact"/>
        <w:rPr>
          <w:rFonts w:ascii="Times New Roman" w:cs="Times New Roman" w:eastAsia="Times New Roman" w:hAnsi="Times New Roman"/>
          <w:sz w:val="18"/>
          <w:szCs w:val="18"/>
          <w:color w:val="auto"/>
        </w:rPr>
      </w:pPr>
    </w:p>
    <w:p>
      <w:pPr>
        <w:ind w:right="220" w:firstLine="889"/>
        <w:spacing w:after="0" w:line="266" w:lineRule="auto"/>
        <w:tabs>
          <w:tab w:leader="none" w:pos="11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75"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2"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76" w:lineRule="exact"/>
        <w:rPr>
          <w:sz w:val="20"/>
          <w:szCs w:val="20"/>
          <w:color w:val="auto"/>
        </w:rPr>
      </w:pPr>
    </w:p>
    <w:p>
      <w:pPr>
        <w:ind w:left="1140" w:hanging="25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personal check or wire transfer;</w:t>
      </w:r>
    </w:p>
    <w:p>
      <w:pPr>
        <w:spacing w:after="0" w:line="225" w:lineRule="exact"/>
        <w:rPr>
          <w:rFonts w:ascii="Times New Roman" w:cs="Times New Roman" w:eastAsia="Times New Roman" w:hAnsi="Times New Roman"/>
          <w:sz w:val="18"/>
          <w:szCs w:val="18"/>
          <w:color w:val="auto"/>
        </w:rPr>
      </w:pPr>
    </w:p>
    <w:p>
      <w:pPr>
        <w:ind w:right="60" w:firstLine="889"/>
        <w:spacing w:after="0" w:line="282" w:lineRule="auto"/>
        <w:tabs>
          <w:tab w:leader="none" w:pos="11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delivery of Common Stock owned by the Grantee prior to exercise, valued at Fair Market Value on the date of exercise;</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Shares acquired upon the exercise of such Option, such Shares valued at Fair Market Value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exercise;</w:t>
      </w:r>
    </w:p>
    <w:p>
      <w:pPr>
        <w:spacing w:after="0" w:line="206" w:lineRule="exact"/>
        <w:rPr>
          <w:rFonts w:ascii="Times New Roman" w:cs="Times New Roman" w:eastAsia="Times New Roman" w:hAnsi="Times New Roman"/>
          <w:sz w:val="18"/>
          <w:szCs w:val="18"/>
          <w:color w:val="auto"/>
        </w:rPr>
      </w:pPr>
    </w:p>
    <w:p>
      <w:pPr>
        <w:ind w:right="140" w:firstLine="889"/>
        <w:spacing w:after="0" w:line="282" w:lineRule="auto"/>
        <w:tabs>
          <w:tab w:leader="none" w:pos="11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Restricted Shares held by the Grantee prior to the exercise of the Option, valued at Fair Market Value on the date of exercise; or</w:t>
      </w:r>
    </w:p>
    <w:p>
      <w:pPr>
        <w:spacing w:after="0" w:line="161" w:lineRule="exact"/>
        <w:rPr>
          <w:rFonts w:ascii="Times New Roman" w:cs="Times New Roman" w:eastAsia="Times New Roman" w:hAnsi="Times New Roman"/>
          <w:sz w:val="18"/>
          <w:szCs w:val="18"/>
          <w:color w:val="auto"/>
        </w:rPr>
      </w:pPr>
    </w:p>
    <w:p>
      <w:pPr>
        <w:ind w:right="80" w:firstLine="889"/>
        <w:spacing w:after="0" w:line="261" w:lineRule="auto"/>
        <w:tabs>
          <w:tab w:leader="none" w:pos="11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7" w:name="page18"/>
    <w:bookmarkEnd w:id="17"/>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5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SAR Exercise Price</w:t>
      </w:r>
      <w:r>
        <w:rPr>
          <w:rFonts w:ascii="Times New Roman" w:cs="Times New Roman" w:eastAsia="Times New Roman" w:hAnsi="Times New Roman"/>
          <w:sz w:val="18"/>
          <w:szCs w:val="18"/>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6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the exercise of an SAR, a Grantee shall be entitled to receive payment from the Company in an amount determined by multiplying:</w:t>
      </w:r>
    </w:p>
    <w:p>
      <w:pPr>
        <w:spacing w:after="0" w:line="162" w:lineRule="exact"/>
        <w:rPr>
          <w:sz w:val="20"/>
          <w:szCs w:val="20"/>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Exercise Price; by</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62"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Consideration for Restricted Shares</w:t>
      </w:r>
      <w:r>
        <w:rPr>
          <w:rFonts w:ascii="Times New Roman" w:cs="Times New Roman" w:eastAsia="Times New Roman" w:hAnsi="Times New Roman"/>
          <w:sz w:val="18"/>
          <w:szCs w:val="18"/>
          <w:color w:val="auto"/>
        </w:rPr>
        <w:t>. The Committee shall determine the amount, if any, that a Grantee shall pay for Restricted Shares.</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Effect of Forfeiture</w:t>
      </w:r>
      <w:r>
        <w:rPr>
          <w:rFonts w:ascii="Times New Roman" w:cs="Times New Roman" w:eastAsia="Times New Roman" w:hAnsi="Times New Roman"/>
          <w:sz w:val="18"/>
          <w:szCs w:val="18"/>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87" w:lineRule="exact"/>
        <w:rPr>
          <w:sz w:val="20"/>
          <w:szCs w:val="20"/>
          <w:color w:val="auto"/>
        </w:rPr>
      </w:pPr>
    </w:p>
    <w:p>
      <w:pPr>
        <w:ind w:right="280" w:firstLine="441"/>
        <w:spacing w:after="0" w:line="27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Escrow; Legends</w:t>
      </w:r>
      <w:r>
        <w:rPr>
          <w:rFonts w:ascii="Times New Roman" w:cs="Times New Roman" w:eastAsia="Times New Roman" w:hAnsi="Times New Roman"/>
          <w:sz w:val="17"/>
          <w:szCs w:val="17"/>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spacing w:after="0" w:line="1" w:lineRule="exact"/>
        <w:rPr>
          <w:sz w:val="20"/>
          <w:szCs w:val="20"/>
          <w:color w:val="auto"/>
        </w:rPr>
      </w:pPr>
    </w:p>
    <w:p>
      <w:pPr>
        <w:ind w:right="280" w:firstLine="8"/>
        <w:spacing w:after="0" w:line="260"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UNITS AND PERFORMANCE SHARES</w:t>
      </w:r>
    </w:p>
    <w:p>
      <w:pPr>
        <w:spacing w:after="0" w:line="207" w:lineRule="exact"/>
        <w:rPr>
          <w:sz w:val="20"/>
          <w:szCs w:val="20"/>
          <w:color w:val="auto"/>
        </w:rPr>
      </w:pPr>
    </w:p>
    <w:p>
      <w:pPr>
        <w:ind w:right="5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 of Performance Units and Performance Shares</w:t>
      </w:r>
      <w:r>
        <w:rPr>
          <w:rFonts w:ascii="Times New Roman" w:cs="Times New Roman" w:eastAsia="Times New Roman" w:hAnsi="Times New Roman"/>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Value/Performance Goals</w:t>
      </w:r>
      <w:r>
        <w:rPr>
          <w:rFonts w:ascii="Times New Roman" w:cs="Times New Roman" w:eastAsia="Times New Roman" w:hAnsi="Times New Roman"/>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62" w:lineRule="exact"/>
        <w:rPr>
          <w:sz w:val="20"/>
          <w:szCs w:val="20"/>
          <w:color w:val="auto"/>
        </w:rPr>
      </w:pPr>
    </w:p>
    <w:p>
      <w:pPr>
        <w:ind w:left="1140" w:hanging="251"/>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Each Performance Unit shall have an initial value that is established by the Committee at the time of grant.</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Each Performance Share shall have an initial value equal to the Fair Market Value of a Share on the date of grant.</w:t>
      </w:r>
    </w:p>
    <w:p>
      <w:pPr>
        <w:spacing w:after="0" w:line="22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Earning of Performance Units and Performance Shares</w:t>
      </w:r>
      <w:r>
        <w:rPr>
          <w:rFonts w:ascii="Times New Roman" w:cs="Times New Roman" w:eastAsia="Times New Roman" w:hAnsi="Times New Roman"/>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STOCK AND RESTRICTED STOCK UNITS</w:t>
      </w:r>
    </w:p>
    <w:p>
      <w:pPr>
        <w:spacing w:after="0" w:line="20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Deferred Stock and Restricted Stock Units</w:t>
      </w:r>
      <w:r>
        <w:rPr>
          <w:rFonts w:ascii="Times New Roman" w:cs="Times New Roman" w:eastAsia="Times New Roman" w:hAnsi="Times New Roman"/>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Vesting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889"/>
        <w:spacing w:after="0" w:line="254" w:lineRule="auto"/>
        <w:tabs>
          <w:tab w:leader="none" w:pos="11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Deferred Stock</w:t>
      </w:r>
      <w:r>
        <w:rPr>
          <w:rFonts w:ascii="Times New Roman" w:cs="Times New Roman" w:eastAsia="Times New Roman" w:hAnsi="Times New Roman"/>
          <w:sz w:val="18"/>
          <w:szCs w:val="18"/>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Restricted Stock Units</w:t>
      </w:r>
      <w:r>
        <w:rPr>
          <w:rFonts w:ascii="Times New Roman" w:cs="Times New Roman" w:eastAsia="Times New Roman" w:hAnsi="Times New Roman"/>
          <w:sz w:val="18"/>
          <w:szCs w:val="18"/>
          <w:color w:val="auto"/>
        </w:rPr>
        <w:t>. Delivery of Shares subject to a grant of Restricted Stock Units shall occur no later than the</w:t>
      </w:r>
    </w:p>
    <w:p>
      <w:pPr>
        <w:spacing w:after="0" w:line="2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Voting and Dividend Equivalent Rights Attributable to Deferred Stock and Restricted Stock Units</w:t>
      </w:r>
      <w:r>
        <w:rPr>
          <w:rFonts w:ascii="Times New Roman" w:cs="Times New Roman" w:eastAsia="Times New Roman" w:hAnsi="Times New Roman"/>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20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0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AWARDS</w:t>
      </w:r>
    </w:p>
    <w:p>
      <w:pPr>
        <w:spacing w:after="0" w:line="20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spacing w:after="0" w:line="18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Lead Independent Director and Non-Employee Director Chair Awards</w:t>
      </w:r>
      <w:r>
        <w:rPr>
          <w:rFonts w:ascii="Times New Roman" w:cs="Times New Roman" w:eastAsia="Times New Roman" w:hAnsi="Times New Roman"/>
          <w:sz w:val="18"/>
          <w:szCs w:val="18"/>
          <w:color w:val="auto"/>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3"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WITH CODE SECTION 409A</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Awards Subject to Code Section 409A</w:t>
      </w:r>
      <w:r>
        <w:rPr>
          <w:rFonts w:ascii="Times New Roman" w:cs="Times New Roman" w:eastAsia="Times New Roman" w:hAnsi="Times New Roman"/>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1" w:name="page22"/>
    <w:bookmarkEnd w:id="21"/>
    <w:p>
      <w:pPr>
        <w:ind w:right="20" w:firstLine="441"/>
        <w:spacing w:after="0" w:line="27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Deferral and/or Distribution Elections</w:t>
      </w:r>
      <w:r>
        <w:rPr>
          <w:rFonts w:ascii="Times New Roman" w:cs="Times New Roman" w:eastAsia="Times New Roman" w:hAnsi="Times New Roman"/>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w:t>
      </w:r>
    </w:p>
    <w:p>
      <w:pPr>
        <w:spacing w:after="0" w:line="207" w:lineRule="exact"/>
        <w:rPr>
          <w:sz w:val="20"/>
          <w:szCs w:val="20"/>
          <w:color w:val="auto"/>
        </w:rPr>
      </w:pPr>
    </w:p>
    <w:p>
      <w:pPr>
        <w:ind w:right="920" w:firstLine="889"/>
        <w:spacing w:after="0" w:line="312" w:lineRule="auto"/>
        <w:tabs>
          <w:tab w:leader="none" w:pos="112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39" w:lineRule="exact"/>
        <w:rPr>
          <w:rFonts w:ascii="Times New Roman" w:cs="Times New Roman" w:eastAsia="Times New Roman" w:hAnsi="Times New Roman"/>
          <w:sz w:val="17"/>
          <w:szCs w:val="17"/>
          <w:color w:val="auto"/>
        </w:rPr>
      </w:pPr>
    </w:p>
    <w:p>
      <w:pPr>
        <w:jc w:val="both"/>
        <w:ind w:firstLine="889"/>
        <w:spacing w:after="0" w:line="261" w:lineRule="auto"/>
        <w:tabs>
          <w:tab w:leader="none" w:pos="11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79" w:lineRule="exact"/>
        <w:rPr>
          <w:rFonts w:ascii="Times New Roman" w:cs="Times New Roman" w:eastAsia="Times New Roman" w:hAnsi="Times New Roman"/>
          <w:sz w:val="18"/>
          <w:szCs w:val="18"/>
          <w:color w:val="auto"/>
        </w:rPr>
      </w:pPr>
    </w:p>
    <w:p>
      <w:pPr>
        <w:ind w:right="100" w:firstLine="889"/>
        <w:spacing w:after="0" w:line="282" w:lineRule="auto"/>
        <w:tabs>
          <w:tab w:leader="none" w:pos="11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Subsequent Elections</w:t>
      </w:r>
      <w:r>
        <w:rPr>
          <w:rFonts w:ascii="Times New Roman" w:cs="Times New Roman" w:eastAsia="Times New Roman" w:hAnsi="Times New Roman"/>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62" w:lineRule="exact"/>
        <w:rPr>
          <w:sz w:val="20"/>
          <w:szCs w:val="20"/>
          <w:color w:val="auto"/>
        </w:rPr>
      </w:pPr>
    </w:p>
    <w:p>
      <w:pPr>
        <w:ind w:left="1140" w:hanging="251"/>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w:t>
      </w:r>
    </w:p>
    <w:p>
      <w:pPr>
        <w:spacing w:after="0" w:line="225"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61" w:lineRule="exact"/>
        <w:rPr>
          <w:rFonts w:ascii="Times New Roman" w:cs="Times New Roman" w:eastAsia="Times New Roman" w:hAnsi="Times New Roman"/>
          <w:sz w:val="18"/>
          <w:szCs w:val="18"/>
          <w:color w:val="auto"/>
        </w:rPr>
      </w:pPr>
    </w:p>
    <w:p>
      <w:pPr>
        <w:ind w:right="520" w:firstLine="889"/>
        <w:spacing w:after="0" w:line="282" w:lineRule="auto"/>
        <w:tabs>
          <w:tab w:leader="none" w:pos="11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Distributions Pursuant to Deferral Elections</w:t>
      </w:r>
      <w:r>
        <w:rPr>
          <w:rFonts w:ascii="Times New Roman" w:cs="Times New Roman" w:eastAsia="Times New Roman" w:hAnsi="Times New Roman"/>
          <w:sz w:val="18"/>
          <w:szCs w:val="18"/>
          <w:color w:val="auto"/>
        </w:rPr>
        <w:t>. Except as otherwise permitted or required by Code Section 409A, no distribution in settlement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may commence earlier than:</w:t>
      </w:r>
    </w:p>
    <w:p>
      <w:pPr>
        <w:spacing w:after="0" w:line="207" w:lineRule="exact"/>
        <w:rPr>
          <w:sz w:val="20"/>
          <w:szCs w:val="20"/>
          <w:color w:val="auto"/>
        </w:rPr>
      </w:pPr>
    </w:p>
    <w:p>
      <w:pPr>
        <w:ind w:left="1140" w:hanging="25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Participant becomes Disabled (as defined in Section 2.15(b);</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ind w:right="160" w:firstLine="889"/>
        <w:spacing w:after="0" w:line="282" w:lineRule="auto"/>
        <w:tabs>
          <w:tab w:leader="none" w:pos="1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the Company or a substantial portion of its assets within the meaning of Treasury Regulation Section 1.409A-3(i)</w:t>
      </w:r>
    </w:p>
    <w:p>
      <w:pPr>
        <w:spacing w:after="0" w:line="27" w:lineRule="exact"/>
        <w:rPr>
          <w:rFonts w:ascii="Times New Roman" w:cs="Times New Roman" w:eastAsia="Times New Roman" w:hAnsi="Times New Roman"/>
          <w:sz w:val="18"/>
          <w:szCs w:val="18"/>
          <w:color w:val="auto"/>
        </w:rPr>
      </w:pPr>
    </w:p>
    <w:p>
      <w:pPr>
        <w:ind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(5)(v) or (vii) or a change in effective control of the Company within the meaning of Treasury Regulation Section 1.409A-3(i)(5)(vi) (a “Change in Control”).</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Six Month Delay</w:t>
      </w:r>
      <w:r>
        <w:rPr>
          <w:rFonts w:ascii="Times New Roman" w:cs="Times New Roman" w:eastAsia="Times New Roman" w:hAnsi="Times New Roman"/>
          <w:sz w:val="18"/>
          <w:szCs w:val="18"/>
          <w:color w:val="auto"/>
        </w:rPr>
        <w:t>. Notwithstanding anything herein or in any Award Agreement or Election to the contrary, to the extent that distribution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Regulation Section 1.409A-1(i)), no distribution may be made before the date which is six (6) months after such Grantee’s Separation from Service, or, if earlier, the date of the Grantee’s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2" w:name="page23"/>
    <w:bookmarkEnd w:id="22"/>
    <w:p>
      <w:pPr>
        <w:jc w:val="both"/>
        <w:ind w:right="2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0" w:lineRule="exact"/>
        <w:rPr>
          <w:sz w:val="20"/>
          <w:szCs w:val="20"/>
          <w:color w:val="auto"/>
        </w:rPr>
      </w:pPr>
    </w:p>
    <w:p>
      <w:pPr>
        <w:jc w:val="both"/>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 Acceleration of Distributions</w:t>
      </w:r>
      <w:r>
        <w:rPr>
          <w:rFonts w:ascii="Times New Roman" w:cs="Times New Roman" w:eastAsia="Times New Roman" w:hAnsi="Times New Roman"/>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Required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8" w:lineRule="auto"/>
        <w:tabs>
          <w:tab w:leader="none" w:pos="11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3"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75" w:lineRule="exact"/>
        <w:rPr>
          <w:rFonts w:ascii="Times New Roman" w:cs="Times New Roman" w:eastAsia="Times New Roman" w:hAnsi="Times New Roman"/>
          <w:sz w:val="18"/>
          <w:szCs w:val="18"/>
          <w:color w:val="auto"/>
        </w:rPr>
      </w:pPr>
    </w:p>
    <w:p>
      <w:pPr>
        <w:ind w:left="1600" w:hanging="270"/>
        <w:spacing w:after="0"/>
        <w:tabs>
          <w:tab w:leader="none" w:pos="16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part or all of the amount to be withheld in the form of Common Stock valued at its Fair Market Value on the Tax Date;</w:t>
      </w:r>
    </w:p>
    <w:p>
      <w:pPr>
        <w:spacing w:after="0" w:line="225" w:lineRule="exact"/>
        <w:rPr>
          <w:rFonts w:ascii="Times New Roman" w:cs="Times New Roman" w:eastAsia="Times New Roman" w:hAnsi="Times New Roman"/>
          <w:sz w:val="18"/>
          <w:szCs w:val="18"/>
          <w:color w:val="auto"/>
        </w:rPr>
      </w:pPr>
    </w:p>
    <w:p>
      <w:pPr>
        <w:ind w:left="880" w:right="60" w:firstLine="450"/>
        <w:spacing w:after="0" w:line="266" w:lineRule="auto"/>
        <w:tabs>
          <w:tab w:leader="none" w:pos="163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75" w:lineRule="exact"/>
        <w:rPr>
          <w:rFonts w:ascii="Times New Roman" w:cs="Times New Roman" w:eastAsia="Times New Roman" w:hAnsi="Times New Roman"/>
          <w:sz w:val="18"/>
          <w:szCs w:val="18"/>
          <w:color w:val="auto"/>
        </w:rPr>
      </w:pPr>
    </w:p>
    <w:p>
      <w:pPr>
        <w:ind w:left="1640" w:hanging="310"/>
        <w:spacing w:after="0"/>
        <w:tabs>
          <w:tab w:leader="none" w:pos="1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due to the Grantee.</w:t>
      </w:r>
    </w:p>
    <w:p>
      <w:pPr>
        <w:spacing w:after="0" w:line="225" w:lineRule="exact"/>
        <w:rPr>
          <w:sz w:val="20"/>
          <w:szCs w:val="20"/>
          <w:color w:val="auto"/>
        </w:rPr>
      </w:pPr>
    </w:p>
    <w:p>
      <w:pPr>
        <w:ind w:left="440" w:right="40" w:firstLine="441"/>
        <w:spacing w:after="0" w:line="256" w:lineRule="auto"/>
        <w:rPr>
          <w:sz w:val="20"/>
          <w:szCs w:val="20"/>
          <w:color w:val="auto"/>
        </w:rPr>
      </w:pPr>
      <w:r>
        <w:rPr>
          <w:rFonts w:ascii="Times New Roman" w:cs="Times New Roman" w:eastAsia="Times New Roman" w:hAnsi="Times New Roman"/>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87" w:lineRule="exact"/>
        <w:rPr>
          <w:sz w:val="20"/>
          <w:szCs w:val="20"/>
          <w:color w:val="auto"/>
        </w:rPr>
      </w:pPr>
    </w:p>
    <w:p>
      <w:pPr>
        <w:ind w:right="340" w:firstLine="889"/>
        <w:spacing w:after="0" w:line="282" w:lineRule="auto"/>
        <w:tabs>
          <w:tab w:leader="none" w:pos="113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Notification under Code Section 83(b)</w:t>
      </w:r>
      <w:r>
        <w:rPr>
          <w:rFonts w:ascii="Times New Roman" w:cs="Times New Roman" w:eastAsia="Times New Roman" w:hAnsi="Times New Roman"/>
          <w:sz w:val="18"/>
          <w:szCs w:val="18"/>
          <w:color w:val="auto"/>
        </w:rPr>
        <w:t>. If the Grantee, in connection with the exercise of any Option, or the grant of Restricted Shares, makes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permitted under Section 83(b) of the Code to include in such Grantee’s gross income in the year of transfer the amounts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83(b) of the Code, then such Grantee shall notify the Company of such election within 10 days of filing the notice of the election with the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Service, in addition to any filing and notification required pursuant to regulations issued under Section 83(b) of the Code. The Committee may,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grant of an Award or at any time thereafter, prohibit a Grantee from making the election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07"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89"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0" w:lineRule="exact"/>
        <w:rPr>
          <w:sz w:val="20"/>
          <w:szCs w:val="20"/>
          <w:color w:val="auto"/>
        </w:rPr>
      </w:pPr>
    </w:p>
    <w:p>
      <w:pPr>
        <w:ind w:right="2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24" w:name="page25"/>
    <w:bookmarkEnd w:id="24"/>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89"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3"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Unfunded Status of Awards; Creation of Trusts</w:t>
      </w:r>
      <w:r>
        <w:rPr>
          <w:rFonts w:ascii="Times New Roman" w:cs="Times New Roman" w:eastAsia="Times New Roman" w:hAnsi="Times New Roman"/>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83"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Affiliation</w:t>
      </w:r>
      <w:r>
        <w:rPr>
          <w:rFonts w:ascii="Times New Roman" w:cs="Times New Roman" w:eastAsia="Times New Roman" w:hAnsi="Times New Roman"/>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76"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No employee or officer shall have the right to be selected to receive an Award under this Plan or, having been so selected, to be selected to receive a future Award.</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Military Service</w:t>
      </w:r>
      <w:r>
        <w:rPr>
          <w:rFonts w:ascii="Times New Roman" w:cs="Times New Roman" w:eastAsia="Times New Roman" w:hAnsi="Times New Roman"/>
          <w:sz w:val="18"/>
          <w:szCs w:val="18"/>
          <w:color w:val="auto"/>
        </w:rPr>
        <w:t>. Awards shall be administered in accordance with Section 414(u) of the Code and the Uniformed Services Employment and Reemployment Rights Act of 1994.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following rules of construction will apply to the Plan: (a) the word “or” is disjunctive but not necessarily exclusive, and</w:t>
      </w:r>
    </w:p>
    <w:p>
      <w:pPr>
        <w:spacing w:after="0" w:line="27" w:lineRule="exact"/>
        <w:rPr>
          <w:sz w:val="20"/>
          <w:szCs w:val="20"/>
          <w:color w:val="auto"/>
        </w:rPr>
      </w:pPr>
    </w:p>
    <w:p>
      <w:pPr>
        <w:ind w:right="340" w:firstLine="8"/>
        <w:spacing w:after="0" w:line="260"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1"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are included solely for convenience of reference, and if there is any conflict between such headings and the text of this Plan, the text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5" w:name="page26"/>
    <w:bookmarkEnd w:id="25"/>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u w:val="single" w:color="auto"/>
          <w:color w:val="auto"/>
        </w:rPr>
        <w:t>No Right to Continue as Director</w:t>
      </w:r>
      <w:r>
        <w:rPr>
          <w:rFonts w:ascii="Times New Roman" w:cs="Times New Roman" w:eastAsia="Times New Roman" w:hAnsi="Times New Roman"/>
          <w:sz w:val="18"/>
          <w:szCs w:val="18"/>
          <w:color w:val="auto"/>
        </w:rPr>
        <w:t>. Nothing in the Plan or any Award Agreement shall confer upon any Non-Employee Director the right to continue to serve as a director of the Company.</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sectPr>
      <w:pgSz w:w="11900" w:h="16838" w:orient="portrait"/>
      <w:cols w:equalWidth="0" w:num="1">
        <w:col w:w="10900"/>
      </w:cols>
      <w:pgMar w:left="320" w:top="702"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abstractNum>
  <w:abstractNum w:abstractNumId="2">
    <w:nsid w:val="7C83E458"/>
    <w:multiLevelType w:val="hybridMultilevel"/>
    <w:lvl w:ilvl="0">
      <w:lvlJc w:val="left"/>
      <w:lvlText w:val="%1"/>
      <w:numFmt w:val="lowerLetter"/>
      <w:start w:val="1"/>
    </w:lvl>
    <w:lvl w:ilvl="1">
      <w:lvlJc w:val="left"/>
      <w:lvlText w:val="(%2)"/>
      <w:numFmt w:val="lowerLetter"/>
      <w:start w:val="1"/>
    </w:lvl>
  </w:abstractNum>
  <w:abstractNum w:abstractNumId="3">
    <w:nsid w:val="257130A3"/>
    <w:multiLevelType w:val="hybridMultilevel"/>
    <w:lvl w:ilvl="0">
      <w:lvlJc w:val="left"/>
      <w:lvlText w:val="(%1)"/>
      <w:numFmt w:val="lowerLetter"/>
      <w:start w:val="9"/>
    </w:lvl>
    <w:lvl w:ilvl="1">
      <w:lvlJc w:val="left"/>
      <w:lvlText w:val="(%2)"/>
      <w:numFmt w:val="lowerLetter"/>
      <w:start w:val="3"/>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lowerLetter"/>
      <w:start w:val="2"/>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3"/>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lvl w:ilvl="1">
      <w:lvlJc w:val="left"/>
      <w:lvlText w:val="(%2)"/>
      <w:numFmt w:val="lowerLetter"/>
      <w:start w:val="11"/>
    </w:lvl>
  </w:abstractNum>
  <w:abstractNum w:abstractNumId="11">
    <w:nsid w:val="6763845E"/>
    <w:multiLevelType w:val="hybridMultilevel"/>
    <w:lvl w:ilvl="0">
      <w:lvlJc w:val="left"/>
      <w:lvlText w:val="(%1)"/>
      <w:numFmt w:val="lowerLetter"/>
      <w:start w:val="35"/>
    </w:lvl>
    <w:lvl w:ilvl="1">
      <w:lvlJc w:val="left"/>
      <w:lvlText w:val="(%2)"/>
      <w:numFmt w:val="lowerLetter"/>
      <w:start w:val="14"/>
    </w:lvl>
  </w:abstractNum>
  <w:abstractNum w:abstractNumId="12">
    <w:nsid w:val="75A2A8D4"/>
    <w:multiLevelType w:val="hybridMultilevel"/>
    <w:lvl w:ilvl="0">
      <w:lvlJc w:val="left"/>
      <w:lvlText w:val="(%1)"/>
      <w:numFmt w:val="lowerRoman"/>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3"/>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3"/>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1)"/>
      <w:numFmt w:val="lowerLetter"/>
      <w:start w:val="2"/>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2"/>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3"/>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25"/>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1"/>
    </w:lvl>
    <w:lvl w:ilvl="1">
      <w:lvlJc w:val="left"/>
      <w:lvlText w:val="(%2)"/>
      <w:numFmt w:val="lowerRoman"/>
      <w:start w:val="1"/>
    </w:lvl>
  </w:abstractNum>
  <w:abstractNum w:abstractNumId="32">
    <w:nsid w:val="614FD4A1"/>
    <w:multiLevelType w:val="hybridMultilevel"/>
    <w:lvl w:ilvl="0">
      <w:lvlJc w:val="left"/>
      <w:lvlText w:val="(%1)"/>
      <w:numFmt w:val="lowerLetter"/>
      <w:start w:val="2"/>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2024-06-14T15:56:17Z</dcterms:created>
  <dcterms:modified xsi:type="dcterms:W3CDTF">2024-06-14T15:56:17Z</dcterms:modified>
</cp:coreProperties>
</file>