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333-251175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26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18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21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62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4"/>
        </w:trPr>
        <w:tc>
          <w:tcPr>
            <w:tcW w:w="3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21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Title of Each Class of Securities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to be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6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398"/>
        </w:trPr>
        <w:tc>
          <w:tcPr>
            <w:tcW w:w="3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to be Registered</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registered</w:t>
            </w:r>
            <w:r>
              <w:rPr>
                <w:rFonts w:ascii="Times New Roman" w:cs="Times New Roman" w:eastAsia="Times New Roman" w:hAnsi="Times New Roman"/>
                <w:sz w:val="29"/>
                <w:szCs w:val="29"/>
                <w:b w:val="1"/>
                <w:bCs w:val="1"/>
                <w:color w:val="auto"/>
                <w:w w:val="94"/>
                <w:vertAlign w:val="superscript"/>
              </w:rPr>
              <w:t>(1)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2"/>
              </w:rPr>
              <w:t>Fee</w:t>
            </w:r>
            <w:r>
              <w:rPr>
                <w:rFonts w:ascii="Times New Roman" w:cs="Times New Roman" w:eastAsia="Times New Roman" w:hAnsi="Times New Roman"/>
                <w:sz w:val="29"/>
                <w:szCs w:val="29"/>
                <w:b w:val="1"/>
                <w:bCs w:val="1"/>
                <w:color w:val="auto"/>
                <w:w w:val="92"/>
                <w:vertAlign w:val="superscript"/>
              </w:rPr>
              <w:t>(2)</w:t>
            </w:r>
          </w:p>
        </w:tc>
        <w:tc>
          <w:tcPr>
            <w:tcW w:w="0" w:type="dxa"/>
            <w:vAlign w:val="bottom"/>
          </w:tcPr>
          <w:p>
            <w:pPr>
              <w:spacing w:after="0"/>
              <w:rPr>
                <w:sz w:val="1"/>
                <w:szCs w:val="1"/>
                <w:color w:val="auto"/>
              </w:rPr>
            </w:pPr>
          </w:p>
        </w:tc>
      </w:tr>
      <w:tr>
        <w:trPr>
          <w:trHeight w:val="88"/>
        </w:trPr>
        <w:tc>
          <w:tcPr>
            <w:tcW w:w="326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1,569,750</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$172,672,500.00</w:t>
            </w:r>
          </w:p>
        </w:tc>
        <w:tc>
          <w:tcPr>
            <w:tcW w:w="16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$18,838.57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(1)Assumes exercise in full of the underwriters’ option to purchase up to an additional 204,750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(2)Calculated in accordance with Rule 457(r)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865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1,365,000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offering an aggregate of 1,365,000 shares of our common stock pursuant to this prospectus supplement and accompanying prospectus.</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“ARCT.” The last reported sale price of our common stock on the Nasdaq Global Market on December 7, 2020 was $123.66 per share.</w:t>
      </w:r>
    </w:p>
    <w:p>
      <w:pPr>
        <w:spacing w:after="0" w:line="158"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An investment in our common stock involves a high degree of risk. Please read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on page S-8 of this prospectus supplement and in the documents incorporated by reference into this prospectus supplement before investing in our securities.</w:t>
      </w:r>
    </w:p>
    <w:p>
      <w:pPr>
        <w:spacing w:after="0" w:line="159"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73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w:t>
            </w: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150,150,000</w:t>
            </w: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9"/>
                <w:szCs w:val="29"/>
                <w:color w:val="auto"/>
                <w:vertAlign w:val="superscript"/>
              </w:rPr>
              <w:t>(1)</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6.60</w:t>
            </w:r>
          </w:p>
        </w:tc>
        <w:tc>
          <w:tcPr>
            <w:tcW w:w="260" w:type="dxa"/>
            <w:vAlign w:val="bottom"/>
          </w:tcPr>
          <w:p>
            <w:pPr>
              <w:spacing w:after="0"/>
              <w:rPr>
                <w:sz w:val="22"/>
                <w:szCs w:val="22"/>
                <w:color w:val="auto"/>
              </w:rPr>
            </w:pP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9,009,000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103.40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141,141,000</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179"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you to “Underwriting” beginning on page S-21 of this prospectus supplement for information regarding underwriting compensation.</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204,750, shares of our common stock from us at the public offering price, less the underwriting discounts and commissions, within 30 days from the date of this prospectus supplement.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underwriters expect to deliver the shares against payment on or about December 10, 2020.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240"/>
          </w:cols>
          <w:pgMar w:left="320" w:top="333" w:right="33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Piper Sandler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Guggenheim Securities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Wells Fargo Securities</w:t>
      </w:r>
    </w:p>
    <w:p>
      <w:pPr>
        <w:spacing w:after="0" w:line="211" w:lineRule="exact"/>
        <w:rPr>
          <w:sz w:val="20"/>
          <w:szCs w:val="20"/>
          <w:color w:val="auto"/>
        </w:rPr>
      </w:pPr>
    </w:p>
    <w:p>
      <w:pPr>
        <w:sectPr>
          <w:pgSz w:w="11900" w:h="16838" w:orient="portrait"/>
          <w:cols w:equalWidth="0" w:num="3">
            <w:col w:w="3480" w:space="720"/>
            <w:col w:w="3560" w:space="720"/>
            <w:col w:w="2760"/>
          </w:cols>
          <w:pgMar w:left="320" w:top="333" w:right="339"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Lead Manager</w:t>
      </w:r>
    </w:p>
    <w:p>
      <w:pPr>
        <w:sectPr>
          <w:pgSz w:w="11900" w:h="16838" w:orient="portrait"/>
          <w:cols w:equalWidth="0" w:num="1">
            <w:col w:w="11240"/>
          </w:cols>
          <w:pgMar w:left="320" w:top="333" w:right="3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Baird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December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90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0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Prospectus Supplement Summary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Offering</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Dilution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U.S. Federal Income Tax Consequences For Non-U.S. Holders Of Our Common Stock</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Where You Can Find Additional Information</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90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tcPr>
          <w:p>
            <w:pPr>
              <w:spacing w:after="0"/>
              <w:rPr>
                <w:sz w:val="24"/>
                <w:szCs w:val="24"/>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Incorporation of Certain Documents by Reference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Stock We May Offer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Debt Securities We May Offer</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 We May Offer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Units We May Offer</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9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including the documents incorporated by reference herein, which describes the specific terms of this offering and also adds to and updates the information contained in the accompanying prospectus and the documents incorporated by reference therein. The second part, the accompanying prospectus, including the documents incorporated by reference therein, provides more general information, some of which may not apply to this offering. Generally, when we refer to this prospectus, we are referring to both parts of this document combined. Before you invest, you should carefully read this prospectus supplement, the accompanying prospectus and the information incorporated by reference herein and therein, as well as the additional information described in this prospectus supplement under “Where You Can Find Additional Information.”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 Before buying any of the shares of common stock that we are offering, we urge you to carefully read this prospectus supplement, the accompanying prospectus and any related free writing prospectus and all of the information incorporated by reference herein and therein, as well as the additional information described under the headings “Where You Can Find Additional Information” and “Incorporation of Certain Information by Reference.” These documents contain important information that you should consider when making your investment decision.</w:t>
      </w:r>
    </w:p>
    <w:p>
      <w:pPr>
        <w:spacing w:after="0" w:line="19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supplement, the accompanying prospectus, and any related free writing prospectus filed by us with the Securities and Exchange Commission, or SEC. Neither we nor the underwriters have authorized any other person to provide you with any information that is different. If anyone provides you with different or inconsistent information, you should not rely on it.</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sell or the solicitation of an offer to buy any securities other than the shares of common stock described in this prospectus supplement or an offer to sell or the solicitation of an offer to buy such securities in any circumstances in which such offer or solicitation is unlawful. Persons outside the United States who come into possession of this prospectus supplement must inform themselves about, and observe any restrictions relating to, the offering of the shares of common stock and the distribution of this prospectus supplement outside the United States.</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the accompanying prospectus, the documents incorporated by reference herein and therein and any related free writing prospectus is accurate only as of their respective dates. Our business, financial condition, results of operations and prospects may have changed materially since those dates.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this prospectus supplement, the terms “Arcturus Therapeutics,” “we,” “us,” “our” and the “Company” refer to Arcturus Therapeutics Holdings Inc. and its predecessors and consolidated subsidiaries unless otherwise stated or the context otherwise requires.</w:t>
      </w:r>
    </w:p>
    <w:p>
      <w:pPr>
        <w:spacing w:after="0" w:line="16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7"/>
          <w:szCs w:val="17"/>
          <w:color w:val="auto"/>
        </w:rPr>
        <w:t xml:space="preserve">The Arcturus logo and other trademarks of Arcturus are some of our trademarks and registered marks used in this prospectus supplement and the documents incorporated by reference herein. This prospectus supplement and the documents incorporated by reference herein also include trademarks, tradenames and service marks that are the property of other organizations. Solely for convenience, our trademarks and tradenames appear without the </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w:t>
      </w:r>
    </w:p>
    <w:p>
      <w:pPr>
        <w:spacing w:after="0" w:line="22" w:lineRule="exact"/>
        <w:rPr>
          <w:sz w:val="20"/>
          <w:szCs w:val="20"/>
          <w:color w:val="auto"/>
        </w:rPr>
      </w:pPr>
    </w:p>
    <w:p>
      <w:pPr>
        <w:ind w:right="140" w:firstLine="8"/>
        <w:spacing w:after="0" w:line="208" w:lineRule="auto"/>
        <w:tabs>
          <w:tab w:leader="none" w:pos="192"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symbol, but those references are not intended to indicate, in any way, that we will not assert, to the fullest extent under applicable law, our rights, or the right of the applicable licensor to these trademarks and tradenames.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summary highlights information contained in other parts of this prospectus supplement or incorporated by reference from our Annual Report on Form 10-K for the year ended December 31, 2019 and our other filings with the SEC listed under the section of the prospectus titled “Incorporation of Certain Information by Reference” contained in this prospectus supplement. This summary does not contain all of the information you should consider in making your investment decision. Before deciding to invest in our common stock, you should read this prospectus supplement, the accompanying prospectus, any related free writing prospectus and the information incorporated by reference herein and therein in their entirety. You should carefully consider, among other things, the matters discussed under the section titled “Risk Factors” contained in this prospectus supplement and any related free writing prospectus, and under similar headings in the other documents that are incorporated by reference in this prospectus supplement and the accompanying prospectus. Some of the statements in this prospectus supplement constitute forward-looking statements that involve risks and uncertainties. See the section titled “Cautionary Note Regarding Forward-Looking Statements.”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are a clinical-stage messenger RNA medicines company focused on the development of infectious disease vaccines and significant opportunities within liver and respiratory rare diseases utilizing our Self-Transcribing and Replicating RNA (“STARR”) technology. In addition to our internal messenger RNA (“mRNA”) platform, our proprietary lipid mediated delivery system, LUNAR, has the potential to enable multiple nucleic acid medicines.</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0" w:lineRule="exact"/>
        <w:rPr>
          <w:sz w:val="20"/>
          <w:szCs w:val="20"/>
          <w:color w:val="auto"/>
        </w:rPr>
      </w:pPr>
    </w:p>
    <w:p>
      <w:pPr>
        <w:ind w:left="980" w:right="46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deep expertise in the discovery and development of RNA medicines, including key experience in the production of RNA drug substance and nanoparticle-formulated drug product.</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pipeline of eleven drug candidates in late-stage discovery and early-stage development, five of which are wholly-owned and six of which involve partnered programs</w:t>
      </w:r>
    </w:p>
    <w:p>
      <w:pPr>
        <w:spacing w:after="0" w:line="188"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the STARR technology platform which combines self-replicating RNA with LUNAR into a single solution for partners.</w:t>
      </w:r>
    </w:p>
    <w:p>
      <w:pPr>
        <w:spacing w:after="0" w:line="252"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wholly-owned, LUNAR and nucleic acid technologies are covered by a patent portfolio of 200 patents and patent applications, issued in the United States, China, Europe, Japan and other countries. This patent portfolio covers our proprietary mRNA and STARR chemistry, design, modifications and manufacturing process as well as our LUNAR chemistry, design and drug product manufacturing.</w:t>
      </w:r>
    </w:p>
    <w:p>
      <w:pPr>
        <w:spacing w:after="0" w:line="20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can use our proprietary technologies to develop RNA medicines in multiple therapeutic approaches: (1) mRNA, DNA, and replicon protein replacement for therapeutics and antigen expression for vaccines; (2) siRNA, microRNA, and antisense oligonucleotides - knockdown of genes overexpressed in disease; and (3) CRISPR, TALEN, zinc finger proteins, megaTALs and meganucleases - gene editing of errant genes.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LUNAR-COV19 Vaccine Candidate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Coronaviruses are a family of viruses that can lead to respiratory illness, including Middle East Respiratory Syndrome (MERS-CoV) and Severe Acute Respiratory Syndrome (SARS-CoV). Coronaviruses are transmitted between animals and people and can evolve into strains not previously identified in humans. On January 7, 2020, a novel coronavirus was identified as the cause of pneumonia cases in Wuhan City, Hubei Province of China. On February 11, 2020 the World Health Organization announced the official name for the disease that caused the 2019 novel coronavirus outbreak as coronavirus disease 2019, commonly abbreviated as COVID-19. The spread of COVID-19 has resulted in the current global coronavirus pandemic.</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response to this pandemic, in March of 2020 we partnered with Duke-NUS Medical School to develop a COVID-19 vaccine for the Singapore Economic Development Board, or EDB, based on the Company’s STARR™ Technology and designated the vaccine candidate LUNAR-COV19. Duke-NUS Medical School is a graduate entry medical school in Singapore, established in 2005 through a partnership between Duke University School of Medicine and the National University of Singapore (NUS).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March 4, 2020, we were awarded a grant from the EDB to support the co-development of LUNAR-COV19 with Duke-NUS Medical School. In exchange for the grant, we agreed to supply LUNAR-COV19 to the EDB for use within Singapore and we retained the right to sell and market LUNAR-COV19 outside of Singapore. We have agreed to pay Duke-NUS Medical School a low single digit royalty based on annual net sales of the vaccine in markets or jurisdictions outside of Singapore.</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April 27, 2020, we released positive immunogenicity data from our preclinical study in rodents for LUNAR-COV19, as measured by investigators at the Duke-NUS Medical School. Seroconversion, using an industry standard virus neutralization assay (Vero-E6 cells with a SARS-CoV-2 Singapore Clinical Isolate), and IgG/IgM antibody titers were assessed at day 10 and day 19. Rodents were immunized with a single dose (0.2, 2, and 10 µg, i.m.) of LUNAR-COV19 vaccine. The study results showed self-transcribing and replicating (STARR™) mRNA induced higher seroconversion relative to conventional mRNA at equivalent doses. In conjunction, anti-SARS-CoV-2 IgG and IgM antibody titers were also higher.</w:t>
      </w:r>
    </w:p>
    <w:p>
      <w:pPr>
        <w:spacing w:after="0" w:line="183"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On May 4, 2020, we entered into an agreement with Catalent, Inc. to manufacture LUNAR-COV19 at Catalent’s cGMP drug substance biomanufacturing facility in Madison, Wisconsin, for human clinical studies.</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May 8, 2020, we disclosed new supportive preclinical data, providing evidence for an adaptive cellular (CD8+ cells) and balanced (Th1/Th2) immune response data from LUNAR-COV19, providing strong support for human vaccine clinical trials. The preclinical data was measured by investigators at the Duke-NUS Medical School.</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June 30, 2020, we submitted a Clinical Trial Application (CTA) for LUNAR-COV19 to the Singapore Health Sciences Authority (HSA). On July 20, 2020, the HSA notified us that LUNAR-COV19 was approved to proceed into clinical trials. We commenced a Phase 1/2 clinical trial in Singapore in August 2020 to test several dose levels of LUNAR-COV19 in up to 108 adults, including older adults, to evaluate safety, tolerability and the extent and duration of the humoral and cellular immune response.</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August 17, 2020, our wholly owned subsidiary entered into a definitive Supply Agreement (the “Supply Agreement”) with the Israeli Ministry of Health (“MOH”) which provides for the supply of LUNAR-COV19 to the MOH. The MOH has elected to reserve delivery by us of doses of LUNAR-COV19 for an initial 500,000 vaccinations (the “Initial Reserve Doses”). The Supply Agreement also provides the MOH with the right to elect, in its discretion, to purchase additional doses of LUNAR-COV19 upon notice to us prior to specified dates at specified purchase prices. If the MOH elects to purchase the maximum number of doses currently subject to reservations or rights to reserve under the Supply Agreement, the total purchase price will range between $212.5 million and $225 million, with the exact price tied to when we obtain the required regulatory approvals. As a result of the entry into the Supply Agreement, the MOH has secured the right to receive the doses subject to reservation or rights to reserve before any third party other than Singapore, subject to certain terms and conditions. On October 14, 2020, we received a non-refundable first reserve payment of US$12.5 million from the MOH. This first reserve payment of US$12.5 million is associated with a specified clinical trial milestone, and was provided after a data review process during which the MOH had access to material preclinical and clinical data for our LUNAR-COV19 vaccine candidate. This payment serves as partial payment for the Initial Reserve Doses.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October 2, 2020, our wholly-owned subsidiary was awarded a grant (the “Grant”) from the Singapore Economic Development Board (the “EDB”) to support the further development of our LUNAR-COV19 vaccine candidate. The Grant provides for up to S$9.3 million (approximately US$6.7 million) to support the development of the vaccine candidate. The Grant will be paid in two installments upon the achievement of certain milestones related to the progress of the development of the vaccine candidate.</w:t>
      </w:r>
    </w:p>
    <w:p>
      <w:pPr>
        <w:spacing w:after="0" w:line="180"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In November 2020, we announced interim Phase 1/2 data suggesting favorable immunogenicity and safety results for both single-dose and prime-boost regimens. Such data also observed 100% seroconversion for IgG binding antibodies in younger adults; 1 out of 5 older adult participants has not yet seroconverted; observed geometric mean titer (GMT)&gt; 2300 in all cohorts. In addition, in November 2020, we secured manufacturing slots with Recipharm to support cGMP manufacture, and completed the transfer of our lyophilization technology. In November 2020, we also announced a manufacturing support agreement with Singapore’s EDB that includes a limited recourse loan of $45 million and terms for LUNAR-COV19 vaccine purchase of up to $175 million, with shipments to Singapore of LUNAR-COV19 for stockpiling purposes expected to begin as early as the first quarter of 2021.</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completed dosing all subjects in our initial Phase 1/2 trial with several dose levels of LUNAR-COV19 and we are continuing to monitor and will release further data from this study. Based on the strength of the data already generated from the Phase 1/2 trial, we expect to commence a Phase 2 trial of LUNAR-COV19 in the first quarter of 2021, in order to identify the optimal regimens. We also expect to commence our Phase 3 LUNAR-COV19 trial in second quarter of 2021, and anticipate that it will continue through 2021. We plan to continue to monitor subjects in the Phase 3 trial into 2022 (whether or not we receive emergency use authorization for LUNAR-COV19 during 2021). We will need to identify additional funding sources to continue the Phase 3 trial. The data received to date, although providing sufficient information to allow us to proceed further is not complete enough to provide conclusive evidence with respect to conclusive safety and potential efficacy of LUNAR-COV19. We have submitted a Clinical Trial Application (“CTA”) and an Investigational New Drug Applications (IND) application, respectively, to the Singapore Health Sciences Authority (“HSA”) and the US Food and Drug Administration (“FDA”) to allow us to proceed with our Phase 2 clinical study. We are positioned to manufacture finished doses of LUNAR-COV19 in the first quarter of 2021 for stockpiling purposes.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intend to utilize a portion of the proceeds of this offering to fund clinical trials and manufacturing of LUNAR-COV19.</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also expect to seek additional funding to continue development and scaling up of LUNAR-COV19 from securities offerings in the future and from additional contracts with foreign governmental authorities in addition to those of Singapore and Israel.</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ARCT-810 mRNA-based therapeutic candidate for OTC deficiency</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April 2020, we became a clinical stage company when we announced that our Investigational New Drug application for a Phase 1b study in patients with ornithine transcarbamylase (“OTC”) deficiency was deemed allowed to proceed by the U.S. Food and Drug Administration (“FDA”), and an additional Clinical Trial Application (“CTA”) for a Phase 1 study in healthy volunteers was approved by the New Zealand Medicines and Medical Devices Safety Authority.</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Phase 1b study and Phase 1 study are focused on an mRNA-based therapeutic candidate for OTC deficiency named ARCT-810. ARCT-810 utilizes our LUNAR® lipid-mediated delivery platform to deliver OTC messenger RNA to liver cells. The ARCT-810 program is supported by preclinical data in OTC deficiency murine models demonstrating that dosing of LUNAR-OTC results in robust OTC protein expression and activity resulting in improvements in ureagenesis and plasma ammonia, and increased survival. Worldwide development and commercialization rights to ARCT-810 are entirely held by Arcturus.</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June 5, 2020, we announced that we dosed the first healthy volunteer in a Phase 1 study of ARCT-810 in a double blind, placebo-controlled, dose-escalation trial in healthy adult volunteers. The study evaluated four cohorts in total; three cohorts with six subjects each and one cohort (the top dose of 0.4 mg/kg) with 12 subjects. In each cohort, four (or eight) subjects are expected to received ARCT-810 and two (or four) have received a placebo. The study is intended to evaluate safety and tolerability, pharmacokinetics, and exploratory pharmacodynamic biomarkers.</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November 2020, we announced that we completed dose escalation for ARCT-810 of all cohorts (0.1, 0.2, 0.3, 0.4 mg/kg) in our Phase 1 Study, and that the Phase 1b study in OTC-deficient patients in the United States was open for enrollment. We intend to commence a Phase 2 multiple does study for ARCT-810 in mid-2021.</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December 7, 2020, we announced that we initiated dosing in the United States in our Phase 1b trial of ARCT-810 in patients with OTC deficiency. The trial will enroll approximately 12 patients and is designed to assess safety, tolerability and pharmacokinetics, as well as various exploratory biomarkers of drug activity.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LUNAR-FLU Vaccine</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Flu season is an annually recurring time period characterized by the prevalence of outbreaks of influenza (flu). The season occurs during the cold half of the year in each hemisphere. Influenza activity can usually be predicted and even tracked geographically.</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Arcturus is initiating a pipeline program to develop a vaccine against seasonal flu. The program builds on the STARR/LUNAR platform and the learnings from our COVID-19 vaccine program. The vaccine will be quadrivalent and target hemagglutinin antigens from two strains of Influenza/A and two strains of Influenza/B. The intended product will mediate serological conversion of antibody-mediated immunity following a single intramuscular injection.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LUNAR-CV Targeted mRNA Therapeutic</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developing a mRNA replacement therapy targeting Low-Density Lipoprotein (LDL) Receptor (LDLR) for the treatment of homozygous familial hypercholesterolemia (HoFH), a severe genetic disease characterized by premature and aggressive plaque buildup, life threatening coronary artery disease and aortic valve disease predominantly due to abnormalities in the function or expression of LDLR. Present therapies do not sufficiently lower the plasma LDL-cholesterol (LDL-C) that lead to cardiovascular disease. Our preliminary studies in an LDLR knock out mouse model have demonstrated restoration of normal LDL plasma levels following a single intravenous administration of a LUNAR-mRNA encoding the LDLR. This normalization returned to baseline as the drug was metabolized.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Ultragenyx Option Exercise</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June 18, 2019, we entered into an Equity Purchase Agreement with Ultragenyx Pharmaceutical Inc. (“Ultragenyx”). Pursuant to this agreement, we granted Ultragenyx a two-year option to purchase up to 600,000 additional shares of our common stock at a price of $16.00 per share. On May 20, 2020, Ultragenyx completed the exercise of this option to purchase an additional 600,000 shares of Common Stock in accordance with the terms of the agreement. The issuance of the additional 600,000 shares closed on May 20, 2020.</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 as described more fully below.</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Redomiciliation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May 2019, shareholders of Arcturus Israel approved the Redomiciliation. In connection therewith, in February 2019, Arcturus Israel entered into a share exchange agreement (the “Exchange Agreement”) with Arcturus Therapeutics Holdings Inc., a newly established Delaware corporation. In June 2019, pursuant to the terms of the Exchange Agreement, all issued ordinary shares and options to purchase ordinary shares of Arcturus Israel were exchanged on a one-for-one basis for newly issued shares of common stock and options to purchase common stock, respectively, of the Company, resulting in Arcturus Israel becoming a subsidiary of the Company.</w:t>
      </w:r>
    </w:p>
    <w:p>
      <w:pPr>
        <w:spacing w:after="0" w:line="183"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In June 2019, Arcturus Israel’s ordinary shares were delisted from trading on Nasdaq and the Company’s shares commenced trading on Nasdaq under the symbol “ARCT.” Arcturus Israel is now a wholly-owned subsidiary of the Company, which is the successor to Arcturus Israel. Proceedings to liquidate Arcturus Israel are now pending in Israeli court.</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20"/>
          </w:cols>
          <w:pgMar w:left="320" w:top="333" w:right="359" w:bottom="1440" w:gutter="0" w:footer="0" w:header="0"/>
        </w:sectPr>
      </w:pPr>
    </w:p>
    <w:p>
      <w:pPr>
        <w:spacing w:after="0" w:line="225" w:lineRule="exact"/>
        <w:rPr>
          <w:sz w:val="20"/>
          <w:szCs w:val="20"/>
          <w:color w:val="auto"/>
        </w:rPr>
      </w:pPr>
    </w:p>
    <w:p>
      <w:pPr>
        <w:ind w:right="2060"/>
        <w:spacing w:after="0" w:line="537" w:lineRule="auto"/>
        <w:rPr>
          <w:sz w:val="20"/>
          <w:szCs w:val="20"/>
          <w:color w:val="auto"/>
        </w:rPr>
      </w:pPr>
      <w:r>
        <w:rPr>
          <w:rFonts w:ascii="Times New Roman" w:cs="Times New Roman" w:eastAsia="Times New Roman" w:hAnsi="Times New Roman"/>
          <w:sz w:val="18"/>
          <w:szCs w:val="18"/>
          <w:b w:val="1"/>
          <w:bCs w:val="1"/>
          <w:color w:val="auto"/>
        </w:rPr>
        <w:t>Common stock offered by us Option to purchase additional shares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1,365,000 shares of our common stock</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204,750 shares of our common stock for a period of 30 days from the date of this prospectus supplement.</w:t>
      </w:r>
    </w:p>
    <w:p>
      <w:pPr>
        <w:spacing w:after="0" w:line="172" w:lineRule="exact"/>
        <w:rPr>
          <w:sz w:val="20"/>
          <w:szCs w:val="20"/>
          <w:color w:val="auto"/>
        </w:rPr>
      </w:pPr>
    </w:p>
    <w:p>
      <w:pPr>
        <w:sectPr>
          <w:pgSz w:w="11900" w:h="16838" w:orient="portrait"/>
          <w:cols w:equalWidth="0" w:num="2">
            <w:col w:w="4900" w:space="720"/>
            <w:col w:w="5600"/>
          </w:cols>
          <w:pgMar w:left="320" w:top="333" w:right="359" w:bottom="1440" w:gutter="0" w:footer="0" w:header="0"/>
          <w:type w:val="continuous"/>
        </w:sect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intend to use the net proceeds from this offering to conduct clinical trials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to commence manufacturing our LUNAR-COV19 vaccine candidate for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stockpiling purposes. See “Use of Proceeds” on page S-15 for additional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information.</w:t>
      </w:r>
    </w:p>
    <w:p>
      <w:pPr>
        <w:spacing w:after="0" w:line="20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You should read the “Risk Factors” section of this prospectus supplement and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the documents incorporated by reference in this prospectus supplement for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discussion of factors that you should read and consider before investing 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our common stock.</w:t>
      </w:r>
    </w:p>
    <w:p>
      <w:pPr>
        <w:spacing w:after="0" w:line="20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Nasdaq Global Market symbol</w:t>
      </w:r>
      <w:r>
        <w:rPr>
          <w:sz w:val="20"/>
          <w:szCs w:val="20"/>
          <w:color w:val="auto"/>
        </w:rPr>
        <w:tab/>
      </w:r>
      <w:r>
        <w:rPr>
          <w:rFonts w:ascii="Times New Roman" w:cs="Times New Roman" w:eastAsia="Times New Roman" w:hAnsi="Times New Roman"/>
          <w:sz w:val="17"/>
          <w:szCs w:val="17"/>
          <w:color w:val="auto"/>
        </w:rPr>
        <w:t>ARCT</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following this offering as shown above is based on 24,473,002 shares of our common stock outstanding on September 30, 2020 and excludes:</w:t>
      </w:r>
    </w:p>
    <w:p>
      <w:pPr>
        <w:spacing w:after="0" w:line="162" w:lineRule="exact"/>
        <w:rPr>
          <w:sz w:val="20"/>
          <w:szCs w:val="20"/>
          <w:color w:val="auto"/>
        </w:rPr>
      </w:pPr>
    </w:p>
    <w:p>
      <w:pPr>
        <w:ind w:left="660" w:right="2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2,342,225 shares of our common stock reserved for issuance under stock option agreements issued pursuant to our Amended and Restated 2019 Omnibus Equity Incentive Plan at a weighted average exercise price of $16.57 per share;</w:t>
      </w:r>
    </w:p>
    <w:p>
      <w:pPr>
        <w:spacing w:after="0" w:line="188" w:lineRule="exact"/>
        <w:rPr>
          <w:rFonts w:ascii="Times New Roman" w:cs="Times New Roman" w:eastAsia="Times New Roman" w:hAnsi="Times New Roman"/>
          <w:sz w:val="18"/>
          <w:szCs w:val="18"/>
          <w:color w:val="auto"/>
        </w:rPr>
      </w:pPr>
    </w:p>
    <w:p>
      <w:pPr>
        <w:ind w:left="800" w:hanging="455"/>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2,388,340 shares of our common stock reserved for future issuance under our Amended and Restated 2019 Omnibus Equity Incentive Plan;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 shares of our common stock reserved for future issuance under our 2020 Employee Stock Purchase Plan.</w:t>
      </w:r>
    </w:p>
    <w:p>
      <w:pPr>
        <w:spacing w:after="0" w:line="25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noted, all information in this prospectus supplement assumes no exercise by the underwriters of their option to purchase additional shares of common stock.</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You should carefully consider the following risk factors and the risk factors discussed under “Item 1A—Risk Factors” contained in our Annual Report on Form 10-K for the fiscal year ended December 31, 2019 and in Part II, Item 1A, Risk Factors of our Quarterly Reports on Form 10-Q for the quarters ended March 31, 2020, June 30, 2020 and September 30, 2020 and of any subsequently filed Annual Reports on Form 10-K and Quarterly Reports on Form 10-Q, which are incorporated by reference in this prospectus supplement in their entirety, together with all of the other information contained in this prospectus supplement and the accompanying prospectus or incorporated by reference in this prospectus supplement and the accompanying prospectus. The risks described in any document incorporated by reference are not the only ones we have, but are considered to be the most material. Additional risks of which we are not presently aware or that we currently believe are immaterial may also harm our business and results of operations. If any of these risks actually occur, our business, financial condition and results of operations would likely suffer. In that case, the market price of the common stock could decline, and you may lose part or all of your investment in our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Product Candidates</w:t>
      </w:r>
    </w:p>
    <w:p>
      <w:pPr>
        <w:spacing w:after="0" w:line="225" w:lineRule="exact"/>
        <w:rPr>
          <w:sz w:val="20"/>
          <w:szCs w:val="20"/>
          <w:color w:val="auto"/>
        </w:rPr>
      </w:pPr>
    </w:p>
    <w:p>
      <w:pPr>
        <w:jc w:val="both"/>
        <w:ind w:firstLine="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announce data from the Phase 1/2 trial of our COVID-19 vaccine candidate in December 2020 and if positive commence a Phase 2 trial shortly thereafter. If we are unable to generate successful results, or experience significant delays in doing so, we may be unable to market and sell a COVID-19 vaccine.</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completed dosing all subjects in our initial Phase 1/2 trial with several dose levels of LUNAR-COV19 and we are continuing to monitor and will release further data from this study. Based on the strength of the data already generated from the Phase 1/2 trial, we expect to commence a Phase 2 trial, of LUNAR-COV19 in the first quarter of 2021 in order to identify the optimal regimens. We also expect to commence our Phase 3 LUNAR-COV19 trial in the second quarter of 2021,and anticipate that it will continue through 2021. We plan to continue to monitor subjects in the Phase 3 trial into 2022 (whether or not we receive emergency use authorization for LUNAR-COV19 during 2021). We will need to identify additional funding sources to continue the Phase 3 trial. The data received to date, although providing sufficient information to allow us to proceed further is not complete enough to provide conclusive evidence with respect to conclusive safety and potential efficacy of LUNAR COV19. We have submitted a CTA and an IND application, respectively, to the HSA and the FDA to allow us to proceed with our Phase 2 clinical study. We are positioned to manufacture finished doses of LUNAR-COV19 in the first quarter of 2021 for stockpiling purposes. Clinical trial results are inherently uncertain, and a significant portion of our success and business prospects depend on the progress of this program. Our failure to demonstrate safety or obtain positive clinical trial results, or our inability to meet the expected timeline for release of data for this trial, could have an adverse effect on our business operations and financial condition. Furthermore, although we may receive preliminary efficacy data from the Phase 2 trials, we will not have a more detailed understanding of the efficacy of LUNAR-COV19 until a sufficient number of subjects in the placebo group of a Phase 3 clinical trial have been infected. If our data is not positive or inconclusive, we may not be able to continue our studies or identify additional funding to continue the studies. No assurance can be given that the results of the trials will produce adequate results to allow us to commence or continue expected trials or that that adequate efficacy will be demonstrated such that LUNAR-COV19 will be a viable commercial product. Finally, we cannot assure that either the HSA or FDA will approve our CTA or IND on a timely basis or at all.</w:t>
      </w:r>
    </w:p>
    <w:p>
      <w:pPr>
        <w:spacing w:after="0" w:line="1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significant competition in the development of a vaccine against COVID-19, and many of our competitors have substantially greater financial, scientific and other resources than us.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large number of vaccine manufacturers, academic institutions and other organizations currently have programs to develop COVID-19 vaccine candidates. While we are not aware of all of our competitors’ efforts, there are reports that Johnson &amp; Johnson/Janssen, Pfizer, GlaxoSmithKline, Moderna, Sanofi, Inovio, AstraZeneca and many other companies are all in various stages of developing vaccine candidates against COVID-19. In particular, both Pfizer and Moderna have reported that their COVID-19 vaccine candidates showed a high degree of efficacy in initial trials and are further along in clinical trials than we are, and it appears they will be able commercialize their vaccines before us.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Despite funding provided to us to date, many of our competitors pursuing vaccine candidates have significantly greater product candidate development, manufacturing and marketing resources than we do. Larger pharmaceutical and biotechnology companies have extensive experience in clinical testing and obtaining regulatory approval for their products, and may have the resources to heavily invest to accelerate discovery and development of their vaccine candidates. Our business could be materially and adversely affected if competitors develop and commercialize one or more COVID-19 vaccines before we can complete development and seek approval for our vaccine candidate, or if they develop and commercialize one or more COVID-19 vaccines that are safer, more effective, have fewer or less severe side effects, have broader market acceptance, are more convenient or are less expensive than any vaccine candidate that we may develop. Furthermore, if any competitors are successful in producing a more efficacious vaccine or other treatment for COVID-19, or if any competitors are able to manufacture and distribute any such vaccines or treatments with greater efficiency, there may be a diversion of potential governmental and other funding away from us and toward such other parties.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manufacture our vaccines in sufficient quantities, at sufficient yields or are unable to obtain regulatory approvals for a manufacturing facility for our LUNAR-COV19 vaccine, we may experience delays in product development, clinical trials, regulatory approval and commercial distribution.</w:t>
      </w:r>
    </w:p>
    <w:p>
      <w:pPr>
        <w:spacing w:after="0" w:line="17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vaccine candidates require access to, or development of, facilities to manufacture our LUNAR-COV19 vaccine candidate at sufficient yields and at commercial-scale. We have limited experience manufacturing our LUNAR-COV19 vaccine candidate in the volumes that will be necessary to support large-scale clinical trials or commercial sales. Efforts to establish these capabilities may not meet initial expectations as to scheduling, scale-up, reproducibility, yield, purity, cost, stability, potency or quality. In addition, other companies, many with substantial resources, may compete with us for access to materials needed to manufacture our vaccines.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Manufacturing our LUNAR-COV19 vaccine candidate involves a complicated process with which we have limited experience. We are dependent on third-party organizations to conduct a portion of our vaccine manufacturing activities. If third-party manufacturing organizations are unable to manufacture our vaccine candidates in clinical quantities or, when necessary, in commercial quantities and at sufficient yields, then we will need to identify and reach supply arrangements with additional third parties. Third-party manufacturers must also be inspected by the FDA as part of the FDA’s review of our marketing application. Our LUNAR-COV19 vaccine may be in competition with other products for access to these facilities and may be subject to delays in manufacture if third parties give other products higher priority. We may not be able to enter into any necessary additional third-party manufacturing arrangements on acceptable terms, or on a timely basis. In addition, we have to enter into technical transfer agreements and share our know-how with the third-party manufacturers, which can be time-consuming and may result in delays. Any delay in the manufacture or delivery of a vaccine could adversely affect our ability to sell the LUNAR-COV19 vaccine, if approved.</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reliance on third-party manufacturers may adversely affect our operations or result in unforeseen delays or other problems beyond our control. Because of contractual restraints and the limited number of third-party manufacturers with the expertise, required regulatory approvals and facilities to manufacture our bulk vaccines on a commercial scale, replacement of a manufacturer may be expensive and time-consuming and may cause interruptions in the production of our vaccine. A third-party manufacturer may also encounter difficulties in production. These problems may include:</w:t>
      </w:r>
    </w:p>
    <w:p>
      <w:pPr>
        <w:spacing w:after="0" w:line="180" w:lineRule="exact"/>
        <w:rPr>
          <w:sz w:val="20"/>
          <w:szCs w:val="20"/>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production costs, scale up and yields;</w:t>
      </w:r>
    </w:p>
    <w:p>
      <w:pPr>
        <w:spacing w:after="0" w:line="2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developing a lyophilized formula of, or validating a lyophilization process for, LUNAR-COV19;</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storage and cold chain distribution of LUNAR-COV19 (even with lyophilization);</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supplies;</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strictly enforced federal, state and foreign regulations that vary in each country where products might be sold; and</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capital funding.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any delay or interruption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 coronavirus outbreak has caused interruptions or delays of our business plan and may have a significant adverse effect on our business.</w:t>
      </w:r>
    </w:p>
    <w:p>
      <w:pPr>
        <w:spacing w:after="0" w:line="229" w:lineRule="exact"/>
        <w:rPr>
          <w:sz w:val="20"/>
          <w:szCs w:val="20"/>
          <w:color w:val="auto"/>
        </w:rPr>
      </w:pPr>
    </w:p>
    <w:p>
      <w:pPr>
        <w:ind w:right="20" w:firstLine="500"/>
        <w:spacing w:after="0" w:line="254" w:lineRule="auto"/>
        <w:rPr>
          <w:sz w:val="20"/>
          <w:szCs w:val="20"/>
          <w:color w:val="auto"/>
        </w:rPr>
      </w:pPr>
      <w:r>
        <w:rPr>
          <w:rFonts w:ascii="Times New Roman" w:cs="Times New Roman" w:eastAsia="Times New Roman" w:hAnsi="Times New Roman"/>
          <w:sz w:val="18"/>
          <w:szCs w:val="18"/>
          <w:color w:val="auto"/>
        </w:rPr>
        <w:t>In December 2019, a strain of coronavirus, COVID-19, was reported to have surfaced in Wuhan, China, and on March 12, 2020, the World Health Organization declared COVID-19 to be a pandemic. In an effort to contain and mitigate the spread of COVID-19, many countries, including the United States, Canada and China, have imposed unprecedented restrictions on travel, quarantines, and other public health safety measures. The extent to which the pandemic may impact our business will depend on future developments, which are highly uncertain and cannot be predicted, but the development of clinical supply materials could be delayed and enrollment of patients in our study for LUNAR-OTC and LUNAR-COV19 may be delayed or suspended, as hospitals and clinics in areas where we are conducting trials shift resources to cope with the COVID-19 pandemic and may limit access or close clinical facilities due to the COVID-19 pandemic. Additionally, if our trial participants are unable to travel to our clinical study sites as a result of quarantines or other restrictions resulting from the COVID-19 pandemic, we may experience higher drop-out rates or delays in our clinical studies.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 w:name="page13"/>
    <w:bookmarkEnd w:id="12"/>
    <w:p>
      <w:pPr>
        <w:ind w:right="60" w:firstLine="500"/>
        <w:spacing w:after="0" w:line="254" w:lineRule="auto"/>
        <w:rPr>
          <w:sz w:val="20"/>
          <w:szCs w:val="20"/>
          <w:color w:val="auto"/>
        </w:rPr>
      </w:pPr>
      <w:r>
        <w:rPr>
          <w:rFonts w:ascii="Times New Roman" w:cs="Times New Roman" w:eastAsia="Times New Roman" w:hAnsi="Times New Roman"/>
          <w:sz w:val="18"/>
          <w:szCs w:val="18"/>
          <w:color w:val="auto"/>
        </w:rPr>
        <w:t>Government-imposed quarantines and restrictions may also require us to temporarily suspend or terminate activity at our clinical sites. Furthermore, if we determine that our trial participants may suffer from exposure to COVID-19 as a result of their participation in our clinical trials, we may voluntarily terminate certain clinical sites as a safety measure until we reasonably believe that the likelihood of exposure has subsided. As a result, our expected development timelines for our product candidates may be negatively impacted. We cannot predict the ultimate impact of the COVID-19 pandemic as consequences of such an event are highly uncertain and subject to change. We do not yet know the full extent of potential delays or impacts on our business, our clinical studies or as a whole; however, the COVID-19 outbreak may materially disrupt or delay our business operations, further divert the attention and efforts of the medical community to coping with COVID-19, disrupt the marketplace in which we operate, and/or have a material adverse effect on our operations.</w:t>
      </w:r>
    </w:p>
    <w:p>
      <w:pPr>
        <w:spacing w:after="0" w:line="192" w:lineRule="exact"/>
        <w:rPr>
          <w:sz w:val="20"/>
          <w:szCs w:val="20"/>
          <w:color w:val="auto"/>
        </w:rPr>
      </w:pPr>
    </w:p>
    <w:p>
      <w:pPr>
        <w:ind w:firstLine="500"/>
        <w:spacing w:after="0" w:line="254" w:lineRule="auto"/>
        <w:rPr>
          <w:sz w:val="20"/>
          <w:szCs w:val="20"/>
          <w:color w:val="auto"/>
        </w:rPr>
      </w:pPr>
      <w:r>
        <w:rPr>
          <w:rFonts w:ascii="Times New Roman" w:cs="Times New Roman" w:eastAsia="Times New Roman" w:hAnsi="Times New Roman"/>
          <w:sz w:val="18"/>
          <w:szCs w:val="18"/>
          <w:color w:val="auto"/>
        </w:rPr>
        <w:t>Moreover, the various precautionary measures taken by many governmental authorities around the world in order to limit the spread of the coronavirus has had and may continue to have an adverse effect on the global markets and global economy generally, including on the availability and pricing of employees, resources, materials, manufacturing and delivery efforts and other aspects of the global economy. There have been business closures and a substantial reduction in economic activity in countries that have had significant outbreaks of COVID-19. Significant uncertainty remains as to the potential impact of the COVID-19 pandemic on the global economy as a whole. It is currently not possible to predict how long the pandemic will last or the time that it will take for economic activity to return to prior levels. The COVID-19 pandemic could materially disrupt our business and operations, interrupt our sources of supply, hamper our ability to raise additional funds or sell or securities, continue to slow down the overall economy or curtail consumer spending.</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suffer immediate dilution in the net tangible book value per share of the common stock that you purchase in this offering.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public offering price of our common stock is substantially higher than the as-adjusted net tangible book value per share of our common stock. Therefore, investors purchasing shares of our common stock in this offering will pay a price per share that substantially exceeds the as-adjusted net tangible book value per share after this offering. For more information, see “Dilution.”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funding, the receipt of which may impair the value of our common stock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research, development, sales and marketing activities. We will need to raise additional capital through public or private equity or debt offerings or through arrangements with strategic partners or other sources in order to continue to develop our drug candidates. There can be no assurance that additional capital will be available when needed or on terms satisfactory to us, if at all. To the extent we raise additional capital by issuing equity securities, our stockholders may experience substantial dilution and the new equity securities may have greater rights, preferences or privileges than our existing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this offering and may not use them effectively.</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our stockholders will not have the opportunity as part of their investment decisions to assess whether the net proceeds are being used appropriately. You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in our investment of these net proceeds. You will not have the opportunity to influence our decisions on how to use our net proceeds from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which could reduce the market price of our common stock.</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publicly traded shares of our common stock have experienced, and may experience in the future, significant price and volume fluctuations. This market volatility could reduce the market price of our common stock without regard to our operating performance. In addition, the trading price of our common stock could change significantly in response to actual or anticipated variations in our quarterly operating results, announcements by us or our competitors, factors affecting the medical imaging industry generally, changes in national or regional economic conditions, changes in securities analysts’ estimates for us or our competitors’ or industry’s future performance or general market conditions, making it more difficult for shares of our common stock to be sold at a favorable price or at all. The market price of our common stock could also be reduced by general market price declines or market volatility in the future or future declines or volatility in the prices of stocks for companies in our industry. The COVID-19 pandemic has resulted in significant financial market volatility and uncertainty in recent weeks. A continuation or worsening of the levels of market disruption and volatility seen in the recent past could have an adverse effect on our ability to access capital, on our business, results of operations and financial condition, and on the market price of our common stock.</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number of shares of our common stock are eligible for future sale, and the sale of shares of common stock into the market, or the perception that such sales may occur, may depress our stock price.</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Sales of substantial additional shares of our common stock in the public market, or the perception that these sales may occur, may significantly lower the market price of our common stock. We are unable to estimate the amount, timing or nature of future sales of shares of our common stock. We have previously issued a substantial number of shares of common stock, which are eligible for resale under Rule 144 of the Securities Act of 1933, as amended, or the Securities Act, and may become freely tradable. We have also registered shares that are issuable upon the exercise of options and warrants. If holders of options or warrants choose to exercise their securities and sell shares of common stock issued upon the exercise in the public market, or if holders of currently restricted common stock choose to sell such shares of common stock in the public market under Rule 144 or otherwise, or attempt to publicly sell such shares all at once or in a short time period, the prevailing market price for our common stock may decline.</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may cause significant dilution of equity interests of existing holders of common stock and decrease the market price of shares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previously issued options that are exercisable into a significant number of shares of our common stock and may issue additional options and warrants in the future. Should holders of options or warrants exercise their securities into shares of our common stock, it may cause significant dilution of equity interests of existing holders of our common stock and reduce the market price of shares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currently paying dividends and will likely not pay dividends for the foreseeable future.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capital requirements, contractual restrictions and other factors that our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opinion regarding our stock, our stock price and trading volume could decline.</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securities or industry analysts may publish about us, our business, our market or our competitors. If any of the analysts who may cover us adversely change their recommendation regarding our common stock, or provide more favorable relative recommendations about our competitors, the trading price of our common stock could decline. If any analyst who may cover us were to cease coverage of our company or fail to regularly publish reports on us, we could lose visibility in the financial markets, which in turn could cause the trading price of our common stock or trading volume to decline.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the documents incorporated by reference and any free writing prospectus that we have authorized for use in connection with this offering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might cause these differences include the following:</w:t>
      </w:r>
    </w:p>
    <w:p>
      <w:pPr>
        <w:spacing w:after="0" w:line="225" w:lineRule="exact"/>
        <w:rPr>
          <w:sz w:val="20"/>
          <w:szCs w:val="20"/>
          <w:color w:val="auto"/>
        </w:rPr>
      </w:pPr>
    </w:p>
    <w:p>
      <w:pPr>
        <w:ind w:left="1300" w:right="2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52"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settle or be victorious at costly litigation with shareholders, former executives or others;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our expectations regarding future therapeutic and commercial potential with respect to, our product candidates;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6" w:name="page17"/>
    <w:bookmarkEnd w:id="16"/>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 to lead the Company;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capital requirements and need for additional financing;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from this offering; and</w:t>
      </w:r>
    </w:p>
    <w:p>
      <w:pPr>
        <w:spacing w:after="0" w:line="252"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described in “Risk Factors” beginning on page S-8 of this prospectus supplement and in Part I, Item 1A, Risk Factors of our Annual Report on Form 10-K for the fiscal year ended December 31, 2019 and in Part II, Item 1A, Risk Factors of our Quarterly Reports on Form 10-Q for the quarters ended March 31, 2020, June 30, 2020 and September 30, 2020 and any subsequently filed Quarterly Reports on Form 10-Q, which are incorporated by reference in this prospectus supplement and the accompanying prospectus.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urge you to consider these factors carefully in evaluating the forward-looking statements contained in this prospectus supplement, the accompanying prospectus or the documents incorporated by reference herein. All subsequent written or oral forward-looking statements attributable to our company or persons acting on our behalf are expressly qualified in their entirety by these cautionary statements. The forward-looking statements included in this prospectus supplement are made only as of the date of this prospectus supplement. We undertake no obligation to update publicly any forward-looking statements, whether as a result of new information, future events or otherwise, except to the extent that we are required to do so by law.</w:t>
      </w: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17" w:name="page18"/>
    <w:bookmarkEnd w:id="1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$140.5 million (or $161.7 million if the underwriters exercise their option to purchase additional shares in full), after deducting the underwriting discounts and commissions and estimated offering expenses payable by us.</w:t>
      </w:r>
    </w:p>
    <w:p>
      <w:pPr>
        <w:spacing w:after="0" w:line="162"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 conduct clinical trials and to commence manufacturing our LUNAR-COV19 vaccine candidate for stockpiling purposes. The amounts and timing of our actual use of the net proceeds from this offering will vary depending on numerous factors, including the factors described under “Risk Factors” located elsewhere in this prospectus supplement, the accompanying prospectus or in the information incorporated by reference herein or therein. As a result, management will have broad discretion in the application of the net proceeds, and investors will be relying on our judgment regarding the application of the net proceeds from this offering.</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Pending application of the net proceeds as discussed above, we plan to invest any remaining proceeds from this offering in a variety of capital preservation instruments, including short-term, interest-bearing obligations, investment-grade instruments, or direct or guaranteed obligations of the U.S. government.</w:t>
      </w:r>
    </w:p>
    <w:p>
      <w:pPr>
        <w:spacing w:after="0" w:line="1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have not declared any cash dividends on our common stock since inception and we do not anticipate paying any cash dividends on our common stock in the foreseeable future.</w:t>
      </w:r>
    </w:p>
    <w:p>
      <w:pPr>
        <w:spacing w:after="0" w:line="2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333" w:right="5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If you purchase shares of common stock in this offering, you will experience dilution to the extent of the difference between the public offering price per share in this offering and our as adjusted net tangible book value per share after this offering.</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Net tangible book value per share represents total tangible assets less total liabilities, divided by the number of shares of common stock outstanding. Our historical net tangible book value as of September 30, 2020 was $261.6 million, or $10.69 per share of common stock. After giving effect to our sale of shares of common stock at a public offering price of $110.00 per share, and after deducting commissions and estimated offering expenses payable by us, our as adjusted net tangible book value as of September 30, 2020 would have been approximately $402.2 million, or approximately $15.57 per share. This represents an immediate increase in net tangible book value of approximately $4.88 per share to existing stockholders and an immediate dilution in as adjusted net tangible book value of approximately $94.43 per share to new investors in this offering.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110.00</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2020</w:t>
            </w: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10.69</w:t>
            </w:r>
          </w:p>
        </w:tc>
        <w:tc>
          <w:tcPr>
            <w:tcW w:w="9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1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4.88</w:t>
            </w:r>
          </w:p>
        </w:tc>
        <w:tc>
          <w:tcPr>
            <w:tcW w:w="9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1680" w:type="dxa"/>
            <w:vAlign w:val="bottom"/>
          </w:tcPr>
          <w:p>
            <w:pPr>
              <w:spacing w:after="0"/>
              <w:rPr>
                <w:sz w:val="18"/>
                <w:szCs w:val="18"/>
                <w:color w:val="auto"/>
              </w:rPr>
            </w:pPr>
          </w:p>
        </w:tc>
        <w:tc>
          <w:tcPr>
            <w:tcW w:w="1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94.43</w:t>
            </w:r>
          </w:p>
        </w:tc>
      </w:tr>
    </w:tbl>
    <w:p>
      <w:pPr>
        <w:spacing w:after="0" w:line="19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If the underwriters fully exercise their option to purchase additional shares of common stock, our as adjusted net tangible book value after this offering would increase to $16.26 per share, and there would be an immediate dilution of $93.74 per share to new investors in this offering.</w:t>
      </w:r>
    </w:p>
    <w:p>
      <w:pPr>
        <w:spacing w:after="0" w:line="162"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above discussion and tables are based on 24,473,002 shares of common stock outstanding as of September 30, 2020 and excludes the following:</w:t>
      </w:r>
    </w:p>
    <w:p>
      <w:pPr>
        <w:spacing w:after="0" w:line="162" w:lineRule="exact"/>
        <w:rPr>
          <w:sz w:val="20"/>
          <w:szCs w:val="20"/>
          <w:color w:val="auto"/>
        </w:rPr>
      </w:pPr>
    </w:p>
    <w:p>
      <w:pPr>
        <w:ind w:left="1300" w:right="66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2,342,255 shares of our common stock reserved for issuance under stock option agreements issued pursuant to our Amended and Restated 2019 Omnibus Equity Incentive Plan at a weighted average exercise price of $16.57 per share;</w:t>
      </w:r>
    </w:p>
    <w:p>
      <w:pPr>
        <w:spacing w:after="0" w:line="188"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2,388,340 shares of our common stock reserved for future issuance under our Amended and Restated 2019 Omnibus Equity Incentive Plan; and</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 shares of our common stock reserved for future issuance under our 2020 Employee Stock Purchase Plan.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NON-U.S. HOLDERS OF OUR COMMON STOCK</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general discussion of material U.S. federal income tax considerations and certain U.S. federal estate tax considerations relating to the ownership and disposition of our common stock applicable to non-U.S. holders.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180" w:lineRule="exact"/>
        <w:rPr>
          <w:sz w:val="20"/>
          <w:szCs w:val="20"/>
          <w:color w:val="auto"/>
        </w:rPr>
      </w:pPr>
    </w:p>
    <w:p>
      <w:pPr>
        <w:ind w:left="880" w:hanging="427"/>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52" w:lineRule="exact"/>
        <w:rPr>
          <w:rFonts w:ascii="Times New Roman" w:cs="Times New Roman" w:eastAsia="Times New Roman" w:hAnsi="Times New Roman"/>
          <w:sz w:val="18"/>
          <w:szCs w:val="18"/>
          <w:color w:val="auto"/>
        </w:rPr>
      </w:pPr>
    </w:p>
    <w:p>
      <w:pPr>
        <w:ind w:left="880" w:right="180" w:hanging="427"/>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88"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252" w:lineRule="exact"/>
        <w:rPr>
          <w:rFonts w:ascii="Times New Roman" w:cs="Times New Roman" w:eastAsia="Times New Roman" w:hAnsi="Times New Roman"/>
          <w:sz w:val="18"/>
          <w:szCs w:val="18"/>
          <w:color w:val="auto"/>
        </w:rPr>
      </w:pPr>
    </w:p>
    <w:p>
      <w:pPr>
        <w:ind w:left="880" w:right="140" w:hanging="427"/>
        <w:spacing w:after="0" w:line="261"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under the U.S. Internal Revenue Code of 1986, as amended (which we refer to as the Code), have the authority to control all substantial decisions of the trust or (ii) such trust has made a valid election to be treated as a U.S. person for U.S. federal income tax purposes.</w:t>
      </w:r>
    </w:p>
    <w:p>
      <w:pPr>
        <w:spacing w:after="0" w:line="20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advisors as to the particular U.S. federal income tax consequences applicable to them.</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final, temporary and proposed Treasury regulations promulgated thereunder (which we refer to as the Treasury Regulations), judicial decisions, published rulings and administrative pronouncements of the U.S. Internal Revenue Service, or IRS, all in effect as of the date of this prospectus supplement and all of which are subject to change or to differing interpretation, possibly with retroactive effect. Any change could alter the tax consequences to non-U.S. holders described herein. There can be no assurance that the IRS will not challenge one or more of the tax consequences described herein.</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unearned income Medicare contribution tax on net investment income. This discussion also does not consider any specific facts or circumstances that may apply to a non-U.S. holder and does not address the special tax rules applicable to particular non-U.S. holders, such as:</w:t>
      </w:r>
    </w:p>
    <w:p>
      <w:pPr>
        <w:spacing w:after="0" w:line="187" w:lineRule="exact"/>
        <w:rPr>
          <w:sz w:val="20"/>
          <w:szCs w:val="20"/>
          <w:color w:val="auto"/>
        </w:rPr>
      </w:pPr>
    </w:p>
    <w:p>
      <w:pPr>
        <w:ind w:left="880" w:hanging="427"/>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52"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or traders in securities;</w:t>
      </w:r>
    </w:p>
    <w:p>
      <w:pPr>
        <w:spacing w:after="0" w:line="252"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left="880" w:right="100" w:hanging="427"/>
        <w:spacing w:after="0" w:line="284"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including “qualified foreign pension funds” as defined in Section 897(</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)(2) of the Code and entities, all of the interests of which are held by qualified foreign pension funds;</w:t>
      </w:r>
    </w:p>
    <w:p>
      <w:pPr>
        <w:spacing w:after="0" w:line="187" w:lineRule="exact"/>
        <w:rPr>
          <w:rFonts w:ascii="Times New Roman" w:cs="Times New Roman" w:eastAsia="Times New Roman" w:hAnsi="Times New Roman"/>
          <w:sz w:val="18"/>
          <w:szCs w:val="18"/>
          <w:color w:val="auto"/>
        </w:rPr>
      </w:pPr>
    </w:p>
    <w:p>
      <w:pPr>
        <w:ind w:left="880" w:right="260" w:hanging="427"/>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part of a straddle, hedge, conversion transaction, synthetic security or other integrated investment or who have elected to mark securities to market;</w:t>
      </w:r>
    </w:p>
    <w:p>
      <w:pPr>
        <w:spacing w:after="0" w:line="188" w:lineRule="exact"/>
        <w:rPr>
          <w:rFonts w:ascii="Times New Roman" w:cs="Times New Roman" w:eastAsia="Times New Roman" w:hAnsi="Times New Roman"/>
          <w:sz w:val="18"/>
          <w:szCs w:val="18"/>
          <w:color w:val="auto"/>
        </w:rPr>
      </w:pPr>
    </w:p>
    <w:p>
      <w:pPr>
        <w:ind w:left="880" w:right="300" w:hanging="427"/>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88"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25" w:lineRule="exact"/>
        <w:rPr>
          <w:rFonts w:ascii="Times New Roman" w:cs="Times New Roman" w:eastAsia="Times New Roman" w:hAnsi="Times New Roman"/>
          <w:sz w:val="18"/>
          <w:szCs w:val="18"/>
          <w:color w:val="auto"/>
        </w:rPr>
      </w:pPr>
    </w:p>
    <w:p>
      <w:pPr>
        <w:ind w:left="880" w:right="520" w:hanging="427"/>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w:t>
      </w:r>
    </w:p>
    <w:p>
      <w:pPr>
        <w:spacing w:after="0" w:line="188"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governments; and</w:t>
      </w:r>
    </w:p>
    <w:p>
      <w:pPr>
        <w:spacing w:after="0" w:line="252" w:lineRule="exact"/>
        <w:rPr>
          <w:rFonts w:ascii="Times New Roman" w:cs="Times New Roman" w:eastAsia="Times New Roman" w:hAnsi="Times New Roman"/>
          <w:sz w:val="18"/>
          <w:szCs w:val="18"/>
          <w:color w:val="auto"/>
        </w:rPr>
      </w:pPr>
    </w:p>
    <w:p>
      <w:pPr>
        <w:ind w:left="880" w:hanging="427"/>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SUMMARY IS NOT INTENDED TO CONSTITUTE A COMPLETE DESCRIPTION OF ALL TAX CONSEQUENCES FOR NON-U.S. HOLDERS RELATING TO THE OWNERSHIP AND DISPOSITION OF OUR COMMON STOCK. PROSPECTIVE HOLDERS OF OUR COMMON STOCK SHOULD CONSULT WITH THEIR TAX ADVISORS REGARDING THE TAX CONSEQUENCES TO THEM (INCLUDING THE APPLICATION AND EFFECT OF ANY STATE, LOCAL, NON-U.S. INCOME AND OTHER TAX LAWS) OF THE OWNERSHIP AND DISPOSITION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discussed under “Dividend Policy” above, we do not expect to make distributions on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of distributions not treated as dividends for U.S. federal income tax purposes will first constitute a tax-free return of capital of the non-U.S. holder’s investment and be applied against and reduce a non-U.S. holder’s adjusted tax basis in its common stock, but not below zero. Any remaining excess will be treated as capital gain and will be treated as described below under “Gain on Sale or Other Disposition of Common Stock.” Because we may not know the extent to which a distribution is a dividend for U.S. federal income tax purposes at the time it is made, for purposes of the withholding rules discussed below we or the applicable withholding agent may treat the entire distribution as a dividend. Any such distributions will also be subject to the discussions below under the headings “FATCA” and “Backup Withholding, Information Reporting and Other Reporting Requirements.”</w:t>
      </w:r>
    </w:p>
    <w:p>
      <w:pPr>
        <w:spacing w:after="0" w:line="18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Subject to the discussion in the next two paragraphs,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required by an applicable tax treaty, are attributable to a U.S. permanent establishment or a fixed base maintained by such non-U.S. holder) will generally be exempt from the U.S. federal withholding tax described above, if the non-U.S. holder complies with applicable certification and disclosure requirements (generally including provision of a valid IRS Form W-8ECI (or applicable successor form) certifying that the dividends are effectively connected with the non-U.S. holder’s conduct of a trade or business within the United States). Instead, such dividends generally will be subject to U.S. federal income tax on a net income basis, at regular U.S. federal income tax rates as would apply if such holder were a U.S. person (as defined in the Code). Any U.S. effectively connected income received by a non-U.S. holder that is classified as a corporation for U.S. federal income tax purposes may also be subject to an additional “branch profits tax” at a rate of 30% (or such lower rate as may be specified by an applicable income tax treaty).</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these requirements.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w:t>
      </w:r>
    </w:p>
    <w:p>
      <w:pPr>
        <w:spacing w:after="0" w:line="229"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the headings “FATCA” and “Backup Withholding, Information Reporting and Other Reporting Requirements,” a non-U.S. holder generally will not be subject to U.S. federal income tax on any gain realized upon the sale or other disposition of the non-U.S. holder’s shares of our common stock unless:</w:t>
      </w:r>
    </w:p>
    <w:p>
      <w:pPr>
        <w:spacing w:after="0" w:line="176" w:lineRule="exact"/>
        <w:rPr>
          <w:sz w:val="20"/>
          <w:szCs w:val="20"/>
          <w:color w:val="auto"/>
        </w:rPr>
      </w:pPr>
    </w:p>
    <w:p>
      <w:pPr>
        <w:ind w:left="880" w:right="340" w:hanging="427"/>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within the United States (and, if required by an applicable income tax treaty, is attributable to a U.S. permanent establishment or fixed base maintained by such non-U.S. holder);</w:t>
      </w:r>
    </w:p>
    <w:p>
      <w:pPr>
        <w:spacing w:after="0" w:line="188" w:lineRule="exact"/>
        <w:rPr>
          <w:rFonts w:ascii="Times New Roman" w:cs="Times New Roman" w:eastAsia="Times New Roman" w:hAnsi="Times New Roman"/>
          <w:sz w:val="18"/>
          <w:szCs w:val="18"/>
          <w:color w:val="auto"/>
        </w:rPr>
      </w:pPr>
    </w:p>
    <w:p>
      <w:pPr>
        <w:ind w:left="880" w:right="20" w:hanging="427"/>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and is present in the United States for 183 days or more in the taxable year of disposition and certain other conditions are met; or</w:t>
      </w:r>
    </w:p>
    <w:p>
      <w:pPr>
        <w:spacing w:after="0" w:line="188" w:lineRule="exact"/>
        <w:rPr>
          <w:rFonts w:ascii="Times New Roman" w:cs="Times New Roman" w:eastAsia="Times New Roman" w:hAnsi="Times New Roman"/>
          <w:sz w:val="18"/>
          <w:szCs w:val="18"/>
          <w:color w:val="auto"/>
        </w:rPr>
      </w:pPr>
    </w:p>
    <w:p>
      <w:pPr>
        <w:ind w:left="880" w:hanging="427"/>
        <w:spacing w:after="0" w:line="261"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within the shorter of the five-year period preceding such disposition or such non-U.S. holder’s holding period of our common stock, and, provided that our common stock is regularly traded in an established securities market within the meaning of applicable Treasury Regulations, the non-U.S. holder has held, directly or constructively, at any time during said period, more than 5% of our common stock.</w:t>
      </w:r>
    </w:p>
    <w:p>
      <w:pPr>
        <w:spacing w:after="0" w:line="207"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Gain that is effectively connected with the conduct of a trade or business in the United States generally will be subject to U.S. federal income tax on a net income tax basis, at regular U.S. federal income tax rates. If the non-U.S. holder is a non-U.S. corporation, the branch profits tax described above also may apply to such effectively connected gain. An individual non-U.S. holder who is subject to U.S. federal income tax because the non-</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U.S. holder was present in the United States for 183 days or more during the year of sale or other disposition of our common stock will be subject to a flat 30% tax (or such lower rate as may be specified by an applicable income tax treaty) on the gain derived from such sale or other disposition, which may be offset by certain U.S. source capital losses, if any. We believe that we are not and we do not anticipate becoming a U.S. real property holding corporation for U.S. federal income tax purposes. Non-U.S. holders should consult their tax advisors regarding potentially applicable income tax treaties that may provide for different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the Foreign Account Tax Compliance Act, or FATCA, on certain types of payments made to non-U.S. financial institutions and certain other non-U.S. entities. Specifically, a 30% withholding tax may be imposed on dividends (including deemed dividends) paid on our common stock,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Foreign financial institutions located in jurisdictions that have an intergovernmental agreement with the U.S. governing FATCA may be subject to the reporting rules of that intergovernmental agreement. Because we may not know the extent to which a distribution is a dividend for U.S. federal income tax purposes at the time it is made, for purposes of these withholding rules we or the applicable withholding agent may treat the entire distribution as a dividend. Although withholding under FATCA would have applied also to payments of gross proceeds from the sale or other disposition of stock on or after January 1, 2019, proposed Treasury Regulations would eliminate FATCA withholding on payments of gross proceeds entirely. Taxpayers generally may rely on these proposed Treasury Regulations until final Treasury Regulations are issued. Prospective investors should consult their tax advisors regarding the potential application of these withholding provisions.</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Backup Withholding, Information Reporting and Other Reporting Requirements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any distributions paid to, and the tax withheld with respect to, each non-U.S. holder. These reporting requirements apply regardless of whether withholding was reduced or eliminated by an applicable income tax treaty. Copies of this information reporting may also be made available under the provisions of a specific income tax treaty or agreement with the tax authorities in the country in which the non-U.S. holder resides or is established.</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 non-U.S. holder will generally be subject to backup withholding for dividends on our common stock paid to such holder unless such holder certifies under penalties of perjury that, among other things, it is a non-U.S.</w:t>
      </w:r>
    </w:p>
    <w:p>
      <w:pPr>
        <w:spacing w:after="0" w:line="162" w:lineRule="exact"/>
        <w:rPr>
          <w:sz w:val="20"/>
          <w:szCs w:val="20"/>
          <w:color w:val="auto"/>
        </w:rPr>
      </w:pPr>
    </w:p>
    <w:p>
      <w:pPr>
        <w:ind w:right="180" w:firstLine="693"/>
        <w:spacing w:after="0" w:line="282" w:lineRule="auto"/>
        <w:rPr>
          <w:sz w:val="20"/>
          <w:szCs w:val="20"/>
          <w:color w:val="auto"/>
        </w:rPr>
      </w:pPr>
      <w:r>
        <w:rPr>
          <w:rFonts w:ascii="Times New Roman" w:cs="Times New Roman" w:eastAsia="Times New Roman" w:hAnsi="Times New Roman"/>
          <w:sz w:val="18"/>
          <w:szCs w:val="18"/>
          <w:color w:val="auto"/>
        </w:rPr>
        <w:t>holder (provided that the payor does not have actual knowledge or reason to know that such holder is a U.S. person) or otherwise establishes an exemption.</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189"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income tax considerations and certain U.S. federal estate tax considerations is for information only. It is not legal or tax advice. Prospective investors should consult their tax advisors regarding the particular U.S. federal, state, local and non-U.S. tax consequences of owning and disposing of our common stock, including the consequences of any proposed changes in applicable laws.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are offering the shares of common stock described in this prospectus supplement through Piper Sandler &amp; Co., Guggenheim Securities, LLC and Wells Fargo Securities, LLC as the joint book running managers, We have entered into an underwriting agreement with Piper Sandler &amp; Co., Guggenheim Securities, LLC and Wells Fargo Securities, LLC as representatives of the several underwriters named below.</w:t>
      </w:r>
    </w:p>
    <w:p>
      <w:pPr>
        <w:spacing w:after="0" w:line="176"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are subject to certain conditions precedent, including approval of legal matters by their counsel. The underwriters have the right to withdraw, cancel or modify offers to the public and to reject orders in whole or in part. Subject to the terms and conditions set forth in the underwriting agreement, we have agreed to sell to the underwriters, and each of the underwriters has agreed, severally and not jointly, to purchase from us, the number of shares of our common stock listed opposite its name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7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9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2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546,000</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546,000</w:t>
            </w:r>
          </w:p>
        </w:tc>
      </w:t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204,750</w:t>
            </w:r>
          </w:p>
        </w:tc>
      </w:tr>
      <w:tr>
        <w:trPr>
          <w:trHeight w:val="216"/>
        </w:trPr>
        <w:tc>
          <w:tcPr>
            <w:tcW w:w="9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Robert W. Baird &amp; Co. Incorporated</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68,250</w:t>
            </w:r>
          </w:p>
        </w:tc>
      </w:tr>
      <w:tr>
        <w:trPr>
          <w:trHeight w:val="216"/>
        </w:trPr>
        <w:tc>
          <w:tcPr>
            <w:tcW w:w="95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1,365,000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to buy up to 204,750 additional shares of common stock from us. The underwriters may exercise this option at any time and from time to time during the 30-day period from the date of this prospectus supplement. If any additional shares of common stock are purchased, the underwriters will offer the additional shares on the same terms as those on which the shares are being offered.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common stock directly to the public at the offering price set forth on the cover page of this prospectus supplement. The underwriters propose to offer the shares to certain dealers at the same price less a concession of not more than $3.96 per share. After the offering, these figures may be changed by the underwriters.</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per share of common stock. The following table shows the per share and total underwriting discount to be paid by the underwriters in connection with this offering, assuming either no exercise and full exercise of the option to purchase additional shares: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Without Option</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With Option</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150,150,000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172,672,500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9,009,000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10,360,350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141,141,000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162,312,150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estimate that the total fees and expenses payable by us, excluding underwriting discount, will be approximately $650,000, which includes $75,000 that we have agreed to reimburse the underwriters for the fees incurred by them in connection with the offering.</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and each of our directors and executive officers are subject to lock-up agreements that prohibit us and them from offering, selling, contracting to sell, granting any option or contract to purchase, purchasing any option or contract to sell, granting any option, right or warrant to purchase, lending or otherwise transferring or disposing of any shares of our common stock or any securities convertible into or exercisable or exchangeable for shares of our common stock or other capital stock for a period of at least 60 days with respect to us, and 90 days with respect to such director and executive officers. following the date of this prospectus supplement without the prior written consent of Piper Sandler &amp; Co. and Guggenheim Securities, LLC, subject to specified limited exceptions. Piper Sandler &amp; Co. and Guggenheim Securities, LLC, in their sole discretion may release any of the securities subject to these lock-up agreements at any time without notice.</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lock-up agreements do not prohibit our directors and executive officers from transferring shares of our common stock for bona fide gifts or by will, or for estate or tax planning purposes, subject to certain requirements, including that the transferee be subject to the same lock-up terms. The lock-up provisions do not prohibit us from issuing shares upon the exercise or conversion of securities outstanding on the date of this prospectus supplement. The lock-up provisions do not prevent us from selling shares to the underwriters pursuant to the underwriting agreement, or from granting options to acquire securities under our existing stock option plans or issuing shares upon the exercise or conversion of securities outstanding on the date of this prospectus supplement. We may also enter into an at-the-market facility with one or more sales agents during the lock-up period provided that no sales can be made under such facility during the lock-up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“ARCT.”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To facilitate the offering, the underwriters may engage in transactions that stabilize, maintain or otherwise affect the price of our common stock during and after the offering. Specifically, the underwriters may over-allot or otherwise create a short position in the common stock for their own account by selling more shares of common stock than we have sold to them. Short sales involve the sale by the underwriters of a greater number of shares than the underwriters are required to purchase in the offering. The underwriters may close out any short position by either exercising their option to purchase additional shares or purchasing shares in the open market.</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the underwriters may stabilize or maintain the price of the common stock by bidding for or purchasing shares of common stock in the open market and may impose penalty bids. If penalty bids are imposed, selling concessions allowed to syndicate members or other broker-dealers participating in the offering are reclaimed if shares of common stock previously distributed in the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affect the price of the common stock to the extent that it discourages resales of the common stock. The magnitude or effect of any stabilization or other transactions is uncertain. These transactions may be effected on The Nasdaq Global Market or otherwise and, if commenced, may be discontinued at any time. The underwriters may also engage in passive market making transactions in our common stock. Passive market making consists of displaying bids on The Nasdaq Global Market is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the common stock at a level above that which might otherwise prevail in the open market and, if commenced, may be discontinued at any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in electronic format may be made available on the web sites maintained by one or more of the underwriters and the underwriters may distribute prospectuses and prospectus supplements electronically.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Affiliations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in the ordinary course of its businesses, the underwriters and certain of their affiliates have engaged, and may in the future engage, in commercial banking or investment banking transactions with us and our affiliates.</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80"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52" w:lineRule="exact"/>
        <w:rPr>
          <w:rFonts w:ascii="Times New Roman" w:cs="Times New Roman" w:eastAsia="Times New Roman" w:hAnsi="Times New Roman"/>
          <w:sz w:val="18"/>
          <w:szCs w:val="18"/>
          <w:color w:val="auto"/>
        </w:rPr>
      </w:pPr>
    </w:p>
    <w:p>
      <w:pPr>
        <w:ind w:left="460" w:right="40" w:hanging="452"/>
        <w:spacing w:after="0" w:line="26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202" w:lineRule="exact"/>
        <w:rPr>
          <w:rFonts w:ascii="Times New Roman" w:cs="Times New Roman" w:eastAsia="Times New Roman" w:hAnsi="Times New Roman"/>
          <w:sz w:val="18"/>
          <w:szCs w:val="18"/>
          <w:color w:val="auto"/>
        </w:rPr>
      </w:pPr>
    </w:p>
    <w:p>
      <w:pPr>
        <w:ind w:left="460" w:right="260" w:hanging="452"/>
        <w:spacing w:after="0" w:line="282"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225" w:lineRule="exact"/>
        <w:rPr>
          <w:sz w:val="20"/>
          <w:szCs w:val="20"/>
          <w:color w:val="auto"/>
        </w:rPr>
      </w:pPr>
    </w:p>
    <w:p>
      <w:pPr>
        <w:ind w:left="460" w:right="140" w:hanging="452"/>
        <w:spacing w:after="0" w:line="289" w:lineRule="auto"/>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common stock in circumstances in which Section 21(1) of the FSMA does not apply to us; and</w:t>
      </w:r>
    </w:p>
    <w:p>
      <w:pPr>
        <w:spacing w:after="0" w:line="184" w:lineRule="exact"/>
        <w:rPr>
          <w:rFonts w:ascii="Times New Roman" w:cs="Times New Roman" w:eastAsia="Times New Roman" w:hAnsi="Times New Roman"/>
          <w:sz w:val="17"/>
          <w:szCs w:val="17"/>
          <w:color w:val="auto"/>
        </w:rPr>
      </w:pPr>
    </w:p>
    <w:p>
      <w:pPr>
        <w:ind w:left="460" w:right="560" w:hanging="452"/>
        <w:spacing w:after="0" w:line="28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common shares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the common shares must be made in accordance with an exemption from the prospectus requirements and in compliance with the registration requirements of applicable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Germany</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Each person who is in possession of this prospectus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within the meaning of the Act with respect to any of the shares of our common stock otherwise than in accordance with the Act and all other applicable legal and regulatory requirements.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common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common shares which are or are intended to be disposed of only to persons outside Hong Kong or only to “professional investors” within the meaning of the Securities and Futures Ordinance (Cap. 571, Laws of Hong Kong) and any rules made thereunder.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common shares may not be circulated or distributed, nor may the common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 common shares are subscribed or purchased under Section 275 of the SFA by a relevant person which is:</w:t>
      </w:r>
    </w:p>
    <w:p>
      <w:pPr>
        <w:spacing w:after="0" w:line="225" w:lineRule="exact"/>
        <w:rPr>
          <w:sz w:val="20"/>
          <w:szCs w:val="20"/>
          <w:color w:val="auto"/>
        </w:rPr>
      </w:pPr>
    </w:p>
    <w:p>
      <w:pPr>
        <w:ind w:left="460" w:right="260" w:hanging="452"/>
        <w:spacing w:after="0" w:line="28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8"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common shares pursuant to an offer made under Section 275 of the SFA except:</w:t>
      </w:r>
    </w:p>
    <w:p>
      <w:pPr>
        <w:spacing w:after="0" w:line="176" w:lineRule="exact"/>
        <w:rPr>
          <w:sz w:val="20"/>
          <w:szCs w:val="20"/>
          <w:color w:val="auto"/>
        </w:rPr>
      </w:pPr>
    </w:p>
    <w:p>
      <w:pPr>
        <w:ind w:left="460" w:right="260" w:hanging="452"/>
        <w:spacing w:after="0" w:line="258"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2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25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common shares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shares or the offering may be publicly distributed or otherwise made publicly available in Switzerland.</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or the common shares have been or will be filed with or approved by any Swiss regulatory authority. In particular, this document will not be filed with, and the offer of common shares will not be supervised by, the Swiss Financial Market Supervisory Authority FINMA, and the offer of common shares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common shares.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This offering has not been approved or licensed by the Central Bank of the United Arab Emirates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Services Authority (“DFSA”), a 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common shares may not be offered to the public in the UAE and/or any of the free zones.</w:t>
      </w:r>
    </w:p>
    <w:p>
      <w:pPr>
        <w:spacing w:after="0" w:line="180"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common shares may be offered and issued only to a limited number of investors in the UAE or any of its free zones who qualify as sophisticated investors under the relevant laws and regulations of the UAE or the free zone concerned.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France</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This prospectus (including any amendment, supplement or replacement thereto) is not being distributed in the context of a public offering in France within the meaning of Article L. 411-1 of the French Monetary and Financial Code (Code monétaire et financier).</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This prospectus has not been and will not be submitted to the French Autorité des marchés financiers (the “AMF”) for approval in France and accordingly may not and will not be distributed to the public in France.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Article 211-3 of the AMF General Regulation, French residents are hereby informed that:</w:t>
      </w:r>
    </w:p>
    <w:p>
      <w:pPr>
        <w:spacing w:after="0" w:line="225"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does not require a prospectus to be submitted for approval to the AMF;</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instruments thus acquired cannot be distributed directly or indirectly to the public otherwise than in accordance with Articles L. 411-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L. 411-2, L. 412-1 and L. 621-8 to L. 621-8-3 of the Monetary and Financial Code.</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not to be further distributed or reproduced (in whole or in part) in France by the recipients of this prospectus. This prospectus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Dentons US LLP, New York, New York, will pass upon the validity of the shares of common stock offered by this prospectus supplement. The underwriters are being represented in connection with this offering by Goodwin Procter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We file annual reports, quarterly reports, current reports, proxy statements and other information with the SEC. Our SEC filings are and will become available to the public over the Internet at the SEC’s website at www.sec.gov. You can also find our public filings on our website at www.arcturusrx.com. Our website and the information contained therein or connected thereto are not part of this prospectus supplement or the accompanying prospectus.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shares of common stock being offered by this prospectus supplement. This prospectus supplement and the accompanying prospectus are a part of that registration statement but do not contain all of the information set forth in the registration statement or the exhibits to the registration statement. For further information with respect to us and the shares we are offering pursuant to this prospectus supplement, you should refer to the registration statement and its exhibits. Statements contained in this prospectus supplement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website referred to above.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information or documents listed below that we have filed with the SEC:</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2019 filed with the SEC on March 16, 2020;</w:t>
      </w:r>
    </w:p>
    <w:p>
      <w:pPr>
        <w:spacing w:after="0" w:line="22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specifically incorporated by reference into our Annual Report on Form 10-K for the year ended December 31, 2019 from our definitive proxy statement on Schedule 14A (other than information furnished rather than filed), which was filed with the SEC on April 29, 2020;</w:t>
      </w:r>
    </w:p>
    <w:p>
      <w:pPr>
        <w:spacing w:after="0" w:line="17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periods ended March 31, 2020, June 30, 2020 and September 30, 2020 filed with the SEC on May 8, 2020, August 10, 2020 and November 9, 2020, respectively;</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March 4, 2020, March 27, 2020, April 17, 2020, April 21, 2020, May 21, 2020, June 9, 2020; July 24, 2020; July 29, 2020; August 10, 2020; August 18, 2020; September 11, 2020, October 2, 2020; October 15,</w:t>
      </w:r>
    </w:p>
    <w:p>
      <w:pPr>
        <w:ind w:left="98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November 9, 2020; November 13, 2020; November 25, 2020 and December 7, 2020 (in each case, except for information contained therein which is furnished rather than filed); and</w:t>
      </w:r>
    </w:p>
    <w:p>
      <w:pPr>
        <w:spacing w:after="0" w:line="18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set forth in the Form 8-K12B filed on June 18, 2019.</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You may obtain documents incorporated by reference in this prospectus supplement and accompanying prospectus by requesting them in writing or by telephone at the following address: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(858) 900-2660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You also may access these filings on our Internet site at www.arcturusrx.com. Our web site and the information contained on that site, or connected to that site, are not incorporated into this prospectus supplement, the accompanying prospectus or the registration statement of which this prospectus supplement and accompanying prospectus is a part.</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authorized no one to provide you with any information that differs from that contained in this prospectus supplement, the accompanying prospectus or incorporated by reference herein or therein. Accordingly, you should not rely on any information that is not contained in this prospectus supplement or the accompanying prospectus or incorporated by reference herein or therein. You should not assume that the information in this prospectus supplement is accurate as of any date other than the date of the front cover of this prospectus supplement.</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or any other subsequently filed document that is deemed to be incorporated by reference into this prospectus supplement modifies, supersedes or replaces such statement</w:t>
      </w: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156845</wp:posOffset>
            </wp:positionV>
            <wp:extent cx="2571750" cy="865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under the symbol “ARCT.”</w:t>
      </w:r>
    </w:p>
    <w:p>
      <w:pPr>
        <w:spacing w:after="0" w:line="22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on page 6 of this prospectus and contained in our filings made with the Securities and Exchange Commission and the applicable prospectus supplement.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18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92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ABOUT THIS PROSPECTUS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INCORPORATION OF CERTAIN DOCUMENTS BY REFERENCE</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 SUMMARY</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CAPITAL STOCK WE MAY OFFER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DEBT SECURITIES WE MAY OFFER</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WARRANTS WE MAY OFFER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 OF UNITS WE MAY OFFER</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PLAN OF DISTRIBUTION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8340" w:type="dxa"/>
            <w:vAlign w:val="bottom"/>
            <w:shd w:val="clear" w:color="auto" w:fill="CCEEFF"/>
          </w:tcPr>
          <w:p>
            <w:pPr>
              <w:spacing w:after="0"/>
              <w:rPr>
                <w:sz w:val="5"/>
                <w:szCs w:val="5"/>
                <w:color w:val="auto"/>
              </w:rPr>
            </w:pPr>
          </w:p>
        </w:tc>
        <w:tc>
          <w:tcPr>
            <w:tcW w:w="2900" w:type="dxa"/>
            <w:vAlign w:val="bottom"/>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EXPERTS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8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http://www.sec.gov.</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176" w:lineRule="exact"/>
        <w:rPr>
          <w:sz w:val="20"/>
          <w:szCs w:val="20"/>
          <w:color w:val="auto"/>
        </w:rPr>
      </w:pPr>
    </w:p>
    <w:p>
      <w:pPr>
        <w:ind w:left="660" w:right="2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2019, as filed with the SEC on March 16, 2020, including the information specifically incorporated by reference into the Annual Report on Form 10-K from our definitive proxy statement on Schedule 14A, filed with the SEC on April 29, 2020;</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periods ended March 31, 2020, as filed with the SEC on May 8, 2020, June 30, 2020, as filed with the SEC on August 10, 2020, and September 30, 2020, as filed with the SEC on November 9, 2020.</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as filed with the SEC on March 4, 2020, March 27, 2020, April 17, 2020, April 21, 2020, May 21, 2020, June 9, 2020, July 24, 2020, July 29, 2020, August 18, 2020, October 2, 2020, October 15, 2020, November 13, 2020, November 25, 2020 and December 7, 2020 (in each case, except for information contained therein which is furnished rather than filed);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set forth in the Form 8-K12B filed on June 18, 2019.</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filed by us with the SEC pursuant to Sections 13(a), 13(c), 14 or 15(d) of the Exchange Act prior to the termination of any offering of securities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(858) 900-2660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might cause these differences include the following:</w:t>
      </w:r>
    </w:p>
    <w:p>
      <w:pPr>
        <w:spacing w:after="0" w:line="225" w:lineRule="exact"/>
        <w:rPr>
          <w:sz w:val="20"/>
          <w:szCs w:val="20"/>
          <w:color w:val="auto"/>
        </w:rPr>
      </w:pPr>
    </w:p>
    <w:p>
      <w:pPr>
        <w:ind w:left="660" w:right="5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settle or be victorious at costly litigation with shareholders, former executives or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our expectations regarding future therapeutic and commercial potential with respect to,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 to lead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capital requirements and need for additional financing.</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5" w:name="page36"/>
    <w:bookmarkEnd w:id="35"/>
    <w:p>
      <w:pPr>
        <w:ind w:right="20"/>
        <w:spacing w:after="0" w:line="253"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and any related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 If one or more of these risks or uncertainties occur, or if our underlying assumptions prove to be incorrect, actual events or results may vary significantly from those expressed or implied by the forward-looking statements. No forward-looking statement is a guarantee of future performance.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 of Arcturus Therapeutics Holdings Inc.</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a clinical-stage messenger RNA medicines company focused on the development of infectious disease vaccines and significant opportunities within liver and respiratory rare diseases utilizing our Self-Transcribing and Replicating RNA (“STARR”) technology. In addition to our internal messenger RNA (“mRNA”) platform, our proprietary lipid mediated delivery system, LUNAR, has the potential to enable multiple nucleic acid medicines.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180" w:lineRule="exact"/>
        <w:rPr>
          <w:sz w:val="20"/>
          <w:szCs w:val="20"/>
          <w:color w:val="auto"/>
        </w:rPr>
      </w:pPr>
    </w:p>
    <w:p>
      <w:pPr>
        <w:ind w:left="660" w:right="1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deep expertise in the discovery and development of RNA medicines, including key experience in the production of RNA drug substance and nanoparticle-formulated drug product.</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pipeline of eleven drug candidates in late-stage discovery and early-stage development, five of which are wholly-owned and six of which involve partnered programs.</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and continue to develop LUNAR, a novel lipid-mediated delivery technology platform, which draws from a growing library of over 200 lipids that were designed at Arcturus and many of which are claimed in issued patents. Other lipids in this growing library are undergoing extensive research to test for desirable properties, and we continue to seek patent protection for newly designed lipids. Our lipid library is intended to enable safer and more efficient delivery than lipids commonly used in the industry.</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the STARR technology platform which combines self-replicating RNA with LUNAR into a single solution for partners.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wholly-owned, LUNAR and nucleic acid technologies are covered by a patent portfolio of 200 patents and patent applications, issued in the United States, China, Europe, Japan and other countries. This patent portfolio covers our proprietary mRNA and STARR chemistry, design, modifications and manufacturing process as well as our LUNAR chemistry, design and drug product manufacturing.</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believe that we can use our proprietary technologies to develop RNA medicines in multiple therapeutic approaches: (1) mRNA, DNA, and replicon protein replacement for therapeutics and antigen expression for vaccines; (2) siRNA, microRNA, and antisense oligonucleotides - knockdown of genes overexpressed in disease; and (3) CRISPR, TALEN, zinc finger proteins, megaTALs and meganucleases - gene editing of errant genes.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company was founded in 2013 as Arcturus Therapeutics, Inc., and we have maintained our principal executive offices in San Diego, California since that time. In November 2017, Alcobra Ltd., an Israeli limited company, merged with our company, changed its name to Arcturus Therapeutics Ltd. (“Arcturus Israel”), and commenced trading on Nasdaq under the symbol “ARCT.” On June 17, 2019, we redomiciled to the United States (the “Redomiciliation”) and changed our name to Arcturus Therapeutics Holdings Inc., as described more fully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Redomiciliation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May 2019, shareholders of Arcturus Israel approved the Redomiciliation. In connection therewith, in February 2019, Arcturus Israel entered into a share exchange agreement (the “Exchange Agreement”) with Arcturus Therapeutics Holdings Inc., a newly established Delaware corporation. In June 2019, pursuant to the terms of the Exchange Agreement, all issued ordinary shares and options to purchase ordinary shares of Arcturus Israel were exchanged on a one-for-one basis for newly issued shares of common stock and options to purchase common stock, respectively, of the Company, resulting in Arcturus Israel becoming a subsidiary of the Company.</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June 2019, Arcturus Israel’s ordinary shares were delisted from trading on Nasdaq and the Company’s shares commenced trading on Nasdaq under the symbol “ARCT.” Arcturus Israel is now a wholly-owned subsidiary of the Company, which is the successor to Arcturus Israel. Proceedings to liquidate Arcturus Israel are now pending in Israeli court.</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2019, filed with the SEC on March 16, 2020, in Part II, Item 1A, Risk Factors of our Quarterly Reports on Form 10-Q for the quarters ended March 31, 2020, as filed with the SEC on May 8, 2020, June 30, 2020, as filed with the SEC on August 10, 2020, and September 30, 2020, as filed with the SEC on November 9, 2020, and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$0.001 per share, and 10,000,000 shares of preferred stock, par value $0.001 per share.</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November 2, 2020, there were 24,493,084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under the symbol “ARCT” on the NASDAQ.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not declared any cash dividends on our common stock since inception and we do not anticipate paying any cash dividends on our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authorized to issue a total of 10,000,000 shares of preferred stock. We have no shares of preferred stock outstanding, and we have no present plan to issue any shares of preferred stock.</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offered, the liquidation preference per share and the offering price of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thereof applicable to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preferred stock are cumulative or not and, if cumulative, the date from which dividends on the shares of preferred stock shall accumulate;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shares of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 sinking fund, if any, for the shares of preferred stock;</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 of the shares of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shares of preferred stock on any securities exchange;</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shares of preferred stock will be convertible into common shares, including the conversion price (or manner of calculation thereof);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federal income tax considerations applicable to the shares of preferred stock;</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shares of preferred stock as to dividend rights and rights upon liquidation, dissolution or winding up of our affairs;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shares of preferred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rights of such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any series or class of preferred stock will be set forth in the applicable prospectus supplement.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Possible Anti-Takeover Effects of Delaware Law and our Charter Documents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and Removal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Size of Board and Vacancies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Liability</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 WE MAY OFFER</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18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depositary will 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modification of the terms of the security or the rights of the security 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or the ability of our subsidiaries to: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2" w:name="page43"/>
    <w:bookmarkEnd w:id="42"/>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225"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3" w:name="page44"/>
    <w:bookmarkEnd w:id="43"/>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and the time for payment has not been extended;</w:t>
      </w:r>
    </w:p>
    <w:p>
      <w:pPr>
        <w:spacing w:after="0" w:line="225"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holders is not in conflict with any law or the applicable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only if:</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25"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17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“-Consolidation, Merger or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such indenture;</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 and to make all appropriate changes for such purpose;</w:t>
      </w:r>
    </w:p>
    <w:p>
      <w:pPr>
        <w:spacing w:after="0" w:line="16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75" w:lineRule="exact"/>
        <w:rPr>
          <w:rFonts w:ascii="Times New Roman" w:cs="Times New Roman" w:eastAsia="Times New Roman" w:hAnsi="Times New Roman"/>
          <w:sz w:val="18"/>
          <w:szCs w:val="18"/>
          <w:color w:val="auto"/>
        </w:rPr>
      </w:pPr>
    </w:p>
    <w:p>
      <w:pPr>
        <w:ind w:left="660" w:right="220" w:hanging="328"/>
        <w:spacing w:after="0" w:line="25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18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of our obligations to pay additional amounts;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amount of principal of an original issue discount security or any other note payable upon acceleration of the maturity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currency in which any note or any premium or interest is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right to enforce any payment on or with respect to any note;</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changing the right to convert or exchange, including decreasing the conversion rate or increasing the conversion price of, such note, if applicable;</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subordinated indenture, modifying the subordination provisions in a manner adverse to the holders of the subordinated debt securities;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secured, changing the terms and conditions pursuant to which the debt securities are secured in a manner adverse to the holders of the secured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requirements contained in the applicable indenture for quorum or voting;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of our obligations to maintain an office or agency in the places and for the purposes required by the indentures;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any of the above provisions set forth in this paragraph.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17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6" w:name="page47"/>
    <w:bookmarkEnd w:id="46"/>
    <w:p>
      <w:pPr>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ind w:left="660" w:right="2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Debt Securities</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 WE MAY OFFER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have no warrants to purchase shares of our common stock outstanding. We may issue warrants to purchase shares of our common stock to investors as part of a financing transaction, or in connection with services rendered by placement agents and outside consultants.</w:t>
      </w:r>
    </w:p>
    <w:p>
      <w:pPr>
        <w:spacing w:after="0" w:line="15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number of warrants issued with each share of preferred stock or share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preferred stock or common stock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which may be exercised at any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debt warrants will be issued;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terms of the debt securities purchasable upon exercise of the debt warrants, and the procedures and conditions relating to the exercise of the debt warrants;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related debt securities with which the debt warrants are issued, and the number of the debt warrants issued with each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debt warrants and the related debt securities will be separately transferable;</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the principal amount of the debt securities may be purchased upon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the debt warrants that may be exercised at any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or adjustments in the exercise price of the debt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the exercise of the debt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warrants and terms, procedures and limitations relating to the exercise of the debt warrants.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right="40"/>
        <w:spacing w:after="0" w:line="256" w:lineRule="auto"/>
        <w:rPr>
          <w:sz w:val="20"/>
          <w:szCs w:val="20"/>
          <w:color w:val="auto"/>
        </w:rPr>
      </w:pPr>
      <w:r>
        <w:rPr>
          <w:rFonts w:ascii="Times New Roman" w:cs="Times New Roman" w:eastAsia="Times New Roman" w:hAnsi="Times New Roman"/>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 WE MAY OFFER</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w:t>
      </w:r>
    </w:p>
    <w:p>
      <w:pPr>
        <w:spacing w:after="0" w:line="225" w:lineRule="exact"/>
        <w:rPr>
          <w:sz w:val="20"/>
          <w:szCs w:val="20"/>
          <w:color w:val="auto"/>
        </w:rPr>
      </w:pPr>
    </w:p>
    <w:p>
      <w:pPr>
        <w:ind w:left="660" w:right="1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3"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offered securities from time to time.</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broker-dealers (acting as agent or principal);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through a specific bidding or auction process or otherwise;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these methods of sale.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will describe the terms of the offering of the securities, including:</w:t>
      </w:r>
    </w:p>
    <w:p>
      <w:pPr>
        <w:spacing w:after="0" w:line="162" w:lineRule="exact"/>
        <w:rPr>
          <w:sz w:val="20"/>
          <w:szCs w:val="20"/>
          <w:color w:val="auto"/>
        </w:rPr>
      </w:pPr>
    </w:p>
    <w:p>
      <w:pPr>
        <w:ind w:left="660" w:right="1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any, and if required, any dealers or agents and the amount of shares underwritten or purchased by each of them;</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or other consideration to be paid in connection with the sale of the securities being offered and the proceeds we will receive from the sale;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 or prices, which may be changed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896" w:gutter="0" w:footer="0" w:header="0"/>
        </w:sectPr>
      </w:pPr>
    </w:p>
    <w:bookmarkStart w:id="52" w:name="page53"/>
    <w:bookmarkEnd w:id="52"/>
    <w:p>
      <w:pPr>
        <w:ind w:right="80"/>
        <w:spacing w:after="0" w:line="261" w:lineRule="auto"/>
        <w:rPr>
          <w:sz w:val="20"/>
          <w:szCs w:val="20"/>
          <w:color w:val="auto"/>
        </w:rPr>
      </w:pPr>
      <w:r>
        <w:rPr>
          <w:rFonts w:ascii="Times New Roman" w:cs="Times New Roman" w:eastAsia="Times New Roman" w:hAnsi="Times New Roman"/>
          <w:sz w:val="18"/>
          <w:szCs w:val="18"/>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 We will describe such relationships in the prospectus supplement naming the underwriter and the nature of any such relationship.</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Arcturus Therapeutics Holdings Inc. and its Subsidiaries appearing in Arcturus Therapeutics Holdings Inc.’s Annual Report (Form 10-K) for the year ended December 31, 2019, and the effectiveness of Arcturus Therapeutics Holdings Inc. and its Subsidiaries’ internal control over financial reporting as of December 31, 2019 have been audited by Ernst &amp; Young LLP, independent registered public accounting firm, as set forth in their reports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2471420</wp:posOffset>
            </wp:positionH>
            <wp:positionV relativeFrom="page">
              <wp:posOffset>226060</wp:posOffset>
            </wp:positionV>
            <wp:extent cx="2571750" cy="8655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7, 2020</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2471420</wp:posOffset>
            </wp:positionH>
            <wp:positionV relativeFrom="page">
              <wp:posOffset>226060</wp:posOffset>
            </wp:positionV>
            <wp:extent cx="2571750" cy="865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2571750" cy="86550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1,365,000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240"/>
          </w:cols>
          <w:pgMar w:left="320" w:top="1440" w:right="33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Piper Sandler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Guggenheim Securities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Wells Fargo Securities</w:t>
      </w:r>
    </w:p>
    <w:p>
      <w:pPr>
        <w:spacing w:after="0" w:line="211" w:lineRule="exact"/>
        <w:rPr>
          <w:sz w:val="20"/>
          <w:szCs w:val="20"/>
          <w:color w:val="auto"/>
        </w:rPr>
      </w:pPr>
    </w:p>
    <w:p>
      <w:pPr>
        <w:sectPr>
          <w:pgSz w:w="11900" w:h="16838" w:orient="portrait"/>
          <w:cols w:equalWidth="0" w:num="3">
            <w:col w:w="3480" w:space="720"/>
            <w:col w:w="3560" w:space="720"/>
            <w:col w:w="2760"/>
          </w:cols>
          <w:pgMar w:left="320" w:top="1440" w:right="339" w:bottom="1440" w:gutter="0" w:footer="0" w:header="0"/>
          <w:type w:val="continuous"/>
        </w:sectPr>
      </w:pP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Lead Manager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7, 2020</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lvl w:ilvl="1">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lvl w:ilvl="1">
      <w:lvlJc w:val="left"/>
      <w:lvlText w:val="·"/>
      <w:numFmt w:val="bullet"/>
      <w:start w:val="1"/>
    </w:lvl>
  </w:abstractNum>
  <w:abstractNum w:abstractNumId="23">
    <w:nsid w:val="737B8DDC"/>
    <w:multiLevelType w:val="hybridMultilevel"/>
    <w:lvl w:ilvl="0">
      <w:lvlJc w:val="left"/>
      <w:lvlText w:val="·"/>
      <w:numFmt w:val="bullet"/>
      <w:start w:val="1"/>
    </w:lvl>
    <w:lvl w:ilvl="1">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2020-12-08T16:32:39Z</dcterms:created>
  <dcterms:modified xsi:type="dcterms:W3CDTF">2020-12-08T16:32:39Z</dcterms:modified>
</cp:coreProperties>
</file>