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Pr>
          <w:p>
            <w:pPr>
              <w:ind w:left="420"/>
              <w:spacing w:after="0"/>
              <w:rPr>
                <w:sz w:val="20"/>
                <w:szCs w:val="20"/>
                <w:color w:val="auto"/>
              </w:rPr>
            </w:pPr>
            <w:r>
              <w:rPr>
                <w:rFonts w:ascii="Arial" w:cs="Arial" w:eastAsia="Arial" w:hAnsi="Arial"/>
                <w:sz w:val="18"/>
                <w:szCs w:val="18"/>
                <w:color w:val="auto"/>
                <w:w w:val="90"/>
              </w:rPr>
              <w:t>Rule 13d-1(b)</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p>
        </w:tc>
        <w:tc>
          <w:tcPr>
            <w:tcW w:w="1440" w:type="dxa"/>
            <w:vAlign w:val="bottom"/>
          </w:tcPr>
          <w:p>
            <w:pPr>
              <w:ind w:left="420"/>
              <w:spacing w:after="0"/>
              <w:rPr>
                <w:sz w:val="20"/>
                <w:szCs w:val="20"/>
                <w:color w:val="auto"/>
              </w:rPr>
            </w:pPr>
            <w:r>
              <w:rPr>
                <w:rFonts w:ascii="Arial" w:cs="Arial" w:eastAsia="Arial" w:hAnsi="Arial"/>
                <w:sz w:val="18"/>
                <w:szCs w:val="18"/>
                <w:color w:val="auto"/>
                <w:w w:val="91"/>
              </w:rPr>
              <w:t>Rule 13d-1(c)</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Pr>
          <w:p>
            <w:pPr>
              <w:ind w:left="420"/>
              <w:spacing w:after="0"/>
              <w:rPr>
                <w:sz w:val="20"/>
                <w:szCs w:val="20"/>
                <w:color w:val="auto"/>
              </w:rPr>
            </w:pPr>
            <w:r>
              <w:rPr>
                <w:rFonts w:ascii="Arial" w:cs="Arial" w:eastAsia="Arial" w:hAnsi="Arial"/>
                <w:sz w:val="18"/>
                <w:szCs w:val="18"/>
                <w:color w:val="auto"/>
                <w:w w:val="90"/>
              </w:rPr>
              <w:t>Rule 13d-1(d)</w:t>
            </w:r>
          </w:p>
        </w:tc>
      </w:tr>
    </w:tbl>
    <w:p>
      <w:pPr>
        <w:spacing w:after="0" w:line="25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460" w:type="dxa"/>
            <w:vAlign w:val="bottom"/>
          </w:tcPr>
          <w:p>
            <w:pPr>
              <w:ind w:left="2080"/>
              <w:spacing w:after="0"/>
              <w:rPr>
                <w:sz w:val="20"/>
                <w:szCs w:val="20"/>
                <w:color w:val="auto"/>
              </w:rPr>
            </w:pPr>
            <w:r>
              <w:rPr>
                <w:rFonts w:ascii="Arial" w:cs="Arial" w:eastAsia="Arial" w:hAnsi="Arial"/>
                <w:sz w:val="22"/>
                <w:szCs w:val="22"/>
                <w:b w:val="1"/>
                <w:bCs w:val="1"/>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1340" w:hanging="819"/>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b w:val="1"/>
          <w:bCs w:val="1"/>
          <w:color w:val="auto"/>
        </w:rPr>
        <w:t>RA Capital Management, LLC</w:t>
      </w:r>
    </w:p>
    <w:p>
      <w:pPr>
        <w:spacing w:after="0" w:line="296" w:lineRule="exact"/>
        <w:rPr>
          <w:rFonts w:ascii="Arial" w:cs="Arial" w:eastAsia="Arial" w:hAnsi="Arial"/>
          <w:sz w:val="18"/>
          <w:szCs w:val="18"/>
          <w:color w:val="auto"/>
        </w:rPr>
      </w:pPr>
    </w:p>
    <w:p>
      <w:pPr>
        <w:ind w:left="1340" w:hanging="819"/>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1340" w:hanging="819"/>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60" w:type="dxa"/>
            <w:vAlign w:val="bottom"/>
            <w:tcBorders>
              <w:top w:val="single" w:sz="8" w:color="808080"/>
            </w:tcBorders>
          </w:tcPr>
          <w:p>
            <w:pPr>
              <w:ind w:left="520"/>
              <w:spacing w:after="0"/>
              <w:rPr>
                <w:sz w:val="20"/>
                <w:szCs w:val="20"/>
                <w:color w:val="auto"/>
              </w:rPr>
            </w:pPr>
            <w:r>
              <w:rPr>
                <w:rFonts w:ascii="Arial" w:cs="Arial" w:eastAsia="Arial" w:hAnsi="Arial"/>
                <w:sz w:val="18"/>
                <w:szCs w:val="18"/>
                <w:color w:val="auto"/>
              </w:rPr>
              <w:t>4.</w:t>
            </w:r>
          </w:p>
        </w:tc>
        <w:tc>
          <w:tcPr>
            <w:tcW w:w="3040" w:type="dxa"/>
            <w:vAlign w:val="bottom"/>
            <w:tcBorders>
              <w:top w:val="single" w:sz="8" w:color="808080"/>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20" w:type="dxa"/>
            <w:vAlign w:val="bottom"/>
            <w:tcBorders>
              <w:top w:val="single" w:sz="8" w:color="808080"/>
            </w:tcBorders>
          </w:tcPr>
          <w:p>
            <w:pPr>
              <w:ind w:left="60"/>
              <w:spacing w:after="0"/>
              <w:rPr>
                <w:sz w:val="20"/>
                <w:szCs w:val="20"/>
                <w:color w:val="auto"/>
              </w:rPr>
            </w:pPr>
            <w:r>
              <w:rPr>
                <w:rFonts w:ascii="Arial" w:cs="Arial" w:eastAsia="Arial" w:hAnsi="Arial"/>
                <w:sz w:val="18"/>
                <w:szCs w:val="18"/>
                <w:b w:val="1"/>
                <w:bCs w:val="1"/>
                <w:color w:val="auto"/>
              </w:rPr>
              <w:t>Massachusetts</w:t>
            </w:r>
          </w:p>
        </w:tc>
        <w:tc>
          <w:tcPr>
            <w:tcW w:w="0" w:type="dxa"/>
            <w:vAlign w:val="bottom"/>
          </w:tcPr>
          <w:p>
            <w:pPr>
              <w:spacing w:after="0"/>
              <w:rPr>
                <w:sz w:val="1"/>
                <w:szCs w:val="1"/>
                <w:color w:val="auto"/>
              </w:rPr>
            </w:pPr>
          </w:p>
        </w:tc>
      </w:tr>
      <w:tr>
        <w:trPr>
          <w:trHeight w:val="252"/>
        </w:trPr>
        <w:tc>
          <w:tcPr>
            <w:tcW w:w="12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60" w:type="dxa"/>
            <w:vAlign w:val="bottom"/>
            <w:tcBorders>
              <w:bottom w:val="single" w:sz="8" w:color="808080"/>
            </w:tcBorders>
          </w:tcPr>
          <w:p>
            <w:pPr>
              <w:spacing w:after="0"/>
              <w:rPr>
                <w:sz w:val="21"/>
                <w:szCs w:val="21"/>
                <w:color w:val="auto"/>
              </w:rPr>
            </w:pPr>
          </w:p>
        </w:tc>
        <w:tc>
          <w:tcPr>
            <w:tcW w:w="71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20" w:type="dxa"/>
            <w:vAlign w:val="bottom"/>
          </w:tcPr>
          <w:p>
            <w:pPr>
              <w:ind w:left="5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1,308,234 shares</w:t>
            </w:r>
          </w:p>
        </w:tc>
        <w:tc>
          <w:tcPr>
            <w:tcW w:w="0" w:type="dxa"/>
            <w:vAlign w:val="bottom"/>
          </w:tcPr>
          <w:p>
            <w:pPr>
              <w:spacing w:after="0"/>
              <w:rPr>
                <w:sz w:val="1"/>
                <w:szCs w:val="1"/>
                <w:color w:val="auto"/>
              </w:rPr>
            </w:pPr>
          </w:p>
        </w:tc>
      </w:tr>
      <w:tr>
        <w:trPr>
          <w:trHeight w:val="100"/>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7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2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7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60"/>
              <w:spacing w:after="0" w:line="203"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7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20" w:type="dxa"/>
            <w:vAlign w:val="bottom"/>
          </w:tcPr>
          <w:p>
            <w:pPr>
              <w:jc w:val="center"/>
              <w:ind w:right="5350"/>
              <w:spacing w:after="0"/>
              <w:rPr>
                <w:sz w:val="20"/>
                <w:szCs w:val="20"/>
                <w:color w:val="auto"/>
              </w:rPr>
            </w:pPr>
            <w:r>
              <w:rPr>
                <w:rFonts w:ascii="Arial" w:cs="Arial" w:eastAsia="Arial" w:hAnsi="Arial"/>
                <w:sz w:val="18"/>
                <w:szCs w:val="18"/>
                <w:b w:val="1"/>
                <w:bCs w:val="1"/>
                <w:color w:val="auto"/>
                <w:w w:val="86"/>
              </w:rPr>
              <w:t>1,308,234 shares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340" w:hanging="819"/>
        <w:spacing w:after="0"/>
        <w:tabs>
          <w:tab w:leader="none" w:pos="1340" w:val="left"/>
        </w:tabs>
        <w:numPr>
          <w:ilvl w:val="0"/>
          <w:numId w:val="2"/>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1,308,234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 xml:space="preserve">Check if the Aggregate Amount in Row (9) Excludes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8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8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36"/>
        </w:trPr>
        <w:tc>
          <w:tcPr>
            <w:tcW w:w="1040" w:type="dxa"/>
            <w:vAlign w:val="bottom"/>
            <w:vMerge w:val="continue"/>
          </w:tcPr>
          <w:p>
            <w:pPr>
              <w:spacing w:after="0"/>
              <w:rPr>
                <w:sz w:val="11"/>
                <w:szCs w:val="11"/>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4.7%</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0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04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80" w:type="dxa"/>
            <w:vAlign w:val="bottom"/>
          </w:tcPr>
          <w:p>
            <w:pPr>
              <w:ind w:left="300"/>
              <w:spacing w:after="0" w:line="205"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IA</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808080"/>
            </w:tcBorders>
          </w:tcPr>
          <w:p>
            <w:pPr>
              <w:spacing w:after="0"/>
              <w:rPr>
                <w:sz w:val="22"/>
                <w:szCs w:val="22"/>
                <w:color w:val="auto"/>
              </w:rPr>
            </w:pPr>
          </w:p>
        </w:tc>
        <w:tc>
          <w:tcPr>
            <w:tcW w:w="1038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66" w:lineRule="exact"/>
        <w:rPr>
          <w:sz w:val="20"/>
          <w:szCs w:val="20"/>
          <w:color w:val="auto"/>
        </w:rPr>
      </w:pPr>
    </w:p>
    <w:p>
      <w:pPr>
        <w:ind w:right="120" w:firstLine="8"/>
        <w:spacing w:after="0" w:line="209"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reporting person is the beneficial owner of 1,308,234 ordinary shares of the Issuer which constitute approximately 4.7% of the Issuer’s outstanding ordinary shares. The percentage calculation assumes that there are currently 27,560,920 outstanding ordinary shares of the Issuer, based on the Issuer’s Form 20-F as filed with the Securities and Exchange Commission (“SEC”) on 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460" w:type="dxa"/>
            <w:vAlign w:val="bottom"/>
          </w:tcPr>
          <w:p>
            <w:pPr>
              <w:ind w:left="2080"/>
              <w:spacing w:after="0"/>
              <w:rPr>
                <w:sz w:val="20"/>
                <w:szCs w:val="20"/>
                <w:color w:val="auto"/>
              </w:rPr>
            </w:pPr>
            <w:r>
              <w:rPr>
                <w:rFonts w:ascii="Arial" w:cs="Arial" w:eastAsia="Arial" w:hAnsi="Arial"/>
                <w:sz w:val="22"/>
                <w:szCs w:val="22"/>
                <w:b w:val="1"/>
                <w:bCs w:val="1"/>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1340" w:hanging="819"/>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b w:val="1"/>
          <w:bCs w:val="1"/>
          <w:color w:val="auto"/>
        </w:rPr>
        <w:t>Peter Kolchinsky</w:t>
      </w:r>
    </w:p>
    <w:p>
      <w:pPr>
        <w:spacing w:after="0" w:line="296" w:lineRule="exact"/>
        <w:rPr>
          <w:rFonts w:ascii="Arial" w:cs="Arial" w:eastAsia="Arial" w:hAnsi="Arial"/>
          <w:sz w:val="18"/>
          <w:szCs w:val="18"/>
          <w:color w:val="auto"/>
        </w:rPr>
      </w:pPr>
    </w:p>
    <w:p>
      <w:pPr>
        <w:ind w:left="1340" w:hanging="819"/>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1340" w:hanging="819"/>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60" w:type="dxa"/>
            <w:vAlign w:val="bottom"/>
            <w:tcBorders>
              <w:top w:val="single" w:sz="8" w:color="808080"/>
            </w:tcBorders>
          </w:tcPr>
          <w:p>
            <w:pPr>
              <w:ind w:left="520"/>
              <w:spacing w:after="0"/>
              <w:rPr>
                <w:sz w:val="20"/>
                <w:szCs w:val="20"/>
                <w:color w:val="auto"/>
              </w:rPr>
            </w:pPr>
            <w:r>
              <w:rPr>
                <w:rFonts w:ascii="Arial" w:cs="Arial" w:eastAsia="Arial" w:hAnsi="Arial"/>
                <w:sz w:val="18"/>
                <w:szCs w:val="18"/>
                <w:color w:val="auto"/>
              </w:rPr>
              <w:t>4.</w:t>
            </w:r>
          </w:p>
        </w:tc>
        <w:tc>
          <w:tcPr>
            <w:tcW w:w="3040" w:type="dxa"/>
            <w:vAlign w:val="bottom"/>
            <w:tcBorders>
              <w:top w:val="single" w:sz="8" w:color="808080"/>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20" w:type="dxa"/>
            <w:vAlign w:val="bottom"/>
            <w:tcBorders>
              <w:top w:val="single" w:sz="8" w:color="808080"/>
            </w:tcBorders>
          </w:tcPr>
          <w:p>
            <w:pPr>
              <w:ind w:left="6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52"/>
        </w:trPr>
        <w:tc>
          <w:tcPr>
            <w:tcW w:w="12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60" w:type="dxa"/>
            <w:vAlign w:val="bottom"/>
            <w:tcBorders>
              <w:bottom w:val="single" w:sz="8" w:color="808080"/>
            </w:tcBorders>
          </w:tcPr>
          <w:p>
            <w:pPr>
              <w:spacing w:after="0"/>
              <w:rPr>
                <w:sz w:val="21"/>
                <w:szCs w:val="21"/>
                <w:color w:val="auto"/>
              </w:rPr>
            </w:pPr>
          </w:p>
        </w:tc>
        <w:tc>
          <w:tcPr>
            <w:tcW w:w="71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2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2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8"/>
              </w:rPr>
              <w:t>1,308,234 shares</w:t>
            </w:r>
          </w:p>
        </w:tc>
        <w:tc>
          <w:tcPr>
            <w:tcW w:w="0" w:type="dxa"/>
            <w:vAlign w:val="bottom"/>
          </w:tcPr>
          <w:p>
            <w:pPr>
              <w:spacing w:after="0"/>
              <w:rPr>
                <w:sz w:val="1"/>
                <w:szCs w:val="1"/>
                <w:color w:val="auto"/>
              </w:rPr>
            </w:pPr>
          </w:p>
        </w:tc>
      </w:tr>
      <w:tr>
        <w:trPr>
          <w:trHeight w:val="100"/>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7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2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7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60"/>
              <w:spacing w:after="0" w:line="203"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7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20" w:type="dxa"/>
            <w:vAlign w:val="bottom"/>
          </w:tcPr>
          <w:p>
            <w:pPr>
              <w:ind w:left="260"/>
              <w:spacing w:after="0"/>
              <w:rPr>
                <w:sz w:val="20"/>
                <w:szCs w:val="20"/>
                <w:color w:val="auto"/>
              </w:rPr>
            </w:pPr>
            <w:r>
              <w:rPr>
                <w:rFonts w:ascii="Arial" w:cs="Arial" w:eastAsia="Arial" w:hAnsi="Arial"/>
                <w:sz w:val="18"/>
                <w:szCs w:val="18"/>
                <w:b w:val="1"/>
                <w:bCs w:val="1"/>
                <w:color w:val="auto"/>
              </w:rPr>
              <w:t>1,308,234 shares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340" w:hanging="819"/>
        <w:spacing w:after="0"/>
        <w:tabs>
          <w:tab w:leader="none" w:pos="134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1,308,234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 xml:space="preserve">Check if the Aggregate Amount in Row (9) Excludes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8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8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36"/>
        </w:trPr>
        <w:tc>
          <w:tcPr>
            <w:tcW w:w="1040" w:type="dxa"/>
            <w:vAlign w:val="bottom"/>
            <w:vMerge w:val="continue"/>
          </w:tcPr>
          <w:p>
            <w:pPr>
              <w:spacing w:after="0"/>
              <w:rPr>
                <w:sz w:val="11"/>
                <w:szCs w:val="11"/>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4.7%</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0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04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80" w:type="dxa"/>
            <w:vAlign w:val="bottom"/>
          </w:tcPr>
          <w:p>
            <w:pPr>
              <w:ind w:left="300"/>
              <w:spacing w:after="0" w:line="205"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420" w:type="dxa"/>
            <w:vAlign w:val="bottom"/>
            <w:tcBorders>
              <w:bottom w:val="single" w:sz="8" w:color="808080"/>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11420" w:type="dxa"/>
            <w:vAlign w:val="bottom"/>
            <w:gridSpan w:val="2"/>
          </w:tcPr>
          <w:p>
            <w:pPr>
              <w:jc w:val="right"/>
              <w:ind w:right="8170"/>
              <w:spacing w:after="0"/>
              <w:rPr>
                <w:sz w:val="20"/>
                <w:szCs w:val="20"/>
                <w:color w:val="auto"/>
              </w:rPr>
            </w:pPr>
            <w:r>
              <w:rPr>
                <w:rFonts w:ascii="Arial" w:cs="Arial" w:eastAsia="Arial" w:hAnsi="Arial"/>
                <w:sz w:val="18"/>
                <w:szCs w:val="18"/>
                <w:color w:val="auto"/>
                <w:w w:val="89"/>
              </w:rPr>
              <w:t>___________________________________</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120" w:firstLine="8"/>
        <w:spacing w:after="0" w:line="209"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reporting person is the beneficial owner of 1,308,234 ordinary shares of the Issuer which constitute approximately 4.7% of the Issuer’s outstanding ordinary shares. The percentage calculation assumes that there are currently 27,560,920 outstanding ordinary shares of the Issuer, based on the Issuer’s Form 20-F as filed with the Securities and Exchange Commission (“SEC”) on 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81"/>
        </w:trPr>
        <w:tc>
          <w:tcPr>
            <w:tcW w:w="39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M2239P109</w:t>
            </w:r>
          </w:p>
        </w:tc>
        <w:tc>
          <w:tcPr>
            <w:tcW w:w="2420" w:type="dxa"/>
            <w:vAlign w:val="bottom"/>
          </w:tcPr>
          <w:p>
            <w:pPr>
              <w:ind w:left="2040"/>
              <w:spacing w:after="0"/>
              <w:rPr>
                <w:sz w:val="20"/>
                <w:szCs w:val="20"/>
                <w:color w:val="auto"/>
              </w:rPr>
            </w:pPr>
            <w:r>
              <w:rPr>
                <w:rFonts w:ascii="Arial" w:cs="Arial" w:eastAsia="Arial" w:hAnsi="Arial"/>
                <w:sz w:val="22"/>
                <w:szCs w:val="22"/>
                <w:b w:val="1"/>
                <w:bCs w:val="1"/>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1340" w:hanging="81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b w:val="1"/>
          <w:bCs w:val="1"/>
          <w:color w:val="auto"/>
        </w:rPr>
        <w:t>RA Capital Healthcare Fund, L.P.</w:t>
      </w:r>
    </w:p>
    <w:p>
      <w:pPr>
        <w:spacing w:after="0" w:line="296" w:lineRule="exact"/>
        <w:rPr>
          <w:rFonts w:ascii="Arial" w:cs="Arial" w:eastAsia="Arial" w:hAnsi="Arial"/>
          <w:sz w:val="18"/>
          <w:szCs w:val="18"/>
          <w:color w:val="auto"/>
        </w:rPr>
      </w:pPr>
    </w:p>
    <w:p>
      <w:pPr>
        <w:ind w:left="1340" w:hanging="81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2020" w:hanging="688"/>
        <w:spacing w:after="0" w:line="207" w:lineRule="exact"/>
        <w:tabs>
          <w:tab w:leader="none" w:pos="202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1340" w:hanging="81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60" w:type="dxa"/>
            <w:vAlign w:val="bottom"/>
            <w:tcBorders>
              <w:top w:val="single" w:sz="8" w:color="808080"/>
            </w:tcBorders>
          </w:tcPr>
          <w:p>
            <w:pPr>
              <w:ind w:left="520"/>
              <w:spacing w:after="0"/>
              <w:rPr>
                <w:sz w:val="20"/>
                <w:szCs w:val="20"/>
                <w:color w:val="auto"/>
              </w:rPr>
            </w:pPr>
            <w:r>
              <w:rPr>
                <w:rFonts w:ascii="Arial" w:cs="Arial" w:eastAsia="Arial" w:hAnsi="Arial"/>
                <w:sz w:val="18"/>
                <w:szCs w:val="18"/>
                <w:color w:val="auto"/>
              </w:rPr>
              <w:t>4.</w:t>
            </w:r>
          </w:p>
        </w:tc>
        <w:tc>
          <w:tcPr>
            <w:tcW w:w="3040" w:type="dxa"/>
            <w:vAlign w:val="bottom"/>
            <w:tcBorders>
              <w:top w:val="single" w:sz="8" w:color="808080"/>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7120" w:type="dxa"/>
            <w:vAlign w:val="bottom"/>
            <w:tcBorders>
              <w:top w:val="single" w:sz="8" w:color="808080"/>
            </w:tcBorders>
          </w:tcPr>
          <w:p>
            <w:pPr>
              <w:ind w:left="6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52"/>
        </w:trPr>
        <w:tc>
          <w:tcPr>
            <w:tcW w:w="12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60" w:type="dxa"/>
            <w:vAlign w:val="bottom"/>
            <w:tcBorders>
              <w:bottom w:val="single" w:sz="8" w:color="808080"/>
            </w:tcBorders>
          </w:tcPr>
          <w:p>
            <w:pPr>
              <w:spacing w:after="0"/>
              <w:rPr>
                <w:sz w:val="21"/>
                <w:szCs w:val="21"/>
                <w:color w:val="auto"/>
              </w:rPr>
            </w:pPr>
          </w:p>
        </w:tc>
        <w:tc>
          <w:tcPr>
            <w:tcW w:w="71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712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60" w:type="dxa"/>
            <w:vAlign w:val="bottom"/>
            <w:tcBorders>
              <w:bottom w:val="single" w:sz="8" w:color="808080"/>
            </w:tcBorders>
          </w:tcPr>
          <w:p>
            <w:pPr>
              <w:spacing w:after="0"/>
              <w:rPr>
                <w:sz w:val="5"/>
                <w:szCs w:val="5"/>
                <w:color w:val="auto"/>
              </w:rPr>
            </w:pPr>
          </w:p>
        </w:tc>
        <w:tc>
          <w:tcPr>
            <w:tcW w:w="7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7120" w:type="dxa"/>
            <w:vAlign w:val="bottom"/>
            <w:vMerge w:val="restart"/>
          </w:tcPr>
          <w:p>
            <w:pPr>
              <w:jc w:val="center"/>
              <w:ind w:right="5330"/>
              <w:spacing w:after="0"/>
              <w:rPr>
                <w:sz w:val="20"/>
                <w:szCs w:val="20"/>
                <w:color w:val="auto"/>
              </w:rPr>
            </w:pPr>
            <w:r>
              <w:rPr>
                <w:rFonts w:ascii="Arial" w:cs="Arial" w:eastAsia="Arial" w:hAnsi="Arial"/>
                <w:sz w:val="18"/>
                <w:szCs w:val="18"/>
                <w:b w:val="1"/>
                <w:bCs w:val="1"/>
                <w:color w:val="auto"/>
                <w:w w:val="88"/>
              </w:rPr>
              <w:t>1,084,349 shares</w:t>
            </w:r>
          </w:p>
        </w:tc>
        <w:tc>
          <w:tcPr>
            <w:tcW w:w="0" w:type="dxa"/>
            <w:vAlign w:val="bottom"/>
          </w:tcPr>
          <w:p>
            <w:pPr>
              <w:spacing w:after="0"/>
              <w:rPr>
                <w:sz w:val="1"/>
                <w:szCs w:val="1"/>
                <w:color w:val="auto"/>
              </w:rPr>
            </w:pPr>
          </w:p>
        </w:tc>
      </w:tr>
      <w:tr>
        <w:trPr>
          <w:trHeight w:val="100"/>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8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7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20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7120" w:type="dxa"/>
            <w:vAlign w:val="bottom"/>
            <w:vMerge w:val="restart"/>
          </w:tcPr>
          <w:p>
            <w:pPr>
              <w:jc w:val="center"/>
              <w:ind w:right="5370"/>
              <w:spacing w:after="0"/>
              <w:rPr>
                <w:sz w:val="20"/>
                <w:szCs w:val="20"/>
                <w:color w:val="auto"/>
              </w:rPr>
            </w:pPr>
            <w:r>
              <w:rPr>
                <w:rFonts w:ascii="Arial" w:cs="Arial" w:eastAsia="Arial" w:hAnsi="Arial"/>
                <w:sz w:val="18"/>
                <w:szCs w:val="18"/>
                <w:b w:val="1"/>
                <w:bCs w:val="1"/>
                <w:color w:val="auto"/>
                <w:w w:val="84"/>
              </w:rPr>
              <w:t>0 shares</w:t>
            </w:r>
          </w:p>
        </w:tc>
        <w:tc>
          <w:tcPr>
            <w:tcW w:w="0" w:type="dxa"/>
            <w:vAlign w:val="bottom"/>
          </w:tcPr>
          <w:p>
            <w:pPr>
              <w:spacing w:after="0"/>
              <w:rPr>
                <w:sz w:val="1"/>
                <w:szCs w:val="1"/>
                <w:color w:val="auto"/>
              </w:rPr>
            </w:pPr>
          </w:p>
        </w:tc>
      </w:tr>
      <w:tr>
        <w:trPr>
          <w:trHeight w:val="168"/>
        </w:trPr>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5"/>
              </w:rPr>
              <w:t>Each Reporting</w:t>
            </w:r>
          </w:p>
        </w:tc>
        <w:tc>
          <w:tcPr>
            <w:tcW w:w="9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7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60"/>
              <w:spacing w:after="0" w:line="203"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7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60" w:type="dxa"/>
            <w:vAlign w:val="bottom"/>
          </w:tcPr>
          <w:p>
            <w:pPr>
              <w:ind w:left="140"/>
              <w:spacing w:after="0"/>
              <w:rPr>
                <w:sz w:val="20"/>
                <w:szCs w:val="20"/>
                <w:color w:val="auto"/>
              </w:rPr>
            </w:pPr>
            <w:r>
              <w:rPr>
                <w:rFonts w:ascii="Arial" w:cs="Arial" w:eastAsia="Arial" w:hAnsi="Arial"/>
                <w:sz w:val="18"/>
                <w:szCs w:val="18"/>
                <w:color w:val="auto"/>
                <w:w w:val="92"/>
              </w:rPr>
              <w:t>Shared Dispositive Power</w:t>
            </w:r>
          </w:p>
        </w:tc>
        <w:tc>
          <w:tcPr>
            <w:tcW w:w="7120" w:type="dxa"/>
            <w:vAlign w:val="bottom"/>
          </w:tcPr>
          <w:p>
            <w:pPr>
              <w:jc w:val="center"/>
              <w:ind w:right="5350"/>
              <w:spacing w:after="0"/>
              <w:rPr>
                <w:sz w:val="20"/>
                <w:szCs w:val="20"/>
                <w:color w:val="auto"/>
              </w:rPr>
            </w:pPr>
            <w:r>
              <w:rPr>
                <w:rFonts w:ascii="Arial" w:cs="Arial" w:eastAsia="Arial" w:hAnsi="Arial"/>
                <w:sz w:val="18"/>
                <w:szCs w:val="18"/>
                <w:b w:val="1"/>
                <w:bCs w:val="1"/>
                <w:color w:val="auto"/>
                <w:w w:val="86"/>
              </w:rPr>
              <w:t>1,084,349 shares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340" w:hanging="819"/>
        <w:spacing w:after="0"/>
        <w:tabs>
          <w:tab w:leader="none" w:pos="134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9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1,084,349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 xml:space="preserve">Check if the Aggregate Amount in Row (9) Excludes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0380" w:type="dxa"/>
            <w:vAlign w:val="bottom"/>
            <w:vMerge w:val="restart"/>
          </w:tcPr>
          <w:p>
            <w:pPr>
              <w:ind w:left="30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10380" w:type="dxa"/>
            <w:vAlign w:val="bottom"/>
          </w:tcPr>
          <w:p>
            <w:pPr>
              <w:ind w:left="3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36"/>
        </w:trPr>
        <w:tc>
          <w:tcPr>
            <w:tcW w:w="1040" w:type="dxa"/>
            <w:vAlign w:val="bottom"/>
            <w:vMerge w:val="continue"/>
          </w:tcPr>
          <w:p>
            <w:pPr>
              <w:spacing w:after="0"/>
              <w:rPr>
                <w:sz w:val="11"/>
                <w:szCs w:val="11"/>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3.9%</w:t>
            </w:r>
            <w:r>
              <w:rPr>
                <w:rFonts w:ascii="Arial" w:cs="Arial" w:eastAsia="Arial" w:hAnsi="Arial"/>
                <w:sz w:val="30"/>
                <w:szCs w:val="30"/>
                <w:b w:val="1"/>
                <w:bCs w:val="1"/>
                <w:color w:val="auto"/>
                <w:vertAlign w:val="superscript"/>
              </w:rPr>
              <w:t>3</w:t>
            </w: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10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04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0380" w:type="dxa"/>
            <w:vAlign w:val="bottom"/>
          </w:tcPr>
          <w:p>
            <w:pPr>
              <w:ind w:left="300"/>
              <w:spacing w:after="0" w:line="205"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1038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PN (Limited Partnership)</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420" w:type="dxa"/>
            <w:vAlign w:val="bottom"/>
            <w:tcBorders>
              <w:bottom w:val="single" w:sz="8" w:color="808080"/>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11420" w:type="dxa"/>
            <w:vAlign w:val="bottom"/>
            <w:gridSpan w:val="2"/>
          </w:tcPr>
          <w:p>
            <w:pPr>
              <w:jc w:val="right"/>
              <w:ind w:right="8170"/>
              <w:spacing w:after="0"/>
              <w:rPr>
                <w:sz w:val="20"/>
                <w:szCs w:val="20"/>
                <w:color w:val="auto"/>
              </w:rPr>
            </w:pPr>
            <w:r>
              <w:rPr>
                <w:rFonts w:ascii="Arial" w:cs="Arial" w:eastAsia="Arial" w:hAnsi="Arial"/>
                <w:sz w:val="18"/>
                <w:szCs w:val="18"/>
                <w:color w:val="auto"/>
                <w:w w:val="89"/>
              </w:rPr>
              <w:t>___________________________________</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120" w:firstLine="8"/>
        <w:spacing w:after="0" w:line="209" w:lineRule="auto"/>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reporting person is the beneficial owner of 1,084,349 ordinary shares of the Issuer which constitute approximately 3.9% of the Issuer’s outstanding ordinary shares. The percentage calculation assumes that there are currently 27,560,920 outstanding ordinary shares of the Issuer, based on the Issuer’s Form 20-F as filed with the Securities and Exchange Commission (“SEC”) on 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Amendment No. 2 to the Schedule 13G originally filed on July 6, 2015 is being filed to report that certain of the reporting persons’ beneficial ownership has decreased by more than five percent of a class of equity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ALCOBRA LTD. (the “Issuer”).</w:t>
      </w:r>
    </w:p>
    <w:p>
      <w:pPr>
        <w:spacing w:after="0" w:line="23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Address of the Issuer’s Principal Executive Offices: </w:t>
      </w:r>
      <w:r>
        <w:rPr>
          <w:rFonts w:ascii="Arial" w:cs="Arial" w:eastAsia="Arial" w:hAnsi="Arial"/>
          <w:sz w:val="17"/>
          <w:szCs w:val="17"/>
          <w:color w:val="auto"/>
        </w:rPr>
        <w:t>Amot Investment Building, 2 Weizman Street, 9</w:t>
      </w:r>
      <w:r>
        <w:rPr>
          <w:rFonts w:ascii="Arial" w:cs="Arial" w:eastAsia="Arial" w:hAnsi="Arial"/>
          <w:sz w:val="28"/>
          <w:szCs w:val="28"/>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Tel Aviv 6423902 Israel.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both"/>
        <w:ind w:firstLine="8"/>
        <w:spacing w:after="0" w:line="285" w:lineRule="auto"/>
        <w:tabs>
          <w:tab w:leader="none" w:pos="528"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This joint statement on Schedule 13G is being filed by RA Capital Management, LLC (“Capital”), Peter Kolchinsky and RA</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Healthcare Fund, L.P. (the “Fund”). Capital, Mr. Kolchinsky and the Fund are collectively referred to herein as the “Reporting Persons.” Capital is the general partner of the Fund and serves as investment adviser for a separately managed account (the “Account”). Mr. Kolchinsky is the manager of Capital. As the investment adviser to the Fund and the Account, Capital may be deemed a beneficial owner, for purposes of Section 13(d) of the Securities Exchange Act of 1934 (the “Act”), of any securities of the Issuer owned by the Fund or the Account. As the manager of Capital, Mr. Kolchinsky may be deemed a beneficial owner, for purposes of Section 13(d) of the Act, of any securities of the Issuer beneficially owned by Capital. Capital is a registered investment adviser within the meaning of Rule 13d-1(b)(1)(ii)(E) and Rule 16a-1(a)(v), and Mr. Kolchinsky is a parent or control person of Capital within the meaning of Rule 13d-1(b)</w:t>
      </w:r>
    </w:p>
    <w:p>
      <w:pPr>
        <w:spacing w:after="0" w:line="1" w:lineRule="exact"/>
        <w:rPr>
          <w:rFonts w:ascii="Arial" w:cs="Arial" w:eastAsia="Arial" w:hAnsi="Arial"/>
          <w:sz w:val="16"/>
          <w:szCs w:val="16"/>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(1)(ii)(G) and Rule 16a-1(a)(1)(vii). Capital and Mr. Kolchinsky disclaim beneficial ownership of the securities reported in this Schedule 13G Statement (the “Statement”) other than for the purpose of determining their obligations under Section 13(d) of the Act, and neither the filing of the Statement nor the filing of this Amendment shall be deemed an admission that either Capital or Mr. Kolchinsky is or was the beneficial owner of such securities for any other purpose.</w:t>
      </w:r>
    </w:p>
    <w:p>
      <w:pPr>
        <w:spacing w:after="0" w:line="151" w:lineRule="exact"/>
        <w:rPr>
          <w:rFonts w:ascii="Arial" w:cs="Arial" w:eastAsia="Arial" w:hAnsi="Arial"/>
          <w:sz w:val="16"/>
          <w:szCs w:val="16"/>
          <w:color w:val="auto"/>
        </w:rPr>
      </w:pPr>
    </w:p>
    <w:p>
      <w:pPr>
        <w:ind w:firstLine="8"/>
        <w:spacing w:after="0" w:line="282"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w:t>
      </w:r>
      <w:r>
        <w:rPr>
          <w:rFonts w:ascii="Arial" w:cs="Arial" w:eastAsia="Arial" w:hAnsi="Arial"/>
          <w:sz w:val="18"/>
          <w:szCs w:val="18"/>
          <w:b w:val="1"/>
          <w:bCs w:val="1"/>
          <w:color w:val="auto"/>
        </w:rPr>
        <w:t xml:space="preserve"> </w:t>
      </w:r>
      <w:r>
        <w:rPr>
          <w:rFonts w:ascii="Arial" w:cs="Arial" w:eastAsia="Arial" w:hAnsi="Arial"/>
          <w:sz w:val="18"/>
          <w:szCs w:val="18"/>
          <w:color w:val="auto"/>
        </w:rPr>
        <w:t>Suite 1200, Boston, MA 02116.</w:t>
      </w:r>
    </w:p>
    <w:p>
      <w:pPr>
        <w:spacing w:after="0" w:line="161" w:lineRule="exact"/>
        <w:rPr>
          <w:rFonts w:ascii="Arial" w:cs="Arial" w:eastAsia="Arial" w:hAnsi="Arial"/>
          <w:sz w:val="18"/>
          <w:szCs w:val="18"/>
          <w:color w:val="auto"/>
        </w:rPr>
      </w:pPr>
    </w:p>
    <w:p>
      <w:pPr>
        <w:ind w:left="680" w:hanging="672"/>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Capital is a Massachusetts limited liability company. The Fund is a Delaware limited partnership. Mr. Kolchinsky is a United States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citizen.</w:t>
      </w:r>
    </w:p>
    <w:p>
      <w:pPr>
        <w:spacing w:after="0" w:line="206" w:lineRule="exact"/>
        <w:rPr>
          <w:rFonts w:ascii="Arial" w:cs="Arial" w:eastAsia="Arial" w:hAnsi="Arial"/>
          <w:sz w:val="16"/>
          <w:szCs w:val="16"/>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M2239P109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740" w:hanging="683"/>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740" w:hanging="683"/>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740" w:hanging="683"/>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440" w:hanging="695"/>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1440" w:hanging="695"/>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1440" w:hanging="695"/>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1440" w:hanging="695"/>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right="5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Filing Agreement by and among the Reporting Persons is incorporated herein by reference to Exhibit 1 to the Schedule 13G filed by the Reporting Persons with the Securities and Exchange Commission on July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October 21, 2016</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Peter Kolchinsky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lvl w:ilvl="1">
      <w:lvlJc w:val="left"/>
      <w:lvlText w:val="(%2)"/>
      <w:numFmt w:val="lowerLetter"/>
      <w:start w:val="1"/>
    </w:lvl>
  </w:abstractNum>
  <w:abstractNum w:abstractNumId="1">
    <w:nsid w:val="79E2A9E3"/>
    <w:multiLevelType w:val="hybridMultilevel"/>
    <w:lvl w:ilvl="0">
      <w:lvlJc w:val="left"/>
      <w:lvlText w:val="%1."/>
      <w:numFmt w:val="decimal"/>
      <w:start w:val="9"/>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2019-12-08T23:35:20Z</dcterms:created>
  <dcterms:modified xsi:type="dcterms:W3CDTF">2019-12-08T23:35:20Z</dcterms:modified>
</cp:coreProperties>
</file>