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t>As filed with the Securities and Exchange Commission on March 28, 2014</w:t>
      </w:r>
    </w:p>
    <w:p>
      <w:pPr>
        <w:spacing w:after="0" w:line="27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ALCOBRA LTD.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63" w:right="239" w:bottom="1440" w:gutter="0" w:footer="0" w:header="0"/>
        </w:sectPr>
      </w:pPr>
    </w:p>
    <w:p>
      <w:pPr>
        <w:spacing w:after="0" w:line="205"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365" w:lineRule="exact"/>
        <w:rPr>
          <w:sz w:val="24"/>
          <w:szCs w:val="24"/>
          <w:color w:val="auto"/>
        </w:rPr>
      </w:pPr>
    </w:p>
    <w:p>
      <w:pPr>
        <w:sectPr>
          <w:pgSz w:w="11900" w:h="16838" w:orient="portrait"/>
          <w:cols w:equalWidth="0" w:num="2">
            <w:col w:w="6540" w:space="720"/>
            <w:col w:w="4160"/>
          </w:cols>
          <w:pgMar w:left="240" w:top="46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Amot Investment Building, 2 Weizman St. 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Tel Aviv 6423902 Israel</w:t>
      </w: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5"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Alcobra Ltd. 2010 Incentive Option Plan</w:t>
      </w:r>
    </w:p>
    <w:p>
      <w:pPr>
        <w:spacing w:after="0" w:line="27"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600 West Germantown Pike, Suite 400, Plymouth Meeting, PA, 19462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(610)-940-1631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COPIES TO:</w:t>
            </w:r>
          </w:p>
        </w:tc>
      </w:tr>
      <w:tr>
        <w:trPr>
          <w:trHeight w:val="418"/>
        </w:trPr>
        <w:tc>
          <w:tcPr>
            <w:tcW w:w="5060" w:type="dxa"/>
            <w:vAlign w:val="bottom"/>
          </w:tcPr>
          <w:p>
            <w:pPr>
              <w:jc w:val="center"/>
              <w:ind w:left="570"/>
              <w:spacing w:after="0"/>
              <w:rPr>
                <w:sz w:val="20"/>
                <w:szCs w:val="20"/>
                <w:color w:val="auto"/>
              </w:rPr>
            </w:pPr>
            <w:r>
              <w:rPr>
                <w:rFonts w:ascii="Arial" w:cs="Arial" w:eastAsia="Arial" w:hAnsi="Arial"/>
                <w:sz w:val="18"/>
                <w:szCs w:val="18"/>
                <w:color w:val="auto"/>
                <w:w w:val="92"/>
              </w:rPr>
              <w:t>Howard E. Berkenblit, Esq.</w:t>
            </w:r>
          </w:p>
        </w:tc>
        <w:tc>
          <w:tcPr>
            <w:tcW w:w="6360" w:type="dxa"/>
            <w:vAlign w:val="bottom"/>
          </w:tcPr>
          <w:p>
            <w:pPr>
              <w:jc w:val="center"/>
              <w:ind w:left="590"/>
              <w:spacing w:after="0"/>
              <w:rPr>
                <w:sz w:val="20"/>
                <w:szCs w:val="20"/>
                <w:color w:val="auto"/>
              </w:rPr>
            </w:pPr>
            <w:r>
              <w:rPr>
                <w:rFonts w:ascii="Arial" w:cs="Arial" w:eastAsia="Arial" w:hAnsi="Arial"/>
                <w:sz w:val="18"/>
                <w:szCs w:val="18"/>
                <w:color w:val="auto"/>
                <w:w w:val="92"/>
              </w:rPr>
              <w:t>Eran Ben-Dor, Adv.</w:t>
            </w:r>
          </w:p>
        </w:tc>
      </w:tr>
      <w:tr>
        <w:trPr>
          <w:trHeight w:val="216"/>
        </w:trPr>
        <w:tc>
          <w:tcPr>
            <w:tcW w:w="5060" w:type="dxa"/>
            <w:vAlign w:val="bottom"/>
          </w:tcPr>
          <w:p>
            <w:pPr>
              <w:jc w:val="center"/>
              <w:ind w:left="570"/>
              <w:spacing w:after="0"/>
              <w:rPr>
                <w:sz w:val="20"/>
                <w:szCs w:val="20"/>
                <w:color w:val="auto"/>
              </w:rPr>
            </w:pPr>
            <w:r>
              <w:rPr>
                <w:rFonts w:ascii="Arial" w:cs="Arial" w:eastAsia="Arial" w:hAnsi="Arial"/>
                <w:sz w:val="18"/>
                <w:szCs w:val="18"/>
                <w:color w:val="auto"/>
                <w:w w:val="88"/>
              </w:rPr>
              <w:t>Shy S. Baranov, Esq.</w:t>
            </w:r>
          </w:p>
        </w:tc>
        <w:tc>
          <w:tcPr>
            <w:tcW w:w="6360" w:type="dxa"/>
            <w:vAlign w:val="bottom"/>
          </w:tcPr>
          <w:p>
            <w:pPr>
              <w:jc w:val="center"/>
              <w:ind w:left="570"/>
              <w:spacing w:after="0"/>
              <w:rPr>
                <w:sz w:val="20"/>
                <w:szCs w:val="20"/>
                <w:color w:val="auto"/>
              </w:rPr>
            </w:pPr>
            <w:r>
              <w:rPr>
                <w:rFonts w:ascii="Arial" w:cs="Arial" w:eastAsia="Arial" w:hAnsi="Arial"/>
                <w:sz w:val="18"/>
                <w:szCs w:val="18"/>
                <w:color w:val="auto"/>
                <w:w w:val="92"/>
              </w:rPr>
              <w:t>Zysman, Aharoni, Gayer &amp; Co.</w:t>
            </w:r>
          </w:p>
        </w:tc>
      </w:tr>
      <w:tr>
        <w:trPr>
          <w:trHeight w:val="216"/>
        </w:trPr>
        <w:tc>
          <w:tcPr>
            <w:tcW w:w="5060" w:type="dxa"/>
            <w:vAlign w:val="bottom"/>
          </w:tcPr>
          <w:p>
            <w:pPr>
              <w:jc w:val="center"/>
              <w:ind w:left="590"/>
              <w:spacing w:after="0"/>
              <w:rPr>
                <w:sz w:val="20"/>
                <w:szCs w:val="20"/>
                <w:color w:val="auto"/>
              </w:rPr>
            </w:pPr>
            <w:r>
              <w:rPr>
                <w:rFonts w:ascii="Arial" w:cs="Arial" w:eastAsia="Arial" w:hAnsi="Arial"/>
                <w:sz w:val="18"/>
                <w:szCs w:val="18"/>
                <w:color w:val="auto"/>
                <w:w w:val="92"/>
              </w:rPr>
              <w:t>Zysman, Aharoni, Gayer and Sullivan &amp; Worcester LLP</w:t>
            </w:r>
          </w:p>
        </w:tc>
        <w:tc>
          <w:tcPr>
            <w:tcW w:w="6360" w:type="dxa"/>
            <w:vAlign w:val="bottom"/>
          </w:tcPr>
          <w:p>
            <w:pPr>
              <w:jc w:val="center"/>
              <w:ind w:left="570"/>
              <w:spacing w:after="0"/>
              <w:rPr>
                <w:sz w:val="20"/>
                <w:szCs w:val="20"/>
                <w:color w:val="auto"/>
              </w:rPr>
            </w:pPr>
            <w:r>
              <w:rPr>
                <w:rFonts w:ascii="Arial" w:cs="Arial" w:eastAsia="Arial" w:hAnsi="Arial"/>
                <w:sz w:val="18"/>
                <w:szCs w:val="18"/>
                <w:color w:val="auto"/>
                <w:w w:val="94"/>
              </w:rPr>
              <w:t>41-45 Rothschild Blvd.</w:t>
            </w:r>
          </w:p>
        </w:tc>
      </w:tr>
      <w:tr>
        <w:trPr>
          <w:trHeight w:val="216"/>
        </w:trPr>
        <w:tc>
          <w:tcPr>
            <w:tcW w:w="5060" w:type="dxa"/>
            <w:vAlign w:val="bottom"/>
          </w:tcPr>
          <w:p>
            <w:pPr>
              <w:jc w:val="center"/>
              <w:ind w:left="590"/>
              <w:spacing w:after="0"/>
              <w:rPr>
                <w:sz w:val="20"/>
                <w:szCs w:val="20"/>
                <w:color w:val="auto"/>
              </w:rPr>
            </w:pPr>
            <w:r>
              <w:rPr>
                <w:rFonts w:ascii="Arial" w:cs="Arial" w:eastAsia="Arial" w:hAnsi="Arial"/>
                <w:sz w:val="18"/>
                <w:szCs w:val="18"/>
                <w:color w:val="auto"/>
                <w:w w:val="91"/>
              </w:rPr>
              <w:t>1633 Broadway</w:t>
            </w:r>
          </w:p>
        </w:tc>
        <w:tc>
          <w:tcPr>
            <w:tcW w:w="6360" w:type="dxa"/>
            <w:vAlign w:val="bottom"/>
          </w:tcPr>
          <w:p>
            <w:pPr>
              <w:jc w:val="center"/>
              <w:ind w:left="570"/>
              <w:spacing w:after="0"/>
              <w:rPr>
                <w:sz w:val="20"/>
                <w:szCs w:val="20"/>
                <w:color w:val="auto"/>
              </w:rPr>
            </w:pPr>
            <w:r>
              <w:rPr>
                <w:rFonts w:ascii="Arial" w:cs="Arial" w:eastAsia="Arial" w:hAnsi="Arial"/>
                <w:sz w:val="18"/>
                <w:szCs w:val="18"/>
                <w:color w:val="auto"/>
                <w:w w:val="98"/>
              </w:rPr>
              <w:t>Beit Zion</w:t>
            </w:r>
          </w:p>
        </w:tc>
      </w:tr>
      <w:tr>
        <w:trPr>
          <w:trHeight w:val="216"/>
        </w:trPr>
        <w:tc>
          <w:tcPr>
            <w:tcW w:w="5060" w:type="dxa"/>
            <w:vAlign w:val="bottom"/>
          </w:tcPr>
          <w:p>
            <w:pPr>
              <w:jc w:val="center"/>
              <w:ind w:left="590"/>
              <w:spacing w:after="0"/>
              <w:rPr>
                <w:sz w:val="20"/>
                <w:szCs w:val="20"/>
                <w:color w:val="auto"/>
              </w:rPr>
            </w:pPr>
            <w:r>
              <w:rPr>
                <w:rFonts w:ascii="Arial" w:cs="Arial" w:eastAsia="Arial" w:hAnsi="Arial"/>
                <w:sz w:val="18"/>
                <w:szCs w:val="18"/>
                <w:color w:val="auto"/>
                <w:w w:val="93"/>
              </w:rPr>
              <w:t>New York, NY 10019</w:t>
            </w:r>
          </w:p>
        </w:tc>
        <w:tc>
          <w:tcPr>
            <w:tcW w:w="6360" w:type="dxa"/>
            <w:vAlign w:val="bottom"/>
          </w:tcPr>
          <w:p>
            <w:pPr>
              <w:jc w:val="center"/>
              <w:ind w:left="570"/>
              <w:spacing w:after="0"/>
              <w:rPr>
                <w:sz w:val="20"/>
                <w:szCs w:val="20"/>
                <w:color w:val="auto"/>
              </w:rPr>
            </w:pPr>
            <w:r>
              <w:rPr>
                <w:rFonts w:ascii="Arial" w:cs="Arial" w:eastAsia="Arial" w:hAnsi="Arial"/>
                <w:sz w:val="18"/>
                <w:szCs w:val="18"/>
                <w:color w:val="auto"/>
                <w:w w:val="93"/>
              </w:rPr>
              <w:t>Tel Aviv 65784, Israel</w:t>
            </w:r>
          </w:p>
        </w:tc>
      </w:tr>
      <w:tr>
        <w:trPr>
          <w:trHeight w:val="230"/>
        </w:trPr>
        <w:tc>
          <w:tcPr>
            <w:tcW w:w="5060" w:type="dxa"/>
            <w:vAlign w:val="bottom"/>
          </w:tcPr>
          <w:p>
            <w:pPr>
              <w:jc w:val="center"/>
              <w:ind w:left="590"/>
              <w:spacing w:after="0"/>
              <w:rPr>
                <w:sz w:val="20"/>
                <w:szCs w:val="20"/>
                <w:color w:val="auto"/>
              </w:rPr>
            </w:pPr>
            <w:r>
              <w:rPr>
                <w:rFonts w:ascii="Arial" w:cs="Arial" w:eastAsia="Arial" w:hAnsi="Arial"/>
                <w:sz w:val="18"/>
                <w:szCs w:val="18"/>
                <w:color w:val="auto"/>
                <w:w w:val="91"/>
              </w:rPr>
              <w:t>(212)-660-3000</w:t>
            </w:r>
          </w:p>
        </w:tc>
        <w:tc>
          <w:tcPr>
            <w:tcW w:w="6360" w:type="dxa"/>
            <w:vAlign w:val="bottom"/>
          </w:tcPr>
          <w:p>
            <w:pPr>
              <w:jc w:val="center"/>
              <w:ind w:left="570"/>
              <w:spacing w:after="0"/>
              <w:rPr>
                <w:sz w:val="20"/>
                <w:szCs w:val="20"/>
                <w:color w:val="auto"/>
              </w:rPr>
            </w:pPr>
            <w:r>
              <w:rPr>
                <w:rFonts w:ascii="Arial" w:cs="Arial" w:eastAsia="Arial" w:hAnsi="Arial"/>
                <w:sz w:val="18"/>
                <w:szCs w:val="18"/>
                <w:color w:val="auto"/>
                <w:w w:val="91"/>
              </w:rPr>
              <w:t>Tel: +972-3-7955555</w:t>
            </w:r>
          </w:p>
        </w:tc>
      </w:tr>
      <w:tr>
        <w:trPr>
          <w:trHeight w:val="675"/>
        </w:trPr>
        <w:tc>
          <w:tcPr>
            <w:tcW w:w="506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63"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4260" w:type="dxa"/>
            <w:vAlign w:val="bottom"/>
            <w:gridSpan w:val="7"/>
          </w:tcPr>
          <w:p>
            <w:pPr>
              <w:jc w:val="right"/>
              <w:ind w:right="510"/>
              <w:spacing w:after="0"/>
              <w:rPr>
                <w:sz w:val="20"/>
                <w:szCs w:val="20"/>
                <w:color w:val="auto"/>
              </w:rPr>
            </w:pPr>
            <w:r>
              <w:rPr>
                <w:rFonts w:ascii="Arial" w:cs="Arial" w:eastAsia="Arial" w:hAnsi="Arial"/>
                <w:sz w:val="18"/>
                <w:szCs w:val="18"/>
                <w:b w:val="1"/>
                <w:bCs w:val="1"/>
                <w:color w:val="auto"/>
              </w:rPr>
              <w:t>CALCULATION OF REGISTRATION FEE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Proposed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Proposed maximum</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maximum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ind w:left="220"/>
              <w:spacing w:after="0"/>
              <w:rPr>
                <w:sz w:val="20"/>
                <w:szCs w:val="20"/>
                <w:color w:val="auto"/>
              </w:rPr>
            </w:pPr>
            <w:r>
              <w:rPr>
                <w:rFonts w:ascii="Arial" w:cs="Arial" w:eastAsia="Arial" w:hAnsi="Arial"/>
                <w:sz w:val="18"/>
                <w:szCs w:val="18"/>
                <w:b w:val="1"/>
                <w:bCs w:val="1"/>
                <w:color w:val="auto"/>
              </w:rPr>
              <w:t>Amount to be</w:t>
            </w:r>
          </w:p>
        </w:tc>
        <w:tc>
          <w:tcPr>
            <w:tcW w:w="100" w:type="dxa"/>
            <w:vAlign w:val="bottom"/>
          </w:tcPr>
          <w:p>
            <w:pPr>
              <w:spacing w:after="0"/>
              <w:rPr>
                <w:sz w:val="18"/>
                <w:szCs w:val="18"/>
                <w:color w:val="auto"/>
              </w:rPr>
            </w:pPr>
          </w:p>
        </w:tc>
        <w:tc>
          <w:tcPr>
            <w:tcW w:w="16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0"/>
              </w:rPr>
              <w:t>offering price per</w:t>
            </w:r>
          </w:p>
        </w:tc>
        <w:tc>
          <w:tcPr>
            <w:tcW w:w="120" w:type="dxa"/>
            <w:vAlign w:val="bottom"/>
          </w:tcPr>
          <w:p>
            <w:pPr>
              <w:spacing w:after="0"/>
              <w:rPr>
                <w:sz w:val="18"/>
                <w:szCs w:val="18"/>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aggregate offering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3780" w:type="dxa"/>
            <w:vAlign w:val="bottom"/>
          </w:tcPr>
          <w:p>
            <w:pPr>
              <w:ind w:left="940"/>
              <w:spacing w:after="0"/>
              <w:rPr>
                <w:sz w:val="20"/>
                <w:szCs w:val="20"/>
                <w:color w:val="auto"/>
              </w:rPr>
            </w:pPr>
            <w:r>
              <w:rPr>
                <w:rFonts w:ascii="Arial" w:cs="Arial" w:eastAsia="Arial" w:hAnsi="Arial"/>
                <w:sz w:val="18"/>
                <w:szCs w:val="18"/>
                <w:b w:val="1"/>
                <w:bCs w:val="1"/>
                <w:color w:val="auto"/>
                <w:w w:val="95"/>
              </w:rPr>
              <w:t>Title of Securities to be Registered</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ind w:left="220"/>
              <w:spacing w:after="0"/>
              <w:rPr>
                <w:sz w:val="20"/>
                <w:szCs w:val="20"/>
                <w:color w:val="auto"/>
              </w:rPr>
            </w:pPr>
            <w:r>
              <w:rPr>
                <w:rFonts w:ascii="Arial" w:cs="Arial" w:eastAsia="Arial" w:hAnsi="Arial"/>
                <w:sz w:val="18"/>
                <w:szCs w:val="18"/>
                <w:b w:val="1"/>
                <w:bCs w:val="1"/>
                <w:color w:val="auto"/>
              </w:rPr>
              <w:t>registered (2)</w:t>
            </w:r>
          </w:p>
        </w:tc>
        <w:tc>
          <w:tcPr>
            <w:tcW w:w="100" w:type="dxa"/>
            <w:vAlign w:val="bottom"/>
          </w:tcPr>
          <w:p>
            <w:pPr>
              <w:spacing w:after="0"/>
              <w:rPr>
                <w:sz w:val="20"/>
                <w:szCs w:val="20"/>
                <w:color w:val="auto"/>
              </w:rPr>
            </w:pPr>
          </w:p>
        </w:tc>
        <w:tc>
          <w:tcPr>
            <w:tcW w:w="166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share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price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registration fee</w:t>
            </w:r>
          </w:p>
        </w:tc>
      </w:tr>
      <w:tr>
        <w:trPr>
          <w:trHeight w:val="223"/>
        </w:trPr>
        <w:tc>
          <w:tcPr>
            <w:tcW w:w="37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Ordinary Shares (1)</w:t>
            </w:r>
          </w:p>
        </w:tc>
        <w:tc>
          <w:tcPr>
            <w:tcW w:w="720" w:type="dxa"/>
            <w:vAlign w:val="bottom"/>
            <w:tcBorders>
              <w:top w:val="single" w:sz="8" w:color="auto"/>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14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4,978</w:t>
            </w:r>
          </w:p>
        </w:tc>
        <w:tc>
          <w:tcPr>
            <w:tcW w:w="20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0.0005</w:t>
            </w:r>
          </w:p>
        </w:tc>
        <w:tc>
          <w:tcPr>
            <w:tcW w:w="2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0"/>
              </w:rPr>
              <w:t>(3)</w:t>
            </w:r>
          </w:p>
        </w:tc>
        <w:tc>
          <w:tcPr>
            <w:tcW w:w="120" w:type="dxa"/>
            <w:vAlign w:val="bottom"/>
            <w:tcBorders>
              <w:top w:val="single" w:sz="8" w:color="CCFFCC"/>
            </w:tcBorders>
            <w:shd w:val="clear" w:color="auto" w:fill="CCFFCC"/>
          </w:tcPr>
          <w:p>
            <w:pPr>
              <w:spacing w:after="0"/>
              <w:rPr>
                <w:sz w:val="19"/>
                <w:szCs w:val="19"/>
                <w:color w:val="auto"/>
              </w:rPr>
            </w:pPr>
          </w:p>
        </w:tc>
        <w:tc>
          <w:tcPr>
            <w:tcW w:w="200" w:type="dxa"/>
            <w:vAlign w:val="bottom"/>
            <w:tcBorders>
              <w:top w:val="single" w:sz="8" w:color="auto"/>
            </w:tcBorders>
            <w:shd w:val="clear" w:color="auto" w:fill="CCFFCC"/>
          </w:tcPr>
          <w:p>
            <w:pPr>
              <w:jc w:val="right"/>
              <w:ind w:right="40"/>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Borders>
              <w:top w:val="single" w:sz="8" w:color="CCFFCC"/>
            </w:tcBorders>
            <w:shd w:val="clear" w:color="auto" w:fill="CCFFCC"/>
          </w:tcPr>
          <w:p>
            <w:pPr>
              <w:spacing w:after="0"/>
              <w:rPr>
                <w:sz w:val="19"/>
                <w:szCs w:val="19"/>
                <w:color w:val="auto"/>
              </w:rPr>
            </w:pPr>
          </w:p>
        </w:tc>
        <w:tc>
          <w:tcPr>
            <w:tcW w:w="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0.01</w:t>
            </w:r>
          </w:p>
        </w:tc>
        <w:tc>
          <w:tcPr>
            <w:tcW w:w="2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Ordinary Shares (1)</w:t>
            </w:r>
          </w:p>
        </w:tc>
        <w:tc>
          <w:tcPr>
            <w:tcW w:w="2500" w:type="dxa"/>
            <w:vAlign w:val="bottom"/>
            <w:gridSpan w:val="4"/>
          </w:tcPr>
          <w:p>
            <w:pPr>
              <w:jc w:val="right"/>
              <w:ind w:right="200"/>
              <w:spacing w:after="0"/>
              <w:rPr>
                <w:sz w:val="20"/>
                <w:szCs w:val="20"/>
                <w:color w:val="auto"/>
              </w:rPr>
            </w:pPr>
            <w:r>
              <w:rPr>
                <w:rFonts w:ascii="Arial" w:cs="Arial" w:eastAsia="Arial" w:hAnsi="Arial"/>
                <w:sz w:val="18"/>
                <w:szCs w:val="18"/>
                <w:color w:val="auto"/>
              </w:rPr>
              <w:t>340,460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0.33(3)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112,351.80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14.48</w:t>
            </w:r>
          </w:p>
        </w:tc>
        <w:tc>
          <w:tcPr>
            <w:tcW w:w="80" w:type="dxa"/>
            <w:vAlign w:val="bottom"/>
          </w:tcPr>
          <w:p>
            <w:pPr>
              <w:spacing w:after="0"/>
              <w:rPr>
                <w:sz w:val="19"/>
                <w:szCs w:val="19"/>
                <w:color w:val="auto"/>
              </w:rPr>
            </w:pPr>
          </w:p>
        </w:tc>
      </w:tr>
      <w:tr>
        <w:trPr>
          <w:trHeight w:val="230"/>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Ordinary Shares (1)</w:t>
            </w:r>
          </w:p>
        </w:tc>
        <w:tc>
          <w:tcPr>
            <w:tcW w:w="250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8,805</w:t>
            </w: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2.18(3)</w:t>
            </w:r>
          </w:p>
        </w:tc>
        <w:tc>
          <w:tcPr>
            <w:tcW w:w="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19,194.90</w:t>
            </w: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FFC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Ordinary Shares (1)</w:t>
            </w:r>
          </w:p>
        </w:tc>
        <w:tc>
          <w:tcPr>
            <w:tcW w:w="2500" w:type="dxa"/>
            <w:vAlign w:val="bottom"/>
            <w:gridSpan w:val="4"/>
          </w:tcPr>
          <w:p>
            <w:pPr>
              <w:jc w:val="right"/>
              <w:ind w:right="200"/>
              <w:spacing w:after="0"/>
              <w:rPr>
                <w:sz w:val="20"/>
                <w:szCs w:val="20"/>
                <w:color w:val="auto"/>
              </w:rPr>
            </w:pPr>
            <w:r>
              <w:rPr>
                <w:rFonts w:ascii="Arial" w:cs="Arial" w:eastAsia="Arial" w:hAnsi="Arial"/>
                <w:sz w:val="18"/>
                <w:szCs w:val="18"/>
                <w:color w:val="auto"/>
              </w:rPr>
              <w:t>257,925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8.00(3)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2,063,400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265.77</w:t>
            </w:r>
          </w:p>
        </w:tc>
        <w:tc>
          <w:tcPr>
            <w:tcW w:w="80" w:type="dxa"/>
            <w:vAlign w:val="bottom"/>
          </w:tcPr>
          <w:p>
            <w:pPr>
              <w:spacing w:after="0"/>
              <w:rPr>
                <w:sz w:val="19"/>
                <w:szCs w:val="19"/>
                <w:color w:val="auto"/>
              </w:rPr>
            </w:pPr>
          </w:p>
        </w:tc>
      </w:tr>
      <w:tr>
        <w:trPr>
          <w:trHeight w:val="230"/>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Ordinary Shares (1)</w:t>
            </w:r>
          </w:p>
        </w:tc>
        <w:tc>
          <w:tcPr>
            <w:tcW w:w="250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12.99(3)</w:t>
            </w:r>
          </w:p>
        </w:tc>
        <w:tc>
          <w:tcPr>
            <w:tcW w:w="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311,760</w:t>
            </w: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40.16</w:t>
            </w:r>
          </w:p>
        </w:tc>
        <w:tc>
          <w:tcPr>
            <w:tcW w:w="80" w:type="dxa"/>
            <w:vAlign w:val="bottom"/>
            <w:shd w:val="clear" w:color="auto" w:fill="CCFFC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Ordinary Shares (1)</w:t>
            </w:r>
          </w:p>
        </w:tc>
        <w:tc>
          <w:tcPr>
            <w:tcW w:w="2500" w:type="dxa"/>
            <w:vAlign w:val="bottom"/>
            <w:gridSpan w:val="4"/>
          </w:tcPr>
          <w:p>
            <w:pPr>
              <w:jc w:val="right"/>
              <w:ind w:right="200"/>
              <w:spacing w:after="0"/>
              <w:rPr>
                <w:sz w:val="20"/>
                <w:szCs w:val="20"/>
                <w:color w:val="auto"/>
              </w:rPr>
            </w:pPr>
            <w:r>
              <w:rPr>
                <w:rFonts w:ascii="Arial" w:cs="Arial" w:eastAsia="Arial" w:hAnsi="Arial"/>
                <w:sz w:val="18"/>
                <w:szCs w:val="18"/>
                <w:color w:val="auto"/>
              </w:rPr>
              <w:t>55,640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14.61(3)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812,900.40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104.71</w:t>
            </w:r>
          </w:p>
        </w:tc>
        <w:tc>
          <w:tcPr>
            <w:tcW w:w="80" w:type="dxa"/>
            <w:vAlign w:val="bottom"/>
          </w:tcPr>
          <w:p>
            <w:pPr>
              <w:spacing w:after="0"/>
              <w:rPr>
                <w:sz w:val="19"/>
                <w:szCs w:val="19"/>
                <w:color w:val="auto"/>
              </w:rPr>
            </w:pPr>
          </w:p>
        </w:tc>
      </w:tr>
      <w:tr>
        <w:trPr>
          <w:trHeight w:val="230"/>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Ordinary Shares (1)</w:t>
            </w:r>
          </w:p>
        </w:tc>
        <w:tc>
          <w:tcPr>
            <w:tcW w:w="250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127,275</w:t>
            </w: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17.59(3)</w:t>
            </w:r>
          </w:p>
        </w:tc>
        <w:tc>
          <w:tcPr>
            <w:tcW w:w="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2,238,767.25</w:t>
            </w: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288.36</w:t>
            </w:r>
          </w:p>
        </w:tc>
        <w:tc>
          <w:tcPr>
            <w:tcW w:w="80" w:type="dxa"/>
            <w:vAlign w:val="bottom"/>
            <w:shd w:val="clear" w:color="auto" w:fill="CCFFC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Ordinary Shares (1)</w:t>
            </w:r>
          </w:p>
        </w:tc>
        <w:tc>
          <w:tcPr>
            <w:tcW w:w="2500" w:type="dxa"/>
            <w:vAlign w:val="bottom"/>
            <w:gridSpan w:val="4"/>
          </w:tcPr>
          <w:p>
            <w:pPr>
              <w:jc w:val="right"/>
              <w:ind w:right="20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20.84(3)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3,126,000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402.63</w:t>
            </w:r>
          </w:p>
        </w:tc>
        <w:tc>
          <w:tcPr>
            <w:tcW w:w="80" w:type="dxa"/>
            <w:vAlign w:val="bottom"/>
          </w:tcPr>
          <w:p>
            <w:pPr>
              <w:spacing w:after="0"/>
              <w:rPr>
                <w:sz w:val="19"/>
                <w:szCs w:val="19"/>
                <w:color w:val="auto"/>
              </w:rPr>
            </w:pPr>
          </w:p>
        </w:tc>
      </w:tr>
      <w:tr>
        <w:trPr>
          <w:trHeight w:val="230"/>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Ordinary Shares (1)</w:t>
            </w:r>
          </w:p>
        </w:tc>
        <w:tc>
          <w:tcPr>
            <w:tcW w:w="250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23.00(3)</w:t>
            </w:r>
          </w:p>
        </w:tc>
        <w:tc>
          <w:tcPr>
            <w:tcW w:w="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115,000</w:t>
            </w: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14.82</w:t>
            </w:r>
          </w:p>
        </w:tc>
        <w:tc>
          <w:tcPr>
            <w:tcW w:w="80" w:type="dxa"/>
            <w:vAlign w:val="bottom"/>
            <w:shd w:val="clear" w:color="auto" w:fill="CCFFC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Ordinary Shares (1)</w:t>
            </w:r>
          </w:p>
        </w:tc>
        <w:tc>
          <w:tcPr>
            <w:tcW w:w="2500" w:type="dxa"/>
            <w:vAlign w:val="bottom"/>
            <w:gridSpan w:val="4"/>
          </w:tcPr>
          <w:p>
            <w:pPr>
              <w:jc w:val="right"/>
              <w:ind w:right="20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23.85(3)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3,577,500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460.79</w:t>
            </w:r>
          </w:p>
        </w:tc>
        <w:tc>
          <w:tcPr>
            <w:tcW w:w="80" w:type="dxa"/>
            <w:vAlign w:val="bottom"/>
          </w:tcPr>
          <w:p>
            <w:pPr>
              <w:spacing w:after="0"/>
              <w:rPr>
                <w:sz w:val="19"/>
                <w:szCs w:val="19"/>
                <w:color w:val="auto"/>
              </w:rPr>
            </w:pPr>
          </w:p>
        </w:tc>
      </w:tr>
      <w:tr>
        <w:trPr>
          <w:trHeight w:val="230"/>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Ordinary Shares (1)</w:t>
            </w:r>
          </w:p>
        </w:tc>
        <w:tc>
          <w:tcPr>
            <w:tcW w:w="250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240,450</w:t>
            </w: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19.05(4)</w:t>
            </w:r>
          </w:p>
        </w:tc>
        <w:tc>
          <w:tcPr>
            <w:tcW w:w="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4,580,572.5</w:t>
            </w: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590.00</w:t>
            </w:r>
          </w:p>
        </w:tc>
        <w:tc>
          <w:tcPr>
            <w:tcW w:w="80" w:type="dxa"/>
            <w:vAlign w:val="bottom"/>
            <w:shd w:val="clear" w:color="auto" w:fill="CCFFCC"/>
          </w:tcPr>
          <w:p>
            <w:pPr>
              <w:spacing w:after="0"/>
              <w:rPr>
                <w:sz w:val="19"/>
                <w:szCs w:val="19"/>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1,364,533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N/a</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16,957,449.29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2,184.20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Par value NIS 0.01 per share.</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or the Securities Act, this Registration Statement also covers an indeterminate number of additional securities which may be offered and issued to prevent dilution resulting from stock splits, stock dividends, recapitalizations or similar transactions.</w:t>
      </w:r>
    </w:p>
    <w:p>
      <w:pPr>
        <w:spacing w:after="0" w:line="18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Computed in accordance with Rule 457(h) promulgated under the Securities Act based on the exercise price of the options underlying the ordinary shares.</w:t>
      </w:r>
    </w:p>
    <w:p>
      <w:pPr>
        <w:spacing w:after="0" w:line="170"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fee is based on the number of Ordinary Shares which may be issued under the plan this registration statement relates to and is estimated in accordance with paragraphs (c) and (h) of Rule 457 under the Securities Act solely for the purpose of calculating the registration fee based upon the average of the high and low sales price of an Ordinary Share as reported on the Nasdaq Capital Market on March 26, 2014.</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registration statement relates to 1,364,533 Ordinary Shares to be issued in the future upon the exercise of options that have been, or may be, granted under the Registrant’s 2010 Incentive Option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documents containing the information required in Part I of this Registration Statement have been or will be sent or given to participating employees as specified in Rule 428(b)(1) under the Securities Act, in accordance with the rules and regulations of the United States Securities and Exchange Commission or the Commission. Such documents are not being filed with the Commission either as part of this Registration Statement or as prospectuses or prospectus supplements pursuant to Rule 424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additional documents, which have been filed by the Registrant with the Commission are incorporated by reference in and made a part of this registration statement, as of their respective dates:</w:t>
      </w:r>
    </w:p>
    <w:p>
      <w:pPr>
        <w:spacing w:after="0" w:line="170"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Annual Report on Form 20-F for the fiscal year ended December 31, 2013, filed with the Commission on March 28, 2014;</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notice of annual general meeting of the Registrant incorporated by reference into the Registrant’s report of foreign private issuer on Form 6-K furnished to the Commission on January 10, 2014;</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report of foreign private issuer on Form 6-K furnished to the Commission on February 18, 2014; and</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Ordinary Shares, par value NIS 0.01 per share contained in the Registrant’s registration statement on Form 8-A filed pursuant to the Securities the Exchange Act of 1934, as amended, or the Exchange Act, on May 17, 2013 (File No. 001-35932).</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the foregoing, all documents subsequently filed by the Registrant pursuant to Sections 13(a), 13(c), 14 and 15(d) of the Exchange Act, and all reports on Form 6-K subsequently filed by the Registrant which state that they are incorporated by reference herein, prior to the filing of a post-effective amendment which indicates that all securities offered hereunder have been sold or which deregisters all securities then remaining unsold, shall be deemed to be incorporated by reference herein and to be part hereof from the date of filing of such documents and reports.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both"/>
        <w:ind w:firstLine="648"/>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modifies or supersedes such statement. Any statement so modified or superseded shall not be deemed, except as so modified or superseded, to constitute a part of this registration statement.</w:t>
      </w:r>
    </w:p>
    <w:p>
      <w:pPr>
        <w:spacing w:after="0" w:line="183" w:lineRule="exact"/>
        <w:rPr>
          <w:sz w:val="20"/>
          <w:szCs w:val="20"/>
          <w:color w:val="auto"/>
        </w:rPr>
      </w:pPr>
    </w:p>
    <w:p>
      <w:pPr>
        <w:jc w:val="center"/>
        <w:ind w:right="8900"/>
        <w:spacing w:after="0"/>
        <w:rPr>
          <w:sz w:val="20"/>
          <w:szCs w:val="20"/>
          <w:color w:val="auto"/>
        </w:rPr>
      </w:pPr>
      <w:r>
        <w:rPr>
          <w:rFonts w:ascii="Arial" w:cs="Arial" w:eastAsia="Arial" w:hAnsi="Arial"/>
          <w:sz w:val="16"/>
          <w:szCs w:val="16"/>
          <w:b w:val="1"/>
          <w:bCs w:val="1"/>
          <w:color w:val="auto"/>
        </w:rPr>
        <w:t>Item 4. Description of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Israeli Companies Law, or the Companies Law, a company may indemnify, or undertake in advance to indemnify, an office holder (defined as a director, chief executive officer, deputy chief executive officer or other officer reporting to the chief executive officer of the company) for the following liabilities and expenses, imposed on an office holder or incurred by an office holder due to acts performed by him or her as an office holder, provided its articles of association include a provision authorizing such indemnification:</w:t>
      </w:r>
    </w:p>
    <w:p>
      <w:pPr>
        <w:spacing w:after="0" w:line="187" w:lineRule="exact"/>
        <w:rPr>
          <w:sz w:val="20"/>
          <w:szCs w:val="20"/>
          <w:color w:val="auto"/>
        </w:rPr>
      </w:pPr>
    </w:p>
    <w:p>
      <w:pPr>
        <w:jc w:val="both"/>
        <w:ind w:left="980" w:hanging="324"/>
        <w:spacing w:after="0" w:line="297"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58" w:lineRule="exact"/>
        <w:rPr>
          <w:rFonts w:ascii="Arial" w:cs="Arial" w:eastAsia="Arial" w:hAnsi="Arial"/>
          <w:sz w:val="16"/>
          <w:szCs w:val="16"/>
          <w:color w:val="auto"/>
        </w:rPr>
      </w:pPr>
    </w:p>
    <w:p>
      <w:pPr>
        <w:jc w:val="both"/>
        <w:ind w:left="980" w:hanging="324"/>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8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ind w:firstLine="648"/>
        <w:spacing w:after="0" w:line="277" w:lineRule="auto"/>
        <w:rPr>
          <w:sz w:val="20"/>
          <w:szCs w:val="20"/>
          <w:color w:val="auto"/>
        </w:rPr>
      </w:pPr>
      <w:r>
        <w:rPr>
          <w:rFonts w:ascii="Arial" w:cs="Arial" w:eastAsia="Arial" w:hAnsi="Arial"/>
          <w:sz w:val="18"/>
          <w:szCs w:val="18"/>
          <w:color w:val="auto"/>
        </w:rPr>
        <w:t>Under the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Nevertheless, under the Companies Law, a company may not indemnify, exculpate or insure an office holder against any of the following:</w:t>
      </w:r>
    </w:p>
    <w:p>
      <w:pPr>
        <w:spacing w:after="0" w:line="237" w:lineRule="exact"/>
        <w:rPr>
          <w:sz w:val="20"/>
          <w:szCs w:val="20"/>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Companies Law, exculpation, indemnification and insurance of office holders require the approval of the compensation committee, board of directors and, in certain circumstances, the shareholders.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Registrant’s amended and restated articles of association permit the Registrant to exculpate, indemnify and insure its office holders to the fullest extent permitted by the Companies Law.</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Registrant has obtained directors' and officers' liability insurance for the benefit of its office holders and intends to continue to maintain such coverage and pay all premiums thereunder to the fullest extent permitted by the Companies Law. In addition, the Registrant has entered into agreements with each of its office holders undertaking to indemnify them to the fullest extent permitted by Israeli law, including with respect to liabilities resulting from this offering to the extent that these liabilities are not covered by insurance.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Articles of Association of the Registrant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Zysman, Aharoni, Gayer &amp; Co.</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Kost Forer Gabbay &amp; Kasierer, Certified Public Accountants (Israel) (a Member of Ernst &amp; Young Global)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ind w:left="660"/>
        <w:spacing w:after="0"/>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Zysman, Aharoni, Gayer &amp; Co. (included in the opinion filed as Exhibit 5.1 to this Registration Statement)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99.1(2)  Alcobra Ltd. 2010 Incentive Option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w:t>
      </w:r>
    </w:p>
    <w:p>
      <w:pPr>
        <w:spacing w:after="0" w:line="225" w:lineRule="exact"/>
        <w:rPr>
          <w:sz w:val="20"/>
          <w:szCs w:val="20"/>
          <w:color w:val="auto"/>
        </w:rPr>
      </w:pPr>
    </w:p>
    <w:p>
      <w:pPr>
        <w:ind w:left="1620" w:hanging="315"/>
        <w:spacing w:after="0"/>
        <w:tabs>
          <w:tab w:leader="none" w:pos="1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Previously filed as Exhibit 3.2 to Form F-1/A filed on March 19, 2013 (File No. 333-186003), and incorporated herein by reference.</w:t>
      </w:r>
    </w:p>
    <w:p>
      <w:pPr>
        <w:spacing w:after="0" w:line="236" w:lineRule="exact"/>
        <w:rPr>
          <w:rFonts w:ascii="Arial" w:cs="Arial" w:eastAsia="Arial" w:hAnsi="Arial"/>
          <w:sz w:val="17"/>
          <w:szCs w:val="17"/>
          <w:color w:val="auto"/>
        </w:rPr>
      </w:pPr>
    </w:p>
    <w:p>
      <w:pPr>
        <w:ind w:left="1620" w:hanging="315"/>
        <w:spacing w:after="0"/>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Previously filed as Exhibit 10.3 to Form F-1 filed on January 14, 2013 (File No. 333-186003), and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and</w:t>
      </w:r>
    </w:p>
    <w:p>
      <w:pPr>
        <w:spacing w:after="0" w:line="181"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subparagraphs (a)(1)(i) and (a)(1)(ii) do not apply if the information required to be included in a post-effective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by those paragraphs is contained in the periodic reports filed with or furnished to the Commission by the Registrant pursuant to Section 13 or Section 15(d) of the Securities Exchange Act of 1934 that are incorporated by reference in this registration statement.</w:t>
      </w:r>
    </w:p>
    <w:p>
      <w:pPr>
        <w:spacing w:after="0" w:line="166" w:lineRule="exact"/>
        <w:rPr>
          <w:sz w:val="20"/>
          <w:szCs w:val="20"/>
          <w:color w:val="auto"/>
        </w:rPr>
      </w:pPr>
    </w:p>
    <w:p>
      <w:pPr>
        <w:jc w:val="both"/>
        <w:ind w:left="1300" w:right="2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jc w:val="both"/>
        <w:ind w:left="652" w:hanging="652"/>
        <w:spacing w:after="0" w:line="276" w:lineRule="auto"/>
        <w:tabs>
          <w:tab w:leader="none" w:pos="652"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further undertakes that, for the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72" w:lineRule="exact"/>
        <w:rPr>
          <w:rFonts w:ascii="Arial" w:cs="Arial" w:eastAsia="Arial" w:hAnsi="Arial"/>
          <w:sz w:val="17"/>
          <w:szCs w:val="17"/>
          <w:color w:val="auto"/>
        </w:rPr>
      </w:pPr>
    </w:p>
    <w:p>
      <w:pPr>
        <w:jc w:val="both"/>
        <w:ind w:left="652" w:hanging="652"/>
        <w:spacing w:after="0" w:line="271" w:lineRule="auto"/>
        <w:tabs>
          <w:tab w:leader="none" w:pos="652" w:val="left"/>
        </w:tabs>
        <w:numPr>
          <w:ilvl w:val="0"/>
          <w:numId w:val="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Tel-Aviv, State of Israel, on March 28, 2014.</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ALCOBRA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-121920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 and President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the undersigned officers and directors of Alcobra Ltd., hereby severally constitute and appoint Yaron Daniely and Ehud (Udi) Gilboa, and each of them individually,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Commission, granting unto said attorney full power and authority to do and perform each and every act and thing requisite or necessary to be done in and about the premises, as fully to all intents and purposes as he might or could do in person, hereby ratifying and confirming our signatures to said amendments to this registration statement signed by our said attorney and all else that said attorney may lawfully do and cause to be done by virtue hereof.</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S-8 has been signed below by the following persons in the capacities and on the dates indicated.</w:t>
      </w:r>
    </w:p>
    <w:p>
      <w:pPr>
        <w:spacing w:after="0" w:line="166" w:lineRule="exact"/>
        <w:rPr>
          <w:sz w:val="20"/>
          <w:szCs w:val="20"/>
          <w:color w:val="auto"/>
        </w:rPr>
      </w:pPr>
    </w:p>
    <w:p>
      <w:pPr>
        <w:ind w:left="1340"/>
        <w:spacing w:after="0"/>
        <w:tabs>
          <w:tab w:leader="none" w:pos="5180" w:val="left"/>
          <w:tab w:leader="none" w:pos="916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p>
      <w:pPr>
        <w:spacing w:after="0" w:line="24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Yaron Daniely</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Ehud (Udi) Gilboa</w:t>
      </w:r>
    </w:p>
    <w:p>
      <w:pPr>
        <w:spacing w:after="0" w:line="4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Ehud (Udi)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6"/>
          <w:szCs w:val="16"/>
          <w:color w:val="auto"/>
        </w:rPr>
        <w:t>March 28,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40"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Chief Financial Officer and</w:t>
      </w:r>
      <w:r>
        <w:rPr>
          <w:sz w:val="20"/>
          <w:szCs w:val="20"/>
          <w:color w:val="auto"/>
        </w:rPr>
        <w:tab/>
      </w:r>
      <w:r>
        <w:rPr>
          <w:rFonts w:ascii="Arial" w:cs="Arial" w:eastAsia="Arial" w:hAnsi="Arial"/>
          <w:sz w:val="16"/>
          <w:szCs w:val="16"/>
          <w:color w:val="auto"/>
        </w:rPr>
        <w:t>March 28,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(principal financial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ectPr>
          <w:pgSz w:w="11900" w:h="16838" w:orient="portrait"/>
          <w:cols w:equalWidth="0" w:num="2">
            <w:col w:w="2940" w:space="720"/>
            <w:col w:w="7760"/>
          </w:cols>
          <w:pgMar w:left="240" w:top="877" w:right="2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Howard B. Rosen</w:t>
            </w:r>
          </w:p>
        </w:tc>
        <w:tc>
          <w:tcPr>
            <w:tcW w:w="2880" w:type="dxa"/>
            <w:vAlign w:val="bottom"/>
            <w:vMerge w:val="restart"/>
          </w:tcPr>
          <w:p>
            <w:pPr>
              <w:ind w:left="220"/>
              <w:spacing w:after="0"/>
              <w:rPr>
                <w:sz w:val="20"/>
                <w:szCs w:val="20"/>
                <w:color w:val="auto"/>
              </w:rPr>
            </w:pPr>
            <w:r>
              <w:rPr>
                <w:rFonts w:ascii="Arial" w:cs="Arial" w:eastAsia="Arial" w:hAnsi="Arial"/>
                <w:sz w:val="18"/>
                <w:szCs w:val="18"/>
                <w:color w:val="auto"/>
              </w:rPr>
              <w:t>Chairman of the Board</w:t>
            </w:r>
          </w:p>
        </w:tc>
        <w:tc>
          <w:tcPr>
            <w:tcW w:w="2140" w:type="dxa"/>
            <w:vAlign w:val="bottom"/>
            <w:vMerge w:val="restart"/>
          </w:tcPr>
          <w:p>
            <w:pPr>
              <w:ind w:left="1000"/>
              <w:spacing w:after="0"/>
              <w:rPr>
                <w:sz w:val="20"/>
                <w:szCs w:val="20"/>
                <w:color w:val="auto"/>
              </w:rPr>
            </w:pPr>
            <w:r>
              <w:rPr>
                <w:rFonts w:ascii="Arial" w:cs="Arial" w:eastAsia="Arial" w:hAnsi="Arial"/>
                <w:sz w:val="18"/>
                <w:szCs w:val="18"/>
                <w:color w:val="auto"/>
                <w:w w:val="89"/>
              </w:rPr>
              <w:t>March 28, 2014</w:t>
            </w:r>
          </w:p>
        </w:tc>
        <w:tc>
          <w:tcPr>
            <w:tcW w:w="0" w:type="dxa"/>
            <w:vAlign w:val="bottom"/>
          </w:tcPr>
          <w:p>
            <w:pPr>
              <w:spacing w:after="0"/>
              <w:rPr>
                <w:sz w:val="1"/>
                <w:szCs w:val="1"/>
                <w:color w:val="auto"/>
              </w:rPr>
            </w:pP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0"/>
              </w:rPr>
              <w:t>Howard B. Rosen</w:t>
            </w:r>
          </w:p>
        </w:tc>
        <w:tc>
          <w:tcPr>
            <w:tcW w:w="2880" w:type="dxa"/>
            <w:vAlign w:val="bottom"/>
            <w:vMerge w:val="continue"/>
          </w:tcPr>
          <w:p>
            <w:pPr>
              <w:spacing w:after="0"/>
              <w:rPr>
                <w:sz w:val="19"/>
                <w:szCs w:val="19"/>
                <w:color w:val="auto"/>
              </w:rPr>
            </w:pPr>
          </w:p>
        </w:tc>
        <w:tc>
          <w:tcPr>
            <w:tcW w:w="2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Daniel E. Geffken</w:t>
            </w:r>
          </w:p>
        </w:tc>
        <w:tc>
          <w:tcPr>
            <w:tcW w:w="288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2140" w:type="dxa"/>
            <w:vAlign w:val="bottom"/>
            <w:vMerge w:val="restart"/>
          </w:tcPr>
          <w:p>
            <w:pPr>
              <w:ind w:left="1000"/>
              <w:spacing w:after="0"/>
              <w:rPr>
                <w:sz w:val="20"/>
                <w:szCs w:val="20"/>
                <w:color w:val="auto"/>
              </w:rPr>
            </w:pPr>
            <w:r>
              <w:rPr>
                <w:rFonts w:ascii="Arial" w:cs="Arial" w:eastAsia="Arial" w:hAnsi="Arial"/>
                <w:sz w:val="18"/>
                <w:szCs w:val="18"/>
                <w:color w:val="auto"/>
                <w:w w:val="89"/>
              </w:rPr>
              <w:t>March 28, 2014</w:t>
            </w:r>
          </w:p>
        </w:tc>
        <w:tc>
          <w:tcPr>
            <w:tcW w:w="0" w:type="dxa"/>
            <w:vAlign w:val="bottom"/>
          </w:tcPr>
          <w:p>
            <w:pPr>
              <w:spacing w:after="0"/>
              <w:rPr>
                <w:sz w:val="1"/>
                <w:szCs w:val="1"/>
                <w:color w:val="auto"/>
              </w:rPr>
            </w:pP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3"/>
              </w:rPr>
              <w:t>Daniel E. Geffken</w:t>
            </w:r>
          </w:p>
        </w:tc>
        <w:tc>
          <w:tcPr>
            <w:tcW w:w="2880" w:type="dxa"/>
            <w:vAlign w:val="bottom"/>
            <w:vMerge w:val="continue"/>
          </w:tcPr>
          <w:p>
            <w:pPr>
              <w:spacing w:after="0"/>
              <w:rPr>
                <w:sz w:val="19"/>
                <w:szCs w:val="19"/>
                <w:color w:val="auto"/>
              </w:rPr>
            </w:pPr>
          </w:p>
        </w:tc>
        <w:tc>
          <w:tcPr>
            <w:tcW w:w="2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tcBorders>
              <w:bottom w:val="single" w:sz="8" w:color="auto"/>
            </w:tcBorders>
          </w:tcPr>
          <w:p>
            <w:pPr>
              <w:spacing w:after="0"/>
              <w:rPr>
                <w:sz w:val="24"/>
                <w:szCs w:val="24"/>
                <w:color w:val="auto"/>
              </w:rPr>
            </w:pPr>
          </w:p>
        </w:tc>
        <w:tc>
          <w:tcPr>
            <w:tcW w:w="288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88"/>
              </w:rPr>
              <w:t>Hadas Gelander</w:t>
            </w:r>
          </w:p>
        </w:tc>
        <w:tc>
          <w:tcPr>
            <w:tcW w:w="288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Dalia Megiddo</w:t>
            </w:r>
          </w:p>
        </w:tc>
        <w:tc>
          <w:tcPr>
            <w:tcW w:w="288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2140" w:type="dxa"/>
            <w:vAlign w:val="bottom"/>
            <w:vMerge w:val="restart"/>
          </w:tcPr>
          <w:p>
            <w:pPr>
              <w:ind w:left="1000"/>
              <w:spacing w:after="0"/>
              <w:rPr>
                <w:sz w:val="20"/>
                <w:szCs w:val="20"/>
                <w:color w:val="auto"/>
              </w:rPr>
            </w:pPr>
            <w:r>
              <w:rPr>
                <w:rFonts w:ascii="Arial" w:cs="Arial" w:eastAsia="Arial" w:hAnsi="Arial"/>
                <w:sz w:val="18"/>
                <w:szCs w:val="18"/>
                <w:color w:val="auto"/>
                <w:w w:val="89"/>
              </w:rPr>
              <w:t>March 28, 2014</w:t>
            </w:r>
          </w:p>
        </w:tc>
        <w:tc>
          <w:tcPr>
            <w:tcW w:w="0" w:type="dxa"/>
            <w:vAlign w:val="bottom"/>
          </w:tcPr>
          <w:p>
            <w:pPr>
              <w:spacing w:after="0"/>
              <w:rPr>
                <w:sz w:val="1"/>
                <w:szCs w:val="1"/>
                <w:color w:val="auto"/>
              </w:rPr>
            </w:pP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3"/>
              </w:rPr>
              <w:t>Dalia Megiddo</w:t>
            </w:r>
          </w:p>
        </w:tc>
        <w:tc>
          <w:tcPr>
            <w:tcW w:w="2880" w:type="dxa"/>
            <w:vAlign w:val="bottom"/>
            <w:vMerge w:val="continue"/>
          </w:tcPr>
          <w:p>
            <w:pPr>
              <w:spacing w:after="0"/>
              <w:rPr>
                <w:sz w:val="19"/>
                <w:szCs w:val="19"/>
                <w:color w:val="auto"/>
              </w:rPr>
            </w:pPr>
          </w:p>
        </w:tc>
        <w:tc>
          <w:tcPr>
            <w:tcW w:w="2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tcBorders>
              <w:bottom w:val="single" w:sz="8" w:color="auto"/>
            </w:tcBorders>
          </w:tcPr>
          <w:p>
            <w:pPr>
              <w:spacing w:after="0"/>
              <w:rPr>
                <w:sz w:val="24"/>
                <w:szCs w:val="24"/>
                <w:color w:val="auto"/>
              </w:rPr>
            </w:pPr>
          </w:p>
        </w:tc>
        <w:tc>
          <w:tcPr>
            <w:tcW w:w="288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9"/>
              </w:rPr>
              <w:t>Ori Mor</w:t>
            </w:r>
          </w:p>
        </w:tc>
        <w:tc>
          <w:tcPr>
            <w:tcW w:w="288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Aharon Schwarts</w:t>
            </w:r>
          </w:p>
        </w:tc>
        <w:tc>
          <w:tcPr>
            <w:tcW w:w="2880" w:type="dxa"/>
            <w:vAlign w:val="bottom"/>
            <w:vMerge w:val="restart"/>
          </w:tcPr>
          <w:p>
            <w:pPr>
              <w:ind w:left="280"/>
              <w:spacing w:after="0"/>
              <w:rPr>
                <w:sz w:val="20"/>
                <w:szCs w:val="20"/>
                <w:color w:val="auto"/>
              </w:rPr>
            </w:pPr>
            <w:r>
              <w:rPr>
                <w:rFonts w:ascii="Arial" w:cs="Arial" w:eastAsia="Arial" w:hAnsi="Arial"/>
                <w:sz w:val="18"/>
                <w:szCs w:val="18"/>
                <w:color w:val="auto"/>
              </w:rPr>
              <w:t>Director</w:t>
            </w:r>
          </w:p>
        </w:tc>
        <w:tc>
          <w:tcPr>
            <w:tcW w:w="2140" w:type="dxa"/>
            <w:vAlign w:val="bottom"/>
            <w:vMerge w:val="restart"/>
          </w:tcPr>
          <w:p>
            <w:pPr>
              <w:ind w:left="1000"/>
              <w:spacing w:after="0"/>
              <w:rPr>
                <w:sz w:val="20"/>
                <w:szCs w:val="20"/>
                <w:color w:val="auto"/>
              </w:rPr>
            </w:pPr>
            <w:r>
              <w:rPr>
                <w:rFonts w:ascii="Arial" w:cs="Arial" w:eastAsia="Arial" w:hAnsi="Arial"/>
                <w:sz w:val="18"/>
                <w:szCs w:val="18"/>
                <w:color w:val="auto"/>
                <w:w w:val="89"/>
              </w:rPr>
              <w:t>March 28, 2014</w:t>
            </w:r>
          </w:p>
        </w:tc>
        <w:tc>
          <w:tcPr>
            <w:tcW w:w="0" w:type="dxa"/>
            <w:vAlign w:val="bottom"/>
          </w:tcPr>
          <w:p>
            <w:pPr>
              <w:spacing w:after="0"/>
              <w:rPr>
                <w:sz w:val="1"/>
                <w:szCs w:val="1"/>
                <w:color w:val="auto"/>
              </w:rPr>
            </w:pP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0"/>
              </w:rPr>
              <w:t>Aharon Schwarts</w:t>
            </w:r>
          </w:p>
        </w:tc>
        <w:tc>
          <w:tcPr>
            <w:tcW w:w="2880" w:type="dxa"/>
            <w:vAlign w:val="bottom"/>
            <w:vMerge w:val="continue"/>
          </w:tcPr>
          <w:p>
            <w:pPr>
              <w:spacing w:after="0"/>
              <w:rPr>
                <w:sz w:val="19"/>
                <w:szCs w:val="19"/>
                <w:color w:val="auto"/>
              </w:rPr>
            </w:pPr>
          </w:p>
        </w:tc>
        <w:tc>
          <w:tcPr>
            <w:tcW w:w="2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as amended, the undersigned, Alcobra Inc., the duly authorized representative in the United States of Alcobra Ltd., has signed this registration statement on March 28, 2014.</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ALCOBRA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Chief Executive Officer and President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Amot Investment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Weizman St. 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6423902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acting as Israeli counsel for Alcobra Ltd., an Israeli company (the “Company”), in connection with the preparation of a Registration Statement on Form S-8 (the “Registration Statement”) under the Securities Act of 1933, as amended (the “Act”), pertaining to the registration of an additional 1,364,533 Ordinary Shares nominal value NIS 0.01 per share of the Company (the “Plan Shares”) under the Alcobra Ltd. 2010 Incentive Option Plan (the “Plan”).</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rendering our opinion, we have examined, and have relied as to factual matters solely upon, originals or copies certified, or otherwise identified to our satisfaction, of such documents, corporate records or other instruments as we have deemed necessary or appropriate for the purposes of this opinion. In our examination we have assumed the genuineness of all signatures, the authenticity of all documents submitted to us as originals, and the conformity with the originals of all documents submitted to us as copies. We have, when relevant facts material to our opinion were not independently established by us, relied to the extent we deemed such reliance proper upon written or oral statements of officers and other representatives of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giving the opinion expressed herein, no opinion is expressed as to the laws of any jurisdiction other than the State of Israel.</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Based upon and subject to the foregoing, we are of the opinion that the Plan Shares, when issued pursuant to the terms of the Plan, and the terms of any agreements relating to such issuance, will be upon receipt of the consideration provided for in the Plan, validly issued, fully paid and nonassessable.</w:t>
      </w:r>
    </w:p>
    <w:p>
      <w:pPr>
        <w:spacing w:after="0" w:line="124"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This opinion is intended solely for the benefit and use of the Company and other persons who are entitled to rely on the Registration Statement, and is not to be used, released, quoted, or relied upon by anyone else for any purpose (other than as required by law), without our prior written consent.</w:t>
      </w:r>
    </w:p>
    <w:p>
      <w:pPr>
        <w:spacing w:after="0" w:line="12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hereby consent to the filing of this opinion as Exhibit 5.1 to the Registration Statement, and to the use of our name wherever appearing in the Registration Statement in connection with Israeli law. In giving such consent, we do not thereby admit that we are in the category of persons whose consent is required under Section 7 of the Act or the rules and regulations of the Securities and Exchange Commission promulgated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ZYSMAN AHARONI GAYER &amp; CO., LAW 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Zysman, Aharoni, Gayer &amp; Co.,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Alcobra Ltd. 2010 Incentive Option Plan of our reports dated March 27, 2014 with respect to the consolidated financial statements of Alcobra Ltd. And its subsidiary included in the Annual Report on Form 20-F of Alcobra Ltd. for the year ended December 31, 2013 filed with the Securities and Exchange Commission.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5940" w:type="dxa"/>
            <w:vAlign w:val="bottom"/>
          </w:tcPr>
          <w:p>
            <w:pPr>
              <w:jc w:val="center"/>
              <w:ind w:left="150"/>
              <w:spacing w:after="0"/>
              <w:rPr>
                <w:sz w:val="20"/>
                <w:szCs w:val="20"/>
                <w:color w:val="auto"/>
              </w:rPr>
            </w:pPr>
            <w:r>
              <w:rPr>
                <w:rFonts w:ascii="Arial" w:cs="Arial" w:eastAsia="Arial" w:hAnsi="Arial"/>
                <w:sz w:val="18"/>
                <w:szCs w:val="18"/>
                <w:color w:val="auto"/>
                <w:w w:val="91"/>
              </w:rPr>
              <w:t>/s/ Kost Forer Gabbay &amp; Kasierer</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Tel-Aviv, Israel</w:t>
            </w:r>
          </w:p>
        </w:tc>
        <w:tc>
          <w:tcPr>
            <w:tcW w:w="5940" w:type="dxa"/>
            <w:vAlign w:val="bottom"/>
          </w:tcPr>
          <w:p>
            <w:pPr>
              <w:jc w:val="center"/>
              <w:ind w:left="150"/>
              <w:spacing w:after="0"/>
              <w:rPr>
                <w:sz w:val="20"/>
                <w:szCs w:val="20"/>
                <w:color w:val="auto"/>
              </w:rPr>
            </w:pPr>
            <w:r>
              <w:rPr>
                <w:rFonts w:ascii="Arial" w:cs="Arial" w:eastAsia="Arial" w:hAnsi="Arial"/>
                <w:sz w:val="18"/>
                <w:szCs w:val="18"/>
                <w:color w:val="auto"/>
                <w:w w:val="92"/>
              </w:rPr>
              <w:t>Kost Forer Gabbay &amp; Kasierer</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March 27, 2014</w:t>
            </w:r>
          </w:p>
        </w:tc>
        <w:tc>
          <w:tcPr>
            <w:tcW w:w="5940" w:type="dxa"/>
            <w:vAlign w:val="bottom"/>
          </w:tcPr>
          <w:p>
            <w:pPr>
              <w:jc w:val="center"/>
              <w:ind w:left="150"/>
              <w:spacing w:after="0"/>
              <w:rPr>
                <w:sz w:val="20"/>
                <w:szCs w:val="20"/>
                <w:color w:val="auto"/>
              </w:rPr>
            </w:pPr>
            <w:r>
              <w:rPr>
                <w:rFonts w:ascii="Arial" w:cs="Arial" w:eastAsia="Arial" w:hAnsi="Arial"/>
                <w:sz w:val="18"/>
                <w:szCs w:val="18"/>
                <w:color w:val="auto"/>
                <w:w w:val="94"/>
              </w:rPr>
              <w:t>A member of EY Global</w:t>
            </w:r>
          </w:p>
        </w:tc>
      </w:tr>
      <w:tr>
        <w:trPr>
          <w:trHeight w:val="432"/>
        </w:trPr>
        <w:tc>
          <w:tcPr>
            <w:tcW w:w="5480" w:type="dxa"/>
            <w:vAlign w:val="bottom"/>
          </w:tcPr>
          <w:p>
            <w:pPr>
              <w:spacing w:after="0"/>
              <w:rPr>
                <w:sz w:val="20"/>
                <w:szCs w:val="20"/>
                <w:color w:val="auto"/>
              </w:rPr>
            </w:pPr>
            <w:r>
              <w:rPr>
                <w:rFonts w:ascii="Arial" w:cs="Arial" w:eastAsia="Arial" w:hAnsi="Arial"/>
                <w:sz w:val="18"/>
                <w:szCs w:val="18"/>
                <w:color w:val="auto"/>
              </w:rPr>
              <w:t>A member firm of Ernst &amp; Young Global Limited</w:t>
            </w:r>
          </w:p>
        </w:tc>
        <w:tc>
          <w:tcPr>
            <w:tcW w:w="5940" w:type="dxa"/>
            <w:vAlign w:val="bottom"/>
          </w:tcPr>
          <w:p>
            <w:pPr>
              <w:spacing w:after="0"/>
              <w:rPr>
                <w:sz w:val="24"/>
                <w:szCs w:val="24"/>
                <w:color w:val="auto"/>
              </w:rPr>
            </w:pPr>
          </w:p>
        </w:tc>
      </w:tr>
      <w:tr>
        <w:trPr>
          <w:trHeight w:val="648"/>
        </w:trPr>
        <w:tc>
          <w:tcPr>
            <w:tcW w:w="548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2019-12-08T06:28:24Z</dcterms:created>
  <dcterms:modified xsi:type="dcterms:W3CDTF">2019-12-08T06:28:24Z</dcterms:modified>
</cp:coreProperties>
</file>