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880" w:right="1600" w:hanging="3859"/>
        <w:spacing w:after="0" w:line="328" w:lineRule="auto"/>
        <w:tabs>
          <w:tab w:leader="none" w:pos="53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17"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60" w:lineRule="exact"/>
        <w:rPr>
          <w:sz w:val="24"/>
          <w:szCs w:val="24"/>
          <w:color w:val="auto"/>
        </w:rPr>
      </w:pPr>
    </w:p>
    <w:p>
      <w:pPr>
        <w:ind w:left="4300"/>
        <w:spacing w:after="0"/>
        <w:tabs>
          <w:tab w:leader="none" w:pos="67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40640</wp:posOffset>
            </wp:positionV>
            <wp:extent cx="246888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88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ectPr>
          <w:pgSz w:w="11900" w:h="16838" w:orient="portrait"/>
          <w:cols w:equalWidth="0" w:num="1">
            <w:col w:w="11240"/>
          </w:cols>
          <w:pgMar w:left="320" w:top="557" w:right="339" w:bottom="1440" w:gutter="0" w:footer="0" w:header="0"/>
        </w:sectPr>
      </w:pPr>
    </w:p>
    <w:p>
      <w:pPr>
        <w:spacing w:after="0" w:line="21" w:lineRule="exact"/>
        <w:rPr>
          <w:sz w:val="24"/>
          <w:szCs w:val="24"/>
          <w:color w:val="auto"/>
        </w:rPr>
      </w:pPr>
    </w:p>
    <w:p>
      <w:pPr>
        <w:jc w:val="right"/>
        <w:ind w:right="68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2" w:lineRule="exact"/>
        <w:rPr>
          <w:sz w:val="24"/>
          <w:szCs w:val="24"/>
          <w:color w:val="auto"/>
        </w:rPr>
      </w:pPr>
    </w:p>
    <w:p>
      <w:pPr>
        <w:jc w:val="center"/>
        <w:ind w:right="3460"/>
        <w:spacing w:after="0"/>
        <w:rPr>
          <w:sz w:val="20"/>
          <w:szCs w:val="20"/>
          <w:color w:val="auto"/>
        </w:rPr>
      </w:pPr>
      <w:r>
        <w:rPr>
          <w:rFonts w:ascii="Arial" w:cs="Arial" w:eastAsia="Arial" w:hAnsi="Arial"/>
          <w:sz w:val="13"/>
          <w:szCs w:val="13"/>
          <w:b w:val="1"/>
          <w:bCs w:val="1"/>
          <w:color w:val="auto"/>
        </w:rPr>
        <w:t>Delaware</w:t>
      </w:r>
    </w:p>
    <w:p>
      <w:pPr>
        <w:spacing w:after="0" w:line="12" w:lineRule="exact"/>
        <w:rPr>
          <w:sz w:val="24"/>
          <w:szCs w:val="24"/>
          <w:color w:val="auto"/>
        </w:rPr>
      </w:pPr>
    </w:p>
    <w:p>
      <w:pPr>
        <w:ind w:left="1460"/>
        <w:spacing w:after="0"/>
        <w:rPr>
          <w:sz w:val="20"/>
          <w:szCs w:val="20"/>
          <w:color w:val="auto"/>
        </w:rPr>
      </w:pPr>
      <w:r>
        <w:rPr>
          <w:rFonts w:ascii="Arial" w:cs="Arial" w:eastAsia="Arial" w:hAnsi="Arial"/>
          <w:sz w:val="13"/>
          <w:szCs w:val="13"/>
          <w:color w:val="auto"/>
        </w:rPr>
        <w:t>(State or other jurisdiction of</w:t>
      </w:r>
    </w:p>
    <w:p>
      <w:pPr>
        <w:ind w:left="1440"/>
        <w:spacing w:after="0"/>
        <w:rPr>
          <w:sz w:val="20"/>
          <w:szCs w:val="20"/>
          <w:color w:val="auto"/>
        </w:rPr>
      </w:pPr>
      <w:r>
        <w:rPr>
          <w:rFonts w:ascii="Arial" w:cs="Arial" w:eastAsia="Arial" w:hAnsi="Arial"/>
          <w:sz w:val="13"/>
          <w:szCs w:val="13"/>
          <w:color w:val="auto"/>
        </w:rPr>
        <w:t>incorporation or organization)</w:t>
      </w:r>
    </w:p>
    <w:p>
      <w:pPr>
        <w:spacing w:after="0" w:line="147" w:lineRule="exact"/>
        <w:rPr>
          <w:sz w:val="24"/>
          <w:szCs w:val="24"/>
          <w:color w:val="auto"/>
        </w:rPr>
      </w:pPr>
    </w:p>
    <w:p>
      <w:pPr>
        <w:ind w:left="1180"/>
        <w:spacing w:after="0"/>
        <w:rPr>
          <w:sz w:val="20"/>
          <w:szCs w:val="20"/>
          <w:color w:val="auto"/>
        </w:rPr>
      </w:pPr>
      <w:r>
        <w:rPr>
          <w:rFonts w:ascii="Arial" w:cs="Arial" w:eastAsia="Arial" w:hAnsi="Arial"/>
          <w:sz w:val="13"/>
          <w:szCs w:val="13"/>
          <w:b w:val="1"/>
          <w:bCs w:val="1"/>
          <w:color w:val="auto"/>
        </w:rPr>
        <w:t>10628 Science Center Drive, Suite 250</w:t>
      </w:r>
    </w:p>
    <w:p>
      <w:pPr>
        <w:spacing w:after="0" w:line="40" w:lineRule="exact"/>
        <w:rPr>
          <w:sz w:val="24"/>
          <w:szCs w:val="24"/>
          <w:color w:val="auto"/>
        </w:rPr>
      </w:pPr>
    </w:p>
    <w:p>
      <w:pPr>
        <w:ind w:left="1600"/>
        <w:spacing w:after="0"/>
        <w:rPr>
          <w:sz w:val="20"/>
          <w:szCs w:val="20"/>
          <w:color w:val="auto"/>
        </w:rPr>
      </w:pPr>
      <w:r>
        <w:rPr>
          <w:rFonts w:ascii="Arial" w:cs="Arial" w:eastAsia="Arial" w:hAnsi="Arial"/>
          <w:sz w:val="13"/>
          <w:szCs w:val="13"/>
          <w:b w:val="1"/>
          <w:bCs w:val="1"/>
          <w:color w:val="auto"/>
        </w:rPr>
        <w:t>San Diego, California</w:t>
      </w:r>
    </w:p>
    <w:p>
      <w:pPr>
        <w:spacing w:after="0" w:line="44" w:lineRule="exact"/>
        <w:rPr>
          <w:sz w:val="24"/>
          <w:szCs w:val="24"/>
          <w:color w:val="auto"/>
        </w:rPr>
      </w:pPr>
    </w:p>
    <w:p>
      <w:pPr>
        <w:ind w:left="12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720"/>
        <w:spacing w:after="0"/>
        <w:rPr>
          <w:sz w:val="20"/>
          <w:szCs w:val="20"/>
          <w:color w:val="auto"/>
        </w:rPr>
      </w:pPr>
      <w:r>
        <w:rPr>
          <w:rFonts w:ascii="Arial" w:cs="Arial" w:eastAsia="Arial" w:hAnsi="Arial"/>
          <w:sz w:val="13"/>
          <w:szCs w:val="13"/>
          <w:b w:val="1"/>
          <w:bCs w:val="1"/>
          <w:color w:val="auto"/>
        </w:rPr>
        <w:t>32-0595345</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2"/>
          <w:szCs w:val="12"/>
          <w:color w:val="auto"/>
        </w:rPr>
        <w:t>(I.R.S. Employer</w:t>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Identification No.)</w:t>
      </w:r>
    </w:p>
    <w:p>
      <w:pPr>
        <w:spacing w:after="0" w:line="361" w:lineRule="exact"/>
        <w:rPr>
          <w:sz w:val="24"/>
          <w:szCs w:val="24"/>
          <w:color w:val="auto"/>
        </w:rPr>
      </w:pPr>
    </w:p>
    <w:p>
      <w:pPr>
        <w:jc w:val="center"/>
        <w:ind w:right="1720"/>
        <w:spacing w:after="0"/>
        <w:rPr>
          <w:sz w:val="20"/>
          <w:szCs w:val="20"/>
          <w:color w:val="auto"/>
        </w:rPr>
      </w:pPr>
      <w:r>
        <w:rPr>
          <w:rFonts w:ascii="Arial" w:cs="Arial" w:eastAsia="Arial" w:hAnsi="Arial"/>
          <w:sz w:val="13"/>
          <w:szCs w:val="13"/>
          <w:b w:val="1"/>
          <w:bCs w:val="1"/>
          <w:color w:val="auto"/>
        </w:rPr>
        <w:t>92121</w:t>
      </w:r>
    </w:p>
    <w:p>
      <w:pPr>
        <w:spacing w:after="0" w:line="17" w:lineRule="exact"/>
        <w:rPr>
          <w:sz w:val="24"/>
          <w:szCs w:val="24"/>
          <w:color w:val="auto"/>
        </w:rPr>
      </w:pPr>
    </w:p>
    <w:p>
      <w:pPr>
        <w:jc w:val="center"/>
        <w:ind w:right="1720"/>
        <w:spacing w:after="0"/>
        <w:rPr>
          <w:sz w:val="20"/>
          <w:szCs w:val="20"/>
          <w:color w:val="auto"/>
        </w:rPr>
      </w:pPr>
      <w:r>
        <w:rPr>
          <w:rFonts w:ascii="Arial" w:cs="Arial" w:eastAsia="Arial" w:hAnsi="Arial"/>
          <w:sz w:val="13"/>
          <w:szCs w:val="13"/>
          <w:color w:val="auto"/>
        </w:rPr>
        <w:t>(Zip Code)</w:t>
      </w:r>
    </w:p>
    <w:p>
      <w:pPr>
        <w:spacing w:after="0" w:line="76" w:lineRule="exact"/>
        <w:rPr>
          <w:sz w:val="24"/>
          <w:szCs w:val="24"/>
          <w:color w:val="auto"/>
        </w:rPr>
      </w:pPr>
    </w:p>
    <w:p>
      <w:pPr>
        <w:sectPr>
          <w:pgSz w:w="11900" w:h="16838" w:orient="portrait"/>
          <w:cols w:equalWidth="0" w:num="2">
            <w:col w:w="7860" w:space="720"/>
            <w:col w:w="2660"/>
          </w:cols>
          <w:pgMar w:left="320" w:top="557"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(858) 900-2660</w:t>
      </w:r>
    </w:p>
    <w:p>
      <w:pPr>
        <w:spacing w:after="0" w:line="63"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55245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ARCT</w:t>
            </w:r>
          </w:p>
        </w:tc>
        <w:tc>
          <w:tcPr>
            <w:tcW w:w="14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bl>
    <w:p>
      <w:pPr>
        <w:spacing w:after="0" w:line="158" w:lineRule="exact"/>
        <w:rPr>
          <w:sz w:val="24"/>
          <w:szCs w:val="24"/>
          <w:color w:val="auto"/>
        </w:rPr>
      </w:pPr>
    </w:p>
    <w:p>
      <w:pPr>
        <w:ind w:firstLine="599"/>
        <w:spacing w:after="0" w:line="22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1" w:lineRule="exact"/>
        <w:rPr>
          <w:sz w:val="24"/>
          <w:szCs w:val="24"/>
          <w:color w:val="auto"/>
        </w:rPr>
      </w:pPr>
    </w:p>
    <w:p>
      <w:pPr>
        <w:ind w:right="100" w:firstLine="599"/>
        <w:spacing w:after="0" w:line="22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51"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80"/>
        <w:spacing w:after="0" w:line="25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August 2, 2023, the registrant had 26,598,539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520" w:type="dxa"/>
            <w:vAlign w:val="bottom"/>
            <w:gridSpan w:val="18"/>
          </w:tcPr>
          <w:p>
            <w:pPr>
              <w:spacing w:after="0" w:line="182" w:lineRule="exact"/>
              <w:rPr>
                <w:sz w:val="20"/>
                <w:szCs w:val="20"/>
                <w:color w:val="auto"/>
              </w:rPr>
            </w:pPr>
            <w:r>
              <w:rPr>
                <w:rFonts w:ascii="Arial" w:cs="Arial" w:eastAsia="Arial" w:hAnsi="Arial"/>
                <w:sz w:val="18"/>
                <w:szCs w:val="18"/>
                <w:color w:val="0000FF"/>
              </w:rPr>
              <w:t>FINANCIAL INFORMATION</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1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FF"/>
                <w:w w:val="88"/>
              </w:rPr>
              <w:t>Condensed Consolidated Balance Sheets as of June 30, 2023 and December 31, 2022</w:t>
            </w:r>
          </w:p>
        </w:tc>
        <w:tc>
          <w:tcPr>
            <w:tcW w:w="3380" w:type="dxa"/>
            <w:vAlign w:val="bottom"/>
            <w:gridSpan w:val="5"/>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520" w:type="dxa"/>
            <w:vAlign w:val="bottom"/>
            <w:gridSpan w:val="18"/>
          </w:tcPr>
          <w:p>
            <w:pPr>
              <w:spacing w:after="0"/>
              <w:rPr>
                <w:sz w:val="20"/>
                <w:szCs w:val="20"/>
                <w:color w:val="auto"/>
              </w:rPr>
            </w:pPr>
            <w:r>
              <w:rPr>
                <w:rFonts w:ascii="Arial" w:cs="Arial" w:eastAsia="Arial" w:hAnsi="Arial"/>
                <w:sz w:val="18"/>
                <w:szCs w:val="18"/>
                <w:color w:val="0000FF"/>
                <w:w w:val="89"/>
              </w:rPr>
              <w:t>Condensed Consolidated Statements of Operations and Comprehensive Loss for the three and six months ended June 30, 2023 and</w:t>
            </w:r>
          </w:p>
        </w:tc>
        <w:tc>
          <w:tcPr>
            <w:tcW w:w="800" w:type="dxa"/>
            <w:vAlign w:val="bottom"/>
          </w:tcPr>
          <w:p>
            <w:pPr>
              <w:spacing w:after="0"/>
              <w:rPr>
                <w:sz w:val="19"/>
                <w:szCs w:val="19"/>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FF"/>
                <w:w w:val="84"/>
              </w:rPr>
              <w:t>2022</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520" w:type="dxa"/>
            <w:vAlign w:val="bottom"/>
            <w:gridSpan w:val="18"/>
          </w:tcPr>
          <w:p>
            <w:pPr>
              <w:spacing w:after="0"/>
              <w:rPr>
                <w:sz w:val="20"/>
                <w:szCs w:val="20"/>
                <w:color w:val="auto"/>
              </w:rPr>
            </w:pPr>
            <w:r>
              <w:rPr>
                <w:rFonts w:ascii="Arial" w:cs="Arial" w:eastAsia="Arial" w:hAnsi="Arial"/>
                <w:sz w:val="18"/>
                <w:szCs w:val="18"/>
                <w:color w:val="0000FF"/>
                <w:w w:val="93"/>
              </w:rPr>
              <w:t>Condensed Consolidated Statements of Changes in Stockholders’ Equity for the three and six months ended June 30, 2023 and</w:t>
            </w:r>
          </w:p>
        </w:tc>
        <w:tc>
          <w:tcPr>
            <w:tcW w:w="800" w:type="dxa"/>
            <w:vAlign w:val="bottom"/>
          </w:tcPr>
          <w:p>
            <w:pPr>
              <w:spacing w:after="0"/>
              <w:rPr>
                <w:sz w:val="19"/>
                <w:szCs w:val="19"/>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FF"/>
                <w:w w:val="84"/>
              </w:rPr>
              <w:t>2022</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3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FF"/>
                <w:w w:val="88"/>
              </w:rPr>
              <w:t>Condensed Consolidated Statements of Cash Flows for the six months ended June 30, 2023 and 2022</w:t>
            </w:r>
          </w:p>
        </w:tc>
        <w:tc>
          <w:tcPr>
            <w:tcW w:w="2220" w:type="dxa"/>
            <w:vAlign w:val="bottom"/>
            <w:gridSpan w:val="3"/>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520" w:type="dxa"/>
            <w:vAlign w:val="bottom"/>
            <w:gridSpan w:val="8"/>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EE"/>
            </w:tcBorders>
            <w:gridSpan w:val="2"/>
          </w:tcPr>
          <w:p>
            <w:pPr>
              <w:spacing w:after="0"/>
              <w:rPr>
                <w:sz w:val="19"/>
                <w:szCs w:val="19"/>
                <w:color w:val="auto"/>
              </w:rPr>
            </w:pPr>
          </w:p>
        </w:tc>
        <w:tc>
          <w:tcPr>
            <w:tcW w:w="3080" w:type="dxa"/>
            <w:vAlign w:val="bottom"/>
            <w:gridSpan w:val="4"/>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774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2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EE"/>
            </w:tcBorders>
            <w:gridSpan w:val="2"/>
          </w:tcPr>
          <w:p>
            <w:pPr>
              <w:spacing w:after="0"/>
              <w:rPr>
                <w:sz w:val="19"/>
                <w:szCs w:val="19"/>
                <w:color w:val="auto"/>
              </w:rPr>
            </w:pPr>
          </w:p>
        </w:tc>
        <w:tc>
          <w:tcPr>
            <w:tcW w:w="7640" w:type="dxa"/>
            <w:vAlign w:val="bottom"/>
            <w:gridSpan w:val="11"/>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2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FF"/>
              </w:rPr>
              <w:t>Defaults Upon Senior Securities</w:t>
            </w:r>
          </w:p>
        </w:tc>
        <w:tc>
          <w:tcPr>
            <w:tcW w:w="5180" w:type="dxa"/>
            <w:vAlign w:val="bottom"/>
            <w:gridSpan w:val="7"/>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600" w:type="dxa"/>
            <w:vAlign w:val="bottom"/>
            <w:tcBorders>
              <w:top w:val="single" w:sz="8" w:color="0000EE"/>
            </w:tcBorders>
            <w:gridSpan w:val="3"/>
          </w:tcPr>
          <w:p>
            <w:pPr>
              <w:spacing w:after="0"/>
              <w:rPr>
                <w:sz w:val="19"/>
                <w:szCs w:val="19"/>
                <w:color w:val="auto"/>
              </w:rPr>
            </w:pPr>
          </w:p>
        </w:tc>
        <w:tc>
          <w:tcPr>
            <w:tcW w:w="7140" w:type="dxa"/>
            <w:vAlign w:val="bottom"/>
            <w:gridSpan w:val="9"/>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8200" w:type="dxa"/>
            <w:vAlign w:val="bottom"/>
            <w:gridSpan w:val="14"/>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2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12"/>
        <w:spacing w:after="0" w:line="269" w:lineRule="auto"/>
        <w:rPr>
          <w:sz w:val="20"/>
          <w:szCs w:val="20"/>
          <w:color w:val="auto"/>
        </w:rPr>
      </w:pPr>
      <w:r>
        <w:rPr>
          <w:rFonts w:ascii="Arial" w:cs="Arial" w:eastAsia="Arial" w:hAnsi="Arial"/>
          <w:sz w:val="17"/>
          <w:szCs w:val="17"/>
          <w:color w:val="auto"/>
        </w:rPr>
        <w:t>This Quarterly Report on Form 10-Q, or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Forward-looking statements in this quarterly report include, but are not limited to, statements about:</w:t>
      </w:r>
    </w:p>
    <w:p>
      <w:pPr>
        <w:spacing w:after="0" w:line="199" w:lineRule="exact"/>
        <w:rPr>
          <w:sz w:val="20"/>
          <w:szCs w:val="20"/>
          <w:color w:val="auto"/>
        </w:rPr>
      </w:pPr>
    </w:p>
    <w:p>
      <w:pPr>
        <w:ind w:left="1220" w:right="80" w:hanging="601"/>
        <w:spacing w:after="0" w:line="311" w:lineRule="auto"/>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40" w:lineRule="exact"/>
        <w:rPr>
          <w:rFonts w:ascii="Arial" w:cs="Arial" w:eastAsia="Arial" w:hAnsi="Arial"/>
          <w:sz w:val="16"/>
          <w:szCs w:val="16"/>
          <w:color w:val="auto"/>
        </w:rPr>
      </w:pPr>
    </w:p>
    <w:p>
      <w:pPr>
        <w:ind w:left="1220" w:right="18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and ability to remain in compliance, with the requirements of our collaboration agreements, including our collaboration with Seqirus Inc. (“CSL Seqirus”);</w:t>
      </w:r>
    </w:p>
    <w:p>
      <w:pPr>
        <w:spacing w:after="0" w:line="67" w:lineRule="exact"/>
        <w:rPr>
          <w:rFonts w:ascii="Arial" w:cs="Arial" w:eastAsia="Arial" w:hAnsi="Arial"/>
          <w:sz w:val="18"/>
          <w:szCs w:val="18"/>
          <w:color w:val="auto"/>
        </w:rPr>
      </w:pPr>
    </w:p>
    <w:p>
      <w:pPr>
        <w:ind w:left="1220" w:right="420" w:hanging="601"/>
        <w:spacing w:after="0" w:line="260"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benefits and success of our collaboration agreement with CSL Seqirus related to the licensure of our STARR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mRNA technology and LUNAR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lipid-mediated delivery, including our timely receipt of upfront and potential royalty and other payments thereunder;</w:t>
      </w:r>
    </w:p>
    <w:p>
      <w:pPr>
        <w:spacing w:after="0" w:line="71"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status and success of studies conducted by Meiji Holdings Co., Ltd. and their affiliates, including those related to ARCT-154;</w:t>
      </w:r>
    </w:p>
    <w:p>
      <w:pPr>
        <w:spacing w:after="0" w:line="128" w:lineRule="exact"/>
        <w:rPr>
          <w:rFonts w:ascii="Arial" w:cs="Arial" w:eastAsia="Arial" w:hAnsi="Arial"/>
          <w:sz w:val="17"/>
          <w:szCs w:val="17"/>
          <w:color w:val="auto"/>
        </w:rPr>
      </w:pPr>
    </w:p>
    <w:p>
      <w:pPr>
        <w:ind w:left="1220" w:right="18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status, success and benefits of our arrangements with private and governmental entities, some of which are subject to termination for convenience by our counterparties;</w:t>
      </w:r>
    </w:p>
    <w:p>
      <w:pPr>
        <w:spacing w:after="0" w:line="62" w:lineRule="exact"/>
        <w:rPr>
          <w:rFonts w:ascii="Arial" w:cs="Arial" w:eastAsia="Arial" w:hAnsi="Arial"/>
          <w:sz w:val="18"/>
          <w:szCs w:val="18"/>
          <w:color w:val="auto"/>
        </w:rPr>
      </w:pPr>
    </w:p>
    <w:p>
      <w:pPr>
        <w:ind w:left="1220" w:right="80" w:hanging="601"/>
        <w:spacing w:after="0" w:line="263"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design, cost, timing, progress and results of, and our expected ability to undertake certain activities and accomplish certain goals with respect to, our research and development activities, preclinical studies and clinical trials, including those related to ARCT-154, ARCT-810 and ARCT-032;</w:t>
      </w:r>
    </w:p>
    <w:p>
      <w:pPr>
        <w:spacing w:after="0" w:line="75"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platform technologies and discovery efforts;</w:t>
      </w:r>
    </w:p>
    <w:p>
      <w:pPr>
        <w:spacing w:after="0" w:line="117" w:lineRule="exact"/>
        <w:rPr>
          <w:rFonts w:ascii="Arial" w:cs="Arial" w:eastAsia="Arial" w:hAnsi="Arial"/>
          <w:sz w:val="18"/>
          <w:szCs w:val="18"/>
          <w:color w:val="auto"/>
        </w:rPr>
      </w:pPr>
    </w:p>
    <w:p>
      <w:pPr>
        <w:ind w:left="1220" w:right="12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safety, immunogenicity, efficacy or regulatory approval of any of our COVID-19 vaccine candidates as a booster or primary vaccination series;</w:t>
      </w:r>
    </w:p>
    <w:p>
      <w:pPr>
        <w:spacing w:after="0" w:line="62" w:lineRule="exact"/>
        <w:rPr>
          <w:rFonts w:ascii="Arial" w:cs="Arial" w:eastAsia="Arial" w:hAnsi="Arial"/>
          <w:sz w:val="18"/>
          <w:szCs w:val="18"/>
          <w:color w:val="auto"/>
        </w:rPr>
      </w:pPr>
    </w:p>
    <w:p>
      <w:pPr>
        <w:ind w:left="1220" w:right="36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and benefits of our technologies and product candidates on their own and in comparison to technologies, drugs or courses of treatment currently available or that may be developed by competitors;</w:t>
      </w:r>
    </w:p>
    <w:p>
      <w:pPr>
        <w:spacing w:after="0" w:line="62" w:lineRule="exact"/>
        <w:rPr>
          <w:rFonts w:ascii="Arial" w:cs="Arial" w:eastAsia="Arial" w:hAnsi="Arial"/>
          <w:sz w:val="18"/>
          <w:szCs w:val="18"/>
          <w:color w:val="auto"/>
        </w:rPr>
      </w:pPr>
    </w:p>
    <w:p>
      <w:pPr>
        <w:ind w:left="1220" w:right="14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that preclinical or clinical data, including with respect to ARCT-154, will be predictive of future clinical results or efficacy or safety of a product candidate;</w:t>
      </w:r>
    </w:p>
    <w:p>
      <w:pPr>
        <w:spacing w:after="0" w:line="62" w:lineRule="exact"/>
        <w:rPr>
          <w:rFonts w:ascii="Arial" w:cs="Arial" w:eastAsia="Arial" w:hAnsi="Arial"/>
          <w:sz w:val="18"/>
          <w:szCs w:val="18"/>
          <w:color w:val="auto"/>
        </w:rPr>
      </w:pPr>
    </w:p>
    <w:p>
      <w:pPr>
        <w:ind w:left="1220" w:right="84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timing of enrollment, duration, milestones and announcements of results of clinical trials, and the submission of applications to conduct clinical trials;</w:t>
      </w:r>
    </w:p>
    <w:p>
      <w:pPr>
        <w:spacing w:after="0" w:line="62" w:lineRule="exact"/>
        <w:rPr>
          <w:rFonts w:ascii="Arial" w:cs="Arial" w:eastAsia="Arial" w:hAnsi="Arial"/>
          <w:sz w:val="18"/>
          <w:szCs w:val="18"/>
          <w:color w:val="auto"/>
        </w:rPr>
      </w:pPr>
    </w:p>
    <w:p>
      <w:pPr>
        <w:ind w:left="1220" w:right="42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that clinical data will be sufficient for regulatory approval or completed in time to submit an application for regulatory approval within a particular timeframe;</w:t>
      </w:r>
    </w:p>
    <w:p>
      <w:pPr>
        <w:spacing w:after="0" w:line="62"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or timing of any regulatory approval, including of the NDA filed in Japan for ARCT-154;</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administration regimen or dosage, or ability to administer multiple doses of, any of our product candidates;</w:t>
      </w:r>
    </w:p>
    <w:p>
      <w:pPr>
        <w:spacing w:after="0" w:line="117" w:lineRule="exact"/>
        <w:rPr>
          <w:rFonts w:ascii="Arial" w:cs="Arial" w:eastAsia="Arial" w:hAnsi="Arial"/>
          <w:sz w:val="18"/>
          <w:szCs w:val="18"/>
          <w:color w:val="auto"/>
        </w:rPr>
      </w:pPr>
    </w:p>
    <w:p>
      <w:pPr>
        <w:ind w:left="1220" w:right="10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62"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1220" w:right="8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62"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220" w:right="100" w:hanging="601"/>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 and address unmet medical needs;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interactions with regulatory authorities in the United States and foreign countries;</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1220" w:right="160" w:hanging="601"/>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manufacturing process and capabilities, develop scalable manufacturing processes, conduct technology transfers, and prepare for and scale-up manufacturing levels for commercialization;</w:t>
      </w:r>
    </w:p>
    <w:p>
      <w:pPr>
        <w:spacing w:after="0" w:line="62" w:lineRule="exact"/>
        <w:rPr>
          <w:rFonts w:ascii="Arial" w:cs="Arial" w:eastAsia="Arial" w:hAnsi="Arial"/>
          <w:sz w:val="18"/>
          <w:szCs w:val="18"/>
          <w:color w:val="auto"/>
        </w:rPr>
      </w:pPr>
    </w:p>
    <w:p>
      <w:pPr>
        <w:ind w:left="1220" w:right="360" w:hanging="601"/>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62"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likelihood or timing of achieving milestones under our collaborations and other agreements;</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avoid, settle or be victorious at costly litigation with shareholders, former executives or others, should these situations arise;</w:t>
      </w:r>
    </w:p>
    <w:p>
      <w:pPr>
        <w:spacing w:after="0" w:line="140" w:lineRule="exact"/>
        <w:rPr>
          <w:rFonts w:ascii="Arial" w:cs="Arial" w:eastAsia="Arial" w:hAnsi="Arial"/>
          <w:sz w:val="16"/>
          <w:szCs w:val="16"/>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 and to efficiently use our financial and other resources;</w:t>
      </w:r>
    </w:p>
    <w:p>
      <w:pPr>
        <w:spacing w:after="0" w:line="117"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17" w:lineRule="exact"/>
        <w:rPr>
          <w:rFonts w:ascii="Arial" w:cs="Arial" w:eastAsia="Arial" w:hAnsi="Arial"/>
          <w:sz w:val="18"/>
          <w:szCs w:val="18"/>
          <w:color w:val="auto"/>
        </w:rPr>
      </w:pPr>
    </w:p>
    <w:p>
      <w:pPr>
        <w:ind w:left="1220" w:right="120" w:hanging="601"/>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future revenues, cash flows, capital requirements need for additional financing, and possible sources of revenue.</w:t>
      </w:r>
    </w:p>
    <w:p>
      <w:pPr>
        <w:spacing w:after="0" w:line="170" w:lineRule="exact"/>
        <w:rPr>
          <w:sz w:val="20"/>
          <w:szCs w:val="20"/>
          <w:color w:val="auto"/>
        </w:rPr>
      </w:pPr>
    </w:p>
    <w:p>
      <w:pPr>
        <w:ind w:right="20" w:firstLine="612"/>
        <w:spacing w:after="0" w:line="270" w:lineRule="auto"/>
        <w:rPr>
          <w:sz w:val="20"/>
          <w:szCs w:val="20"/>
          <w:color w:val="auto"/>
        </w:rPr>
      </w:pPr>
      <w:r>
        <w:rPr>
          <w:rFonts w:ascii="Arial" w:cs="Arial" w:eastAsia="Arial" w:hAnsi="Arial"/>
          <w:sz w:val="17"/>
          <w:szCs w:val="17"/>
          <w:color w:val="auto"/>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or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(in thousands, except par value information)</w:t>
            </w:r>
          </w:p>
        </w:tc>
        <w:tc>
          <w:tcPr>
            <w:tcW w:w="26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Arial" w:cs="Arial" w:eastAsia="Arial" w:hAnsi="Arial"/>
                <w:sz w:val="14"/>
                <w:szCs w:val="14"/>
                <w:b w:val="1"/>
                <w:bCs w:val="1"/>
                <w:color w:val="auto"/>
                <w:w w:val="94"/>
              </w:rPr>
              <w:t>(unaudited)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323,471</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391,883</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55,000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140" w:type="dxa"/>
            <w:vAlign w:val="bottom"/>
            <w:shd w:val="clear" w:color="auto" w:fill="CFF0FC"/>
          </w:tcPr>
          <w:p>
            <w:pPr>
              <w:spacing w:after="0"/>
              <w:rPr>
                <w:sz w:val="21"/>
                <w:szCs w:val="21"/>
                <w:color w:val="auto"/>
              </w:rPr>
            </w:pPr>
          </w:p>
        </w:tc>
      </w:tr>
      <w:tr>
        <w:trPr>
          <w:trHeight w:val="243"/>
        </w:trPr>
        <w:tc>
          <w:tcPr>
            <w:tcW w:w="76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8,686</w:t>
            </w:r>
          </w:p>
        </w:tc>
        <w:tc>
          <w:tcPr>
            <w:tcW w:w="140" w:type="dxa"/>
            <w:vAlign w:val="bottom"/>
          </w:tcPr>
          <w:p>
            <w:pPr>
              <w:spacing w:after="0"/>
              <w:rPr>
                <w:sz w:val="21"/>
                <w:szCs w:val="21"/>
                <w:color w:val="auto"/>
              </w:rPr>
            </w:pPr>
          </w:p>
        </w:tc>
      </w:tr>
      <w:tr>
        <w:trPr>
          <w:trHeight w:val="237"/>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385,244</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403,333</w:t>
            </w:r>
          </w:p>
        </w:tc>
        <w:tc>
          <w:tcPr>
            <w:tcW w:w="140" w:type="dxa"/>
            <w:vAlign w:val="bottom"/>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12,722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12,415</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30,553</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32,545</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Non-current restricted cash</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20"/>
                <w:szCs w:val="20"/>
                <w:color w:val="auto"/>
              </w:rPr>
            </w:pPr>
          </w:p>
        </w:tc>
      </w:tr>
      <w:tr>
        <w:trPr>
          <w:trHeight w:val="28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430,646</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450,387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13,619</w:t>
            </w:r>
          </w:p>
        </w:tc>
        <w:tc>
          <w:tcPr>
            <w:tcW w:w="3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7,449</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28,763</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30,232</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60,655</w:t>
            </w:r>
          </w:p>
        </w:tc>
        <w:tc>
          <w:tcPr>
            <w:tcW w:w="140" w:type="dxa"/>
            <w:vAlign w:val="bottom"/>
          </w:tcPr>
          <w:p>
            <w:pPr>
              <w:spacing w:after="0"/>
              <w:rPr>
                <w:sz w:val="20"/>
                <w:szCs w:val="20"/>
                <w:color w:val="auto"/>
              </w:rPr>
            </w:pPr>
          </w:p>
        </w:tc>
      </w:tr>
      <w:tr>
        <w:trPr>
          <w:trHeight w:val="24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47,963</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90,345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126,984</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25,725</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20,071</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28,111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30,216</w:t>
            </w:r>
          </w:p>
        </w:tc>
        <w:tc>
          <w:tcPr>
            <w:tcW w:w="140" w:type="dxa"/>
            <w:vAlign w:val="bottom"/>
          </w:tcPr>
          <w:p>
            <w:pPr>
              <w:spacing w:after="0"/>
              <w:rPr>
                <w:sz w:val="20"/>
                <w:szCs w:val="20"/>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145,471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180,075</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 $0.001 par value; 60,000 shares authorized; issued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outstanding shares were 26,574 at June 30, 2023 and 26,555 at December 31, 2022</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r>
      <w:tr>
        <w:trPr>
          <w:trHeight w:val="25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625,085</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608,426</w:t>
            </w:r>
          </w:p>
        </w:tc>
        <w:tc>
          <w:tcPr>
            <w:tcW w:w="140" w:type="dxa"/>
            <w:vAlign w:val="bottom"/>
            <w:shd w:val="clear" w:color="auto" w:fill="CFF0FC"/>
          </w:tcPr>
          <w:p>
            <w:pPr>
              <w:spacing w:after="0"/>
              <w:rPr>
                <w:sz w:val="21"/>
                <w:szCs w:val="21"/>
                <w:color w:val="auto"/>
              </w:rPr>
            </w:pPr>
          </w:p>
        </w:tc>
      </w:tr>
      <w:tr>
        <w:trPr>
          <w:trHeight w:val="243"/>
        </w:trPr>
        <w:tc>
          <w:tcPr>
            <w:tcW w:w="76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(339,937 )</w:t>
            </w:r>
          </w:p>
        </w:tc>
        <w:tc>
          <w:tcPr>
            <w:tcW w:w="22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(338,141 )</w:t>
            </w:r>
          </w:p>
        </w:tc>
      </w:tr>
      <w:tr>
        <w:trPr>
          <w:trHeight w:val="23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285,175</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270,312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430,646</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450,387</w:t>
            </w:r>
          </w:p>
        </w:tc>
        <w:tc>
          <w:tcPr>
            <w:tcW w:w="14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-2845435</wp:posOffset>
            </wp:positionV>
            <wp:extent cx="129476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18034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-1893570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-1893570</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-1268095</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-1268095</wp:posOffset>
            </wp:positionV>
            <wp:extent cx="85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LOSS (unaudited)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5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680" w:type="dxa"/>
            <w:vAlign w:val="bottom"/>
          </w:tcPr>
          <w:p>
            <w:pPr>
              <w:ind w:left="20"/>
              <w:spacing w:after="0"/>
              <w:rPr>
                <w:sz w:val="20"/>
                <w:szCs w:val="20"/>
                <w:color w:val="auto"/>
              </w:rPr>
            </w:pPr>
            <w:r>
              <w:rPr>
                <w:rFonts w:ascii="Arial" w:cs="Arial" w:eastAsia="Arial" w:hAnsi="Arial"/>
                <w:sz w:val="14"/>
                <w:szCs w:val="14"/>
                <w:color w:val="auto"/>
              </w:rPr>
              <w:t>(in thousands, except per share data)</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23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680" w:type="dxa"/>
            <w:vAlign w:val="bottom"/>
          </w:tcPr>
          <w:p>
            <w:pPr>
              <w:ind w:left="200"/>
              <w:spacing w:after="0"/>
              <w:rPr>
                <w:sz w:val="20"/>
                <w:szCs w:val="20"/>
                <w:color w:val="auto"/>
              </w:rPr>
            </w:pPr>
            <w:r>
              <w:rPr>
                <w:rFonts w:ascii="Arial" w:cs="Arial" w:eastAsia="Arial" w:hAnsi="Arial"/>
                <w:sz w:val="18"/>
                <w:szCs w:val="18"/>
                <w:color w:val="auto"/>
              </w:rPr>
              <w:t>Collaboration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9,565</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27,093</w:t>
            </w:r>
          </w:p>
        </w:tc>
        <w:tc>
          <w:tcPr>
            <w:tcW w:w="2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89,294</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32,337</w:t>
            </w:r>
          </w:p>
        </w:tc>
        <w:tc>
          <w:tcPr>
            <w:tcW w:w="140" w:type="dxa"/>
            <w:vAlign w:val="bottom"/>
          </w:tcPr>
          <w:p>
            <w:pPr>
              <w:spacing w:after="0"/>
              <w:rPr>
                <w:sz w:val="20"/>
                <w:szCs w:val="20"/>
                <w:color w:val="auto"/>
              </w:rPr>
            </w:pPr>
          </w:p>
        </w:tc>
      </w:tr>
      <w:tr>
        <w:trPr>
          <w:trHeight w:val="243"/>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 revenue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6"/>
        </w:trPr>
        <w:tc>
          <w:tcPr>
            <w:tcW w:w="5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10,519</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27,093</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90,804</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32,337</w:t>
            </w:r>
          </w:p>
        </w:tc>
        <w:tc>
          <w:tcPr>
            <w:tcW w:w="140" w:type="dxa"/>
            <w:vAlign w:val="bottom"/>
            <w:tcBorders>
              <w:top w:val="single" w:sz="8" w:color="CFF0FC"/>
            </w:tcBorders>
          </w:tcPr>
          <w:p>
            <w:pPr>
              <w:spacing w:after="0"/>
              <w:rPr>
                <w:sz w:val="20"/>
                <w:szCs w:val="20"/>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680" w:type="dxa"/>
            <w:vAlign w:val="bottom"/>
          </w:tcPr>
          <w:p>
            <w:pPr>
              <w:ind w:left="120"/>
              <w:spacing w:after="0"/>
              <w:rPr>
                <w:sz w:val="20"/>
                <w:szCs w:val="20"/>
                <w:color w:val="auto"/>
              </w:rPr>
            </w:pPr>
            <w:r>
              <w:rPr>
                <w:rFonts w:ascii="Arial" w:cs="Arial" w:eastAsia="Arial" w:hAnsi="Arial"/>
                <w:sz w:val="18"/>
                <w:szCs w:val="18"/>
                <w:color w:val="auto"/>
              </w:rPr>
              <w:t>Research and development,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52,668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38,189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104,436</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83,082</w:t>
            </w:r>
          </w:p>
        </w:tc>
        <w:tc>
          <w:tcPr>
            <w:tcW w:w="140" w:type="dxa"/>
            <w:vAlign w:val="bottom"/>
          </w:tcPr>
          <w:p>
            <w:pPr>
              <w:spacing w:after="0"/>
              <w:rPr>
                <w:sz w:val="20"/>
                <w:szCs w:val="20"/>
                <w:color w:val="auto"/>
              </w:rPr>
            </w:pPr>
          </w:p>
        </w:tc>
      </w:tr>
      <w:tr>
        <w:trPr>
          <w:trHeight w:val="243"/>
        </w:trPr>
        <w:tc>
          <w:tcPr>
            <w:tcW w:w="5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13,225</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26,987</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6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49,182</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131,423</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104,805</w:t>
            </w:r>
          </w:p>
        </w:tc>
        <w:tc>
          <w:tcPr>
            <w:tcW w:w="140" w:type="dxa"/>
            <w:vAlign w:val="bottom"/>
          </w:tcPr>
          <w:p>
            <w:pPr>
              <w:spacing w:after="0"/>
              <w:rPr>
                <w:sz w:val="20"/>
                <w:szCs w:val="20"/>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Loss from equity-method investment</w:t>
            </w:r>
          </w:p>
        </w:tc>
        <w:tc>
          <w:tcPr>
            <w:tcW w:w="260" w:type="dxa"/>
            <w:vAlign w:val="bottom"/>
          </w:tcPr>
          <w:p>
            <w:pPr>
              <w:spacing w:after="0"/>
              <w:rPr>
                <w:sz w:val="20"/>
                <w:szCs w:val="20"/>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(131 )</w:t>
            </w:r>
          </w:p>
        </w:tc>
        <w:tc>
          <w:tcPr>
            <w:tcW w:w="280" w:type="dxa"/>
            <w:vAlign w:val="bottom"/>
          </w:tcPr>
          <w:p>
            <w:pPr>
              <w:spacing w:after="0"/>
              <w:rPr>
                <w:sz w:val="20"/>
                <w:szCs w:val="20"/>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(515 )</w:t>
            </w:r>
          </w:p>
        </w:tc>
      </w:tr>
      <w:tr>
        <w:trPr>
          <w:trHeight w:val="24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(loss) from foreign currency</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(179 )</w:t>
            </w: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40" w:type="dxa"/>
            <w:vAlign w:val="bottom"/>
            <w:shd w:val="clear" w:color="auto" w:fill="CFF0FC"/>
          </w:tcPr>
          <w:p>
            <w:pPr>
              <w:spacing w:after="0"/>
              <w:rPr>
                <w:sz w:val="21"/>
                <w:szCs w:val="21"/>
                <w:color w:val="auto"/>
              </w:rPr>
            </w:pP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260" w:type="dxa"/>
            <w:vAlign w:val="bottom"/>
          </w:tcPr>
          <w:p>
            <w:pPr>
              <w:spacing w:after="0"/>
              <w:rPr>
                <w:sz w:val="20"/>
                <w:szCs w:val="20"/>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33,953</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income (expense), net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(560 )</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(1,124 )</w:t>
            </w:r>
          </w:p>
        </w:tc>
      </w:tr>
      <w:tr>
        <w:trPr>
          <w:trHeight w:val="20"/>
        </w:trPr>
        <w:tc>
          <w:tcPr>
            <w:tcW w:w="5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5680" w:type="dxa"/>
            <w:vAlign w:val="bottom"/>
          </w:tcPr>
          <w:p>
            <w:pPr>
              <w:ind w:left="20"/>
              <w:spacing w:after="0"/>
              <w:rPr>
                <w:sz w:val="20"/>
                <w:szCs w:val="20"/>
                <w:color w:val="auto"/>
              </w:rPr>
            </w:pPr>
            <w:r>
              <w:rPr>
                <w:rFonts w:ascii="Arial" w:cs="Arial" w:eastAsia="Arial" w:hAnsi="Arial"/>
                <w:sz w:val="18"/>
                <w:szCs w:val="18"/>
                <w:color w:val="auto"/>
              </w:rPr>
              <w:t>Net loss before income taxes</w:t>
            </w:r>
          </w:p>
        </w:tc>
        <w:tc>
          <w:tcPr>
            <w:tcW w:w="26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(51,973 )</w:t>
            </w:r>
          </w:p>
        </w:tc>
        <w:tc>
          <w:tcPr>
            <w:tcW w:w="28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(21,563 )</w:t>
            </w:r>
          </w:p>
        </w:tc>
        <w:tc>
          <w:tcPr>
            <w:tcW w:w="28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(1,116 )</w:t>
            </w:r>
          </w:p>
        </w:tc>
        <w:tc>
          <w:tcPr>
            <w:tcW w:w="4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(72,732 )</w:t>
            </w:r>
          </w:p>
        </w:tc>
      </w:tr>
      <w:tr>
        <w:trPr>
          <w:trHeight w:val="24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6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(52,550 )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(21,563 )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(1,796 )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(72,732 )</w:t>
            </w:r>
          </w:p>
        </w:tc>
      </w:tr>
      <w:tr>
        <w:trPr>
          <w:trHeight w:val="20"/>
        </w:trPr>
        <w:tc>
          <w:tcPr>
            <w:tcW w:w="5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Weighted-average shares outstanding, basic and diluted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26,563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26,425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26,557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26,401</w:t>
            </w:r>
          </w:p>
        </w:tc>
        <w:tc>
          <w:tcPr>
            <w:tcW w:w="140" w:type="dxa"/>
            <w:vAlign w:val="bottom"/>
          </w:tcPr>
          <w:p>
            <w:pPr>
              <w:spacing w:after="0"/>
              <w:rPr>
                <w:sz w:val="19"/>
                <w:szCs w:val="19"/>
                <w:color w:val="auto"/>
              </w:rPr>
            </w:pPr>
          </w:p>
        </w:tc>
      </w:tr>
      <w:tr>
        <w:trPr>
          <w:trHeight w:val="24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77"/>
        </w:trPr>
        <w:tc>
          <w:tcPr>
            <w:tcW w:w="56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(52,550 )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(21,563 )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(1,796 )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(72,732 )</w:t>
            </w:r>
          </w:p>
        </w:tc>
      </w:tr>
      <w:tr>
        <w:trPr>
          <w:trHeight w:val="264"/>
        </w:trPr>
        <w:tc>
          <w:tcPr>
            <w:tcW w:w="5680" w:type="dxa"/>
            <w:vAlign w:val="bottom"/>
            <w:tcBorders>
              <w:top w:val="single" w:sz="8" w:color="CFF0FC"/>
              <w:bottom w:val="single" w:sz="8" w:color="CFF0FC"/>
            </w:tcBorders>
            <w:shd w:val="clear" w:color="auto" w:fill="CFF0FC"/>
          </w:tcPr>
          <w:p>
            <w:pPr>
              <w:ind w:left="120"/>
              <w:spacing w:after="0" w:line="176" w:lineRule="exact"/>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FF0FC"/>
          </w:tcPr>
          <w:p>
            <w:pPr>
              <w:jc w:val="right"/>
              <w:ind w:right="70"/>
              <w:spacing w:after="0" w:line="19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0" w:lineRule="exact"/>
              <w:rPr>
                <w:sz w:val="20"/>
                <w:szCs w:val="20"/>
                <w:color w:val="auto"/>
              </w:rPr>
            </w:pPr>
            <w:r>
              <w:rPr>
                <w:rFonts w:ascii="Arial" w:cs="Arial" w:eastAsia="Arial" w:hAnsi="Arial"/>
                <w:sz w:val="18"/>
                <w:szCs w:val="18"/>
                <w:color w:val="auto"/>
              </w:rPr>
              <w:t>(52,550</w:t>
            </w:r>
          </w:p>
        </w:tc>
        <w:tc>
          <w:tcPr>
            <w:tcW w:w="280" w:type="dxa"/>
            <w:vAlign w:val="bottom"/>
            <w:tcBorders>
              <w:top w:val="single" w:sz="8" w:color="CFF0FC"/>
              <w:bottom w:val="single" w:sz="8" w:color="CFF0FC"/>
            </w:tcBorders>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0" w:lineRule="exact"/>
              <w:rPr>
                <w:sz w:val="20"/>
                <w:szCs w:val="20"/>
                <w:color w:val="auto"/>
              </w:rPr>
            </w:pPr>
            <w:r>
              <w:rPr>
                <w:rFonts w:ascii="Arial" w:cs="Arial" w:eastAsia="Arial" w:hAnsi="Arial"/>
                <w:sz w:val="18"/>
                <w:szCs w:val="18"/>
                <w:color w:val="auto"/>
              </w:rPr>
              <w:t>(21,563</w:t>
            </w:r>
          </w:p>
        </w:tc>
        <w:tc>
          <w:tcPr>
            <w:tcW w:w="280" w:type="dxa"/>
            <w:vAlign w:val="bottom"/>
            <w:tcBorders>
              <w:top w:val="single" w:sz="8" w:color="CFF0FC"/>
              <w:bottom w:val="single" w:sz="8" w:color="CFF0FC"/>
            </w:tcBorders>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0" w:lineRule="exact"/>
              <w:rPr>
                <w:sz w:val="20"/>
                <w:szCs w:val="20"/>
                <w:color w:val="auto"/>
              </w:rPr>
            </w:pPr>
            <w:r>
              <w:rPr>
                <w:rFonts w:ascii="Arial" w:cs="Arial" w:eastAsia="Arial" w:hAnsi="Arial"/>
                <w:sz w:val="18"/>
                <w:szCs w:val="18"/>
                <w:color w:val="auto"/>
              </w:rPr>
              <w:t>(1,796</w:t>
            </w:r>
          </w:p>
        </w:tc>
        <w:tc>
          <w:tcPr>
            <w:tcW w:w="280" w:type="dxa"/>
            <w:vAlign w:val="bottom"/>
            <w:tcBorders>
              <w:top w:val="single" w:sz="8" w:color="CFF0FC"/>
              <w:bottom w:val="single" w:sz="8" w:color="CFF0FC"/>
            </w:tcBorders>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(72,732</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-2931160</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-2931160</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-2931160</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-2931160</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-2296795</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-2296795</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-2296795</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-2296795</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-1353820</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-1353820</wp:posOffset>
            </wp:positionV>
            <wp:extent cx="857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-1353820</wp:posOffset>
            </wp:positionV>
            <wp:extent cx="8572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-1353820</wp:posOffset>
            </wp:positionV>
            <wp:extent cx="8572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-1036320</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-1036320</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-1036320</wp:posOffset>
            </wp:positionV>
            <wp:extent cx="8572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-1036320</wp:posOffset>
            </wp:positionV>
            <wp:extent cx="8572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-693420</wp:posOffset>
            </wp:positionV>
            <wp:extent cx="280352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03525" cy="1797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-205105</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-205105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-205105</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-205105</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STOCKHOLDERS’ EQUITY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24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4620" w:type="dxa"/>
            <w:vAlign w:val="bottom"/>
          </w:tcPr>
          <w:p>
            <w:pPr>
              <w:spacing w:after="0"/>
              <w:rPr>
                <w:sz w:val="15"/>
                <w:szCs w:val="15"/>
                <w:color w:val="auto"/>
              </w:rPr>
            </w:pPr>
          </w:p>
        </w:tc>
        <w:tc>
          <w:tcPr>
            <w:tcW w:w="224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BALANCE – December 31, 2021</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26,372</w:t>
            </w:r>
          </w:p>
        </w:tc>
        <w:tc>
          <w:tcPr>
            <w:tcW w:w="1120" w:type="dxa"/>
            <w:vAlign w:val="bottom"/>
            <w:gridSpan w:val="2"/>
            <w:shd w:val="clear" w:color="auto" w:fill="CFF0FC"/>
          </w:tcPr>
          <w:p>
            <w:pPr>
              <w:jc w:val="right"/>
              <w:ind w:right="68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575,675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(347,490 )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228,211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(51,169 )</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(51,169 )</w:t>
            </w: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BALANCE – March 31, 2022</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26,407</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583,382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(398,659</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184,749</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Pr>
          <w:p>
            <w:pPr>
              <w:ind w:left="20"/>
              <w:spacing w:after="0" w:line="156" w:lineRule="exact"/>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128"/>
              <w:spacing w:after="0" w:line="156" w:lineRule="exact"/>
              <w:rPr>
                <w:sz w:val="20"/>
                <w:szCs w:val="20"/>
                <w:color w:val="auto"/>
              </w:rPr>
            </w:pPr>
            <w:r>
              <w:rPr>
                <w:rFonts w:ascii="Arial" w:cs="Arial" w:eastAsia="Arial" w:hAnsi="Arial"/>
                <w:sz w:val="14"/>
                <w:szCs w:val="14"/>
                <w:color w:val="auto"/>
              </w:rPr>
              <w:t>(21,563 )</w:t>
            </w:r>
          </w:p>
        </w:tc>
        <w:tc>
          <w:tcPr>
            <w:tcW w:w="100" w:type="dxa"/>
            <w:vAlign w:val="bottom"/>
          </w:tcPr>
          <w:p>
            <w:pPr>
              <w:spacing w:after="0"/>
              <w:rPr>
                <w:sz w:val="13"/>
                <w:szCs w:val="13"/>
                <w:color w:val="auto"/>
              </w:rPr>
            </w:pPr>
          </w:p>
        </w:tc>
        <w:tc>
          <w:tcPr>
            <w:tcW w:w="11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(21,563 )</w:t>
            </w: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BALANCE – June 30, 2022</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26,434</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590,913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(420,222</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170,717</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4620" w:type="dxa"/>
            <w:vAlign w:val="bottom"/>
          </w:tcPr>
          <w:p>
            <w:pPr>
              <w:spacing w:after="0"/>
              <w:rPr>
                <w:sz w:val="24"/>
                <w:szCs w:val="24"/>
                <w:color w:val="auto"/>
              </w:rPr>
            </w:pPr>
          </w:p>
        </w:tc>
        <w:tc>
          <w:tcPr>
            <w:tcW w:w="224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4620" w:type="dxa"/>
            <w:vAlign w:val="bottom"/>
          </w:tcPr>
          <w:p>
            <w:pPr>
              <w:spacing w:after="0"/>
              <w:rPr>
                <w:sz w:val="15"/>
                <w:szCs w:val="15"/>
                <w:color w:val="auto"/>
              </w:rPr>
            </w:pPr>
          </w:p>
        </w:tc>
        <w:tc>
          <w:tcPr>
            <w:tcW w:w="224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BALANCE – December 31, 2022</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26,555</w:t>
            </w:r>
          </w:p>
        </w:tc>
        <w:tc>
          <w:tcPr>
            <w:tcW w:w="1120" w:type="dxa"/>
            <w:vAlign w:val="bottom"/>
            <w:gridSpan w:val="2"/>
            <w:shd w:val="clear" w:color="auto" w:fill="CFF0FC"/>
          </w:tcPr>
          <w:p>
            <w:pPr>
              <w:jc w:val="right"/>
              <w:ind w:right="68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608,426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(338,141 )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270,312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50,754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50,754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8,182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8,182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BALANCE – March 31, 2023</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26,555</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616,608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(287,387</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329,248</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Pr>
          <w:p>
            <w:pPr>
              <w:ind w:left="20"/>
              <w:spacing w:after="0" w:line="156" w:lineRule="exact"/>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128"/>
              <w:spacing w:after="0" w:line="156" w:lineRule="exact"/>
              <w:rPr>
                <w:sz w:val="20"/>
                <w:szCs w:val="20"/>
                <w:color w:val="auto"/>
              </w:rPr>
            </w:pPr>
            <w:r>
              <w:rPr>
                <w:rFonts w:ascii="Arial" w:cs="Arial" w:eastAsia="Arial" w:hAnsi="Arial"/>
                <w:sz w:val="14"/>
                <w:szCs w:val="14"/>
                <w:color w:val="auto"/>
              </w:rPr>
              <w:t>(52,550 )</w:t>
            </w:r>
          </w:p>
        </w:tc>
        <w:tc>
          <w:tcPr>
            <w:tcW w:w="100" w:type="dxa"/>
            <w:vAlign w:val="bottom"/>
          </w:tcPr>
          <w:p>
            <w:pPr>
              <w:spacing w:after="0"/>
              <w:rPr>
                <w:sz w:val="13"/>
                <w:szCs w:val="13"/>
                <w:color w:val="auto"/>
              </w:rPr>
            </w:pPr>
          </w:p>
        </w:tc>
        <w:tc>
          <w:tcPr>
            <w:tcW w:w="11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(52,550 )</w:t>
            </w: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8,383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8,383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BALANCE – June 30, 2023</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26,574</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625,085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(339,937</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285,175</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-2167890</wp:posOffset>
            </wp:positionV>
            <wp:extent cx="348932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9325" cy="1371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-1687830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-1670685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-1687830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-1670685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-1687830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-1670685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-1687830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-1670685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-1687830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-1670685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-504825</wp:posOffset>
            </wp:positionV>
            <wp:extent cx="348932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89325" cy="1371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CASH FLOWS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7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shd w:val="clear" w:color="auto" w:fill="CFF0FC"/>
          </w:tcPr>
          <w:p>
            <w:pPr>
              <w:spacing w:after="0"/>
              <w:rPr>
                <w:sz w:val="20"/>
                <w:szCs w:val="20"/>
                <w:color w:val="auto"/>
              </w:rPr>
            </w:pPr>
          </w:p>
        </w:tc>
        <w:tc>
          <w:tcPr>
            <w:tcW w:w="600" w:type="dxa"/>
            <w:vAlign w:val="bottom"/>
            <w:tcBorders>
              <w:right w:val="single" w:sz="8" w:color="CFF0FC"/>
            </w:tcBorders>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724"/>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(1,796 )</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1"/>
              </w:rPr>
              <w:t>(72,732 )</w:t>
            </w:r>
          </w:p>
        </w:tc>
      </w:tr>
      <w:tr>
        <w:trPr>
          <w:trHeight w:val="249"/>
        </w:trPr>
        <w:tc>
          <w:tcPr>
            <w:tcW w:w="7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1,315</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0"/>
                <w:szCs w:val="20"/>
                <w:color w:val="auto"/>
              </w:rPr>
            </w:pPr>
          </w:p>
        </w:tc>
      </w:tr>
      <w:tr>
        <w:trPr>
          <w:trHeight w:val="249"/>
        </w:trPr>
        <w:tc>
          <w:tcPr>
            <w:tcW w:w="77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9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16,565</w:t>
            </w:r>
          </w:p>
        </w:tc>
        <w:tc>
          <w:tcPr>
            <w:tcW w:w="34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14,645</w:t>
            </w: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Loss from equity-method investment</w:t>
            </w:r>
          </w:p>
        </w:tc>
        <w:tc>
          <w:tcPr>
            <w:tcW w:w="900" w:type="dxa"/>
            <w:vAlign w:val="bottom"/>
          </w:tcPr>
          <w:p>
            <w:pPr>
              <w:spacing w:after="0"/>
              <w:rPr>
                <w:sz w:val="20"/>
                <w:szCs w:val="20"/>
                <w:color w:val="auto"/>
              </w:rPr>
            </w:pP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20"/>
                <w:szCs w:val="20"/>
                <w:color w:val="auto"/>
              </w:rPr>
            </w:pPr>
          </w:p>
        </w:tc>
      </w:tr>
      <w:tr>
        <w:trPr>
          <w:trHeight w:val="249"/>
        </w:trPr>
        <w:tc>
          <w:tcPr>
            <w:tcW w:w="77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 currency translation loss (gain)</w:t>
            </w:r>
          </w:p>
        </w:tc>
        <w:tc>
          <w:tcPr>
            <w:tcW w:w="9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(1,410 )</w:t>
            </w: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Gain on debt extinguishment</w:t>
            </w:r>
          </w:p>
        </w:tc>
        <w:tc>
          <w:tcPr>
            <w:tcW w:w="90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(33,953 )</w:t>
            </w:r>
          </w:p>
        </w:tc>
        <w:tc>
          <w:tcPr>
            <w:tcW w:w="880" w:type="dxa"/>
            <w:vAlign w:val="bottom"/>
          </w:tcPr>
          <w:p>
            <w:pPr>
              <w:spacing w:after="0"/>
              <w:rPr>
                <w:sz w:val="20"/>
                <w:szCs w:val="20"/>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7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non-cash expenses</w:t>
            </w:r>
          </w:p>
        </w:tc>
        <w:tc>
          <w:tcPr>
            <w:tcW w:w="9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4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7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(35 )</w:t>
            </w: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Prepaid expense and other assets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(933 )</w:t>
            </w:r>
          </w:p>
        </w:tc>
      </w:tr>
      <w:tr>
        <w:trPr>
          <w:trHeight w:val="249"/>
        </w:trPr>
        <w:tc>
          <w:tcPr>
            <w:tcW w:w="77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Right-of-use assets</w:t>
            </w:r>
          </w:p>
        </w:tc>
        <w:tc>
          <w:tcPr>
            <w:tcW w:w="9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34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5,593</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(4,422 )</w:t>
            </w:r>
          </w:p>
        </w:tc>
      </w:tr>
      <w:tr>
        <w:trPr>
          <w:trHeight w:val="249"/>
        </w:trPr>
        <w:tc>
          <w:tcPr>
            <w:tcW w:w="77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90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(2,983 )</w:t>
            </w: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w:t>
            </w: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24,969</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1"/>
              </w:rPr>
              <w:t>(31,474 )</w:t>
            </w:r>
          </w:p>
        </w:tc>
      </w:tr>
      <w:tr>
        <w:trPr>
          <w:trHeight w:val="243"/>
        </w:trPr>
        <w:tc>
          <w:tcPr>
            <w:tcW w:w="77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 liabilities</w:t>
            </w:r>
          </w:p>
        </w:tc>
        <w:tc>
          <w:tcPr>
            <w:tcW w:w="90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(2,105 )</w:t>
            </w:r>
          </w:p>
        </w:tc>
        <w:tc>
          <w:tcPr>
            <w:tcW w:w="8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78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7780" w:type="dxa"/>
            <w:vAlign w:val="bottom"/>
          </w:tcPr>
          <w:p>
            <w:pPr>
              <w:ind w:left="300"/>
              <w:spacing w:after="0"/>
              <w:rPr>
                <w:sz w:val="20"/>
                <w:szCs w:val="20"/>
                <w:color w:val="auto"/>
              </w:rPr>
            </w:pPr>
            <w:r>
              <w:rPr>
                <w:rFonts w:ascii="Arial" w:cs="Arial" w:eastAsia="Arial" w:hAnsi="Arial"/>
                <w:sz w:val="18"/>
                <w:szCs w:val="18"/>
                <w:color w:val="auto"/>
              </w:rPr>
              <w:t>Net cash provided by (used in) operating activities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14,936</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1"/>
              </w:rPr>
              <w:t>(85,860 )</w:t>
            </w:r>
          </w:p>
        </w:tc>
      </w:tr>
      <w:tr>
        <w:trPr>
          <w:trHeight w:val="249"/>
        </w:trPr>
        <w:tc>
          <w:tcPr>
            <w:tcW w:w="7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Acquisition of property and equipment</w:t>
            </w:r>
          </w:p>
        </w:tc>
        <w:tc>
          <w:tcPr>
            <w:tcW w:w="90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(1,045 )</w:t>
            </w:r>
          </w:p>
        </w:tc>
        <w:tc>
          <w:tcPr>
            <w:tcW w:w="8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(1,733 )</w:t>
            </w:r>
          </w:p>
        </w:tc>
      </w:tr>
      <w:tr>
        <w:trPr>
          <w:trHeight w:val="243"/>
        </w:trPr>
        <w:tc>
          <w:tcPr>
            <w:tcW w:w="7780" w:type="dxa"/>
            <w:vAlign w:val="bottom"/>
            <w:tcBorders>
              <w:top w:val="single" w:sz="8" w:color="CFF0FC"/>
              <w:right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340" w:type="dxa"/>
            <w:vAlign w:val="bottom"/>
            <w:tcBorders>
              <w:top w:val="single" w:sz="8" w:color="CFF0FC"/>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7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9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4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Payments on debt obligations</w:t>
            </w:r>
          </w:p>
        </w:tc>
        <w:tc>
          <w:tcPr>
            <w:tcW w:w="90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(27,364 )</w:t>
            </w:r>
          </w:p>
        </w:tc>
        <w:tc>
          <w:tcPr>
            <w:tcW w:w="880" w:type="dxa"/>
            <w:vAlign w:val="bottom"/>
          </w:tcPr>
          <w:p>
            <w:pPr>
              <w:spacing w:after="0"/>
              <w:rPr>
                <w:sz w:val="20"/>
                <w:szCs w:val="20"/>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7780" w:type="dxa"/>
            <w:vAlign w:val="bottom"/>
            <w:tcBorders>
              <w:bottom w:val="single" w:sz="8" w:color="CFF0FC"/>
              <w:right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Net cash (used in) provided by financing activities</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1"/>
              </w:rPr>
              <w:t>(27,270</w:t>
            </w:r>
          </w:p>
        </w:tc>
        <w:tc>
          <w:tcPr>
            <w:tcW w:w="340" w:type="dxa"/>
            <w:vAlign w:val="bottom"/>
            <w:tcBorders>
              <w:bottom w:val="single" w:sz="8" w:color="CFF0FC"/>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0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(13,379 )</w:t>
            </w:r>
          </w:p>
        </w:tc>
        <w:tc>
          <w:tcPr>
            <w:tcW w:w="8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1"/>
              </w:rPr>
              <w:t>(87,000 )</w:t>
            </w:r>
          </w:p>
        </w:tc>
      </w:tr>
      <w:tr>
        <w:trPr>
          <w:trHeight w:val="243"/>
        </w:trPr>
        <w:tc>
          <w:tcPr>
            <w:tcW w:w="77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9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6"/>
              </w:rPr>
              <w:t>393,977</w:t>
            </w:r>
          </w:p>
        </w:tc>
        <w:tc>
          <w:tcPr>
            <w:tcW w:w="340" w:type="dxa"/>
            <w:vAlign w:val="bottom"/>
            <w:tcBorders>
              <w:bottom w:val="single" w:sz="8" w:color="CFF0FC"/>
              <w:right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372,569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the period</w:t>
            </w: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380,598</w:t>
            </w:r>
          </w:p>
        </w:tc>
        <w:tc>
          <w:tcPr>
            <w:tcW w:w="340" w:type="dxa"/>
            <w:vAlign w:val="bottom"/>
          </w:tcPr>
          <w:p>
            <w:pPr>
              <w:spacing w:after="0"/>
              <w:rPr>
                <w:sz w:val="20"/>
                <w:szCs w:val="20"/>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285,569</w:t>
            </w:r>
          </w:p>
        </w:tc>
        <w:tc>
          <w:tcPr>
            <w:tcW w:w="14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5"/>
        </w:trPr>
        <w:tc>
          <w:tcPr>
            <w:tcW w:w="778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77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7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shd w:val="clear" w:color="auto" w:fill="CFF0FC"/>
          </w:tcPr>
          <w:p>
            <w:pPr>
              <w:spacing w:after="0"/>
              <w:rPr>
                <w:sz w:val="20"/>
                <w:szCs w:val="20"/>
                <w:color w:val="auto"/>
              </w:rPr>
            </w:pPr>
          </w:p>
        </w:tc>
        <w:tc>
          <w:tcPr>
            <w:tcW w:w="600" w:type="dxa"/>
            <w:vAlign w:val="bottom"/>
            <w:tcBorders>
              <w:right w:val="single" w:sz="8" w:color="CFF0FC"/>
            </w:tcBorders>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2,102</w:t>
            </w:r>
          </w:p>
        </w:tc>
        <w:tc>
          <w:tcPr>
            <w:tcW w:w="340" w:type="dxa"/>
            <w:vAlign w:val="bottom"/>
          </w:tcPr>
          <w:p>
            <w:pPr>
              <w:spacing w:after="0"/>
              <w:rPr>
                <w:sz w:val="20"/>
                <w:szCs w:val="20"/>
                <w:color w:val="auto"/>
              </w:rPr>
            </w:pP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20"/>
                <w:szCs w:val="20"/>
                <w:color w:val="auto"/>
              </w:rPr>
            </w:pPr>
          </w:p>
        </w:tc>
      </w:tr>
      <w:tr>
        <w:trPr>
          <w:trHeight w:val="249"/>
        </w:trPr>
        <w:tc>
          <w:tcPr>
            <w:tcW w:w="77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9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Right-of-use assets acquired through operating leases</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30,191</w:t>
            </w:r>
          </w:p>
        </w:tc>
        <w:tc>
          <w:tcPr>
            <w:tcW w:w="140" w:type="dxa"/>
            <w:vAlign w:val="bottom"/>
          </w:tcPr>
          <w:p>
            <w:pPr>
              <w:spacing w:after="0"/>
              <w:rPr>
                <w:sz w:val="20"/>
                <w:szCs w:val="20"/>
                <w:color w:val="auto"/>
              </w:rPr>
            </w:pPr>
          </w:p>
        </w:tc>
      </w:tr>
      <w:tr>
        <w:trPr>
          <w:trHeight w:val="249"/>
        </w:trPr>
        <w:tc>
          <w:tcPr>
            <w:tcW w:w="77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Purchase of property and equipment in accounts payable and accrued expenses</w:t>
            </w:r>
          </w:p>
        </w:tc>
        <w:tc>
          <w:tcPr>
            <w:tcW w:w="900" w:type="dxa"/>
            <w:vAlign w:val="bottom"/>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34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-2931160</wp:posOffset>
            </wp:positionV>
            <wp:extent cx="8572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-2931160</wp:posOffset>
            </wp:positionV>
            <wp:extent cx="8572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-2459990</wp:posOffset>
            </wp:positionV>
            <wp:extent cx="857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-2459990</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-1670685</wp:posOffset>
            </wp:positionV>
            <wp:extent cx="85725"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-1670685</wp:posOffset>
            </wp:positionV>
            <wp:extent cx="85725"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-1353820</wp:posOffset>
            </wp:positionV>
            <wp:extent cx="8572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-1353820</wp:posOffset>
            </wp:positionV>
            <wp:extent cx="857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left="360" w:right="260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NOTES TO CONDENSED CONSOLIDATED FINANCIAL STATEMENTS (Unaudited)</w:t>
      </w:r>
    </w:p>
    <w:p>
      <w:pPr>
        <w:spacing w:after="0" w:line="176" w:lineRule="exact"/>
        <w:rPr>
          <w:sz w:val="20"/>
          <w:szCs w:val="20"/>
          <w:color w:val="auto"/>
        </w:rPr>
      </w:pPr>
    </w:p>
    <w:p>
      <w:pPr>
        <w:ind w:right="3380"/>
        <w:spacing w:after="0" w:line="378"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ind w:right="20" w:firstLine="509"/>
        <w:spacing w:after="0" w:line="279" w:lineRule="auto"/>
        <w:rPr>
          <w:sz w:val="20"/>
          <w:szCs w:val="20"/>
          <w:color w:val="auto"/>
        </w:rPr>
      </w:pPr>
      <w:r>
        <w:rPr>
          <w:rFonts w:ascii="Arial" w:cs="Arial" w:eastAsia="Arial" w:hAnsi="Arial"/>
          <w:sz w:val="17"/>
          <w:szCs w:val="17"/>
          <w:color w:val="auto"/>
        </w:rPr>
        <w:t>Arcturus Therapeutics Holdings Inc. (the “Company” or "Arcturus") is a global late-stage clinical messenger RNA medicines company focused on the development of infectious disease vaccines and opportunities within liver and respiratory rare diseases. The Company became a clinical stage company during 2020 when it announced that its Investigational New Drug (“IND”) application for ornithine transcarbamylase (“OTC”) deficiency and its Clinical Trial Application (“CTA”) for candidate LUNAR-COV19 were approved by applicable health authorities.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8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2022.</w:t>
      </w:r>
    </w:p>
    <w:p>
      <w:pPr>
        <w:spacing w:after="0" w:line="76"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These condensed consolidated financial statements are prepared in accordance with GAAP, which requires management to make estimates and assumptions regarding the valuation of debt instruments, the equity-method investment, share-based compensation expense,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Equity Method Investments and Variable Interest Entities</w:t>
      </w:r>
    </w:p>
    <w:p>
      <w:pPr>
        <w:spacing w:after="0" w:line="12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Investments for which the Company exercises significant influence, but does not have control are accounted for under the equity method. Equity method investment activity is related to a 49% joint venture with Axcelead, Inc. and an ownership in GRI Bio, Inc. (formerly Vallon Pharmaceuticals, Inc.) (see “</w:t>
      </w:r>
      <w:r>
        <w:rPr>
          <w:rFonts w:ascii="Arial" w:cs="Arial" w:eastAsia="Arial" w:hAnsi="Arial"/>
          <w:sz w:val="17"/>
          <w:szCs w:val="17"/>
          <w:i w:val="1"/>
          <w:iCs w:val="1"/>
          <w:color w:val="auto"/>
        </w:rPr>
        <w:t>Note 10, Related Party Transactions</w:t>
      </w:r>
      <w:r>
        <w:rPr>
          <w:rFonts w:ascii="Arial" w:cs="Arial" w:eastAsia="Arial" w:hAnsi="Arial"/>
          <w:sz w:val="17"/>
          <w:szCs w:val="17"/>
          <w:color w:val="auto"/>
        </w:rPr>
        <w:t>” for further details). The Company’s share of the investees’ results is presented as either income or loss from equity method investees in the accompanying condensed consolidated statements of operations and comprehensive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Company has incurred significant operating losses since its inception. As of June 30, 2023 and December 31, 2022, the Company had an accumulated deficit of $339.9 million and $338.1 million, respectively.</w:t>
      </w:r>
    </w:p>
    <w:p>
      <w:pPr>
        <w:spacing w:after="0" w:line="62"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June 30, 2023, the Company has funded its operations principally with the proceeds from the sale of capital stock, revenues earned through collaboration agreements and proceeds from long-term debt.</w:t>
      </w:r>
    </w:p>
    <w:p>
      <w:pPr>
        <w:spacing w:after="0" w:line="80"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At June 30, 2023, the Company’s balance of cash and cash equivalents, including restricted cash and non-current restricted cash, was $380.6 million.</w:t>
      </w:r>
    </w:p>
    <w:p>
      <w:pPr>
        <w:spacing w:after="0" w:line="6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180" w:firstLine="509"/>
        <w:spacing w:after="0" w:line="259" w:lineRule="auto"/>
        <w:rPr>
          <w:sz w:val="20"/>
          <w:szCs w:val="20"/>
          <w:color w:val="auto"/>
        </w:rPr>
      </w:pPr>
      <w:r>
        <w:rPr>
          <w:rFonts w:ascii="Arial" w:cs="Arial" w:eastAsia="Arial" w:hAnsi="Arial"/>
          <w:sz w:val="18"/>
          <w:szCs w:val="18"/>
          <w:color w:val="auto"/>
        </w:rPr>
        <w:t>In making decisions regarding resource allocation and assessing performance, the chief operating decision-maker identifies operating segments as components of an enterprise for which separate discrete financial information is available for evaluation. The Company and its chief operating decision-maker view the Company’s operations and manage its business in one operating segment, which is the research and development of medical applications for the Company’s nucleic acid-focused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At contract inception, the Company analyzes executed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spacing w:after="0" w:line="80" w:lineRule="exact"/>
        <w:rPr>
          <w:sz w:val="20"/>
          <w:szCs w:val="20"/>
          <w:color w:val="auto"/>
        </w:rPr>
      </w:pPr>
    </w:p>
    <w:p>
      <w:pPr>
        <w:ind w:right="200" w:firstLine="509"/>
        <w:spacing w:after="0" w:line="286" w:lineRule="auto"/>
        <w:rPr>
          <w:sz w:val="20"/>
          <w:szCs w:val="20"/>
          <w:color w:val="auto"/>
        </w:rPr>
      </w:pPr>
      <w:r>
        <w:rPr>
          <w:rFonts w:ascii="Arial" w:cs="Arial" w:eastAsia="Arial" w:hAnsi="Arial"/>
          <w:sz w:val="17"/>
          <w:szCs w:val="17"/>
          <w:color w:val="auto"/>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Ccurompany satisfies a performance obligation.</w:t>
      </w:r>
    </w:p>
    <w:p>
      <w:pPr>
        <w:spacing w:after="0" w:line="57"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0"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76"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estimates and use judgment. If estimates or judgments change over the course of the collaboration, a cumulative catch up of revenue is recognized in the period such changes are identified.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Revenue” for specific details surrounding the Company’s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similar economic environments. Lease expense for lease payments is recognized on a straight-line basis over the lease term. The Company has elected the practical expedient to not separate lease and non-lease components.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9, Commitments and Contingencies”</w:t>
      </w:r>
      <w:r>
        <w:rPr>
          <w:rFonts w:ascii="Arial" w:cs="Arial" w:eastAsia="Arial" w:hAnsi="Arial"/>
          <w:sz w:val="18"/>
          <w:szCs w:val="18"/>
          <w:color w:val="auto"/>
        </w:rPr>
        <w:t xml:space="preserve"> for specific details surrounding the Company’s leases.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Research and Development Costs, Net</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performance of research and development services are capitalized until the services are performed.</w:t>
      </w:r>
    </w:p>
    <w:p>
      <w:pPr>
        <w:spacing w:after="0" w:line="6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w:t>
      </w:r>
    </w:p>
    <w:p>
      <w:pPr>
        <w:spacing w:after="0" w:line="79" w:lineRule="exact"/>
        <w:rPr>
          <w:sz w:val="20"/>
          <w:szCs w:val="20"/>
          <w:color w:val="auto"/>
        </w:rPr>
      </w:pPr>
    </w:p>
    <w:p>
      <w:pPr>
        <w:jc w:val="both"/>
        <w:ind w:right="100" w:firstLine="509"/>
        <w:spacing w:after="0" w:line="301" w:lineRule="auto"/>
        <w:rPr>
          <w:sz w:val="20"/>
          <w:szCs w:val="20"/>
          <w:color w:val="auto"/>
        </w:rPr>
      </w:pPr>
      <w:r>
        <w:rPr>
          <w:rFonts w:ascii="Arial" w:cs="Arial" w:eastAsia="Arial" w:hAnsi="Arial"/>
          <w:sz w:val="16"/>
          <w:szCs w:val="16"/>
          <w:color w:val="auto"/>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Pre-Launch Inventory</w:t>
      </w:r>
    </w:p>
    <w:p>
      <w:pPr>
        <w:spacing w:after="0" w:line="12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Prior to obtaining initial regulatory approval for an investigational product candidate, the Company expenses costs relating to production of inventory as research and development expense in its condensed consolidated statements of operations and comprehensive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include our restricted cash balance in the cash, cash equivalents and restricted cash reconciliation of operating, investing and financing activities in the condensed consolidated statements of cash flows.</w:t>
      </w:r>
    </w:p>
    <w:p>
      <w:pPr>
        <w:spacing w:after="0" w:line="6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June 30, 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June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323,471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restricted cash</w:t>
            </w: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Total cash, cash equivalents and restricted</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380,598</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285,569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40"/>
              <w:spacing w:after="0" w:line="203" w:lineRule="exact"/>
              <w:rPr>
                <w:sz w:val="20"/>
                <w:szCs w:val="20"/>
                <w:color w:val="auto"/>
              </w:rPr>
            </w:pPr>
            <w:r>
              <w:rPr>
                <w:rFonts w:ascii="Arial" w:cs="Arial" w:eastAsia="Arial" w:hAnsi="Arial"/>
                <w:sz w:val="18"/>
                <w:szCs w:val="18"/>
                <w:color w:val="auto"/>
              </w:rPr>
              <w:t>cash shown in the statement of cash flows</w:t>
            </w:r>
          </w:p>
        </w:tc>
        <w:tc>
          <w:tcPr>
            <w:tcW w:w="1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-299720</wp:posOffset>
            </wp:positionV>
            <wp:extent cx="60325"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-299720</wp:posOffset>
            </wp:positionV>
            <wp:extent cx="59690"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3003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Not Yet Adopted</w:t>
      </w:r>
    </w:p>
    <w:p>
      <w:pPr>
        <w:spacing w:after="0" w:line="12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the condensed consolidated financial statements and disclosures.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ind w:right="180" w:firstLine="509"/>
        <w:spacing w:after="0" w:line="288"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as well as consulting, related technology transfer and product revenue agreements. Under these arrangements, the Company is entitled to receive license fees, consulting fees, product fees, technological transfer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60"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following table presents changes during the six months ended June 30, 2023 in the balances of contract assets and liabilities as compared to what was disclosed in the Company’s Annual Report.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76"/>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6"/>
                <w:szCs w:val="16"/>
                <w:color w:val="auto"/>
              </w:rPr>
            </w:pPr>
          </w:p>
        </w:tc>
        <w:tc>
          <w:tcPr>
            <w:tcW w:w="1340" w:type="dxa"/>
            <w:vAlign w:val="bottom"/>
          </w:tcPr>
          <w:p>
            <w:pPr>
              <w:jc w:val="right"/>
              <w:ind w:right="296"/>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6"/>
                <w:szCs w:val="16"/>
                <w:color w:val="auto"/>
              </w:rPr>
            </w:pPr>
          </w:p>
        </w:tc>
      </w:tr>
      <w:tr>
        <w:trPr>
          <w:trHeight w:val="244"/>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60" w:type="dxa"/>
            <w:vAlign w:val="bottom"/>
            <w:tcBorders>
              <w:top w:val="single" w:sz="8" w:color="auto"/>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7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jc w:val="right"/>
              <w:ind w:right="27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2,764</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115,948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(115,913 )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2,799</w:t>
            </w:r>
          </w:p>
        </w:tc>
        <w:tc>
          <w:tcPr>
            <w:tcW w:w="140" w:type="dxa"/>
            <w:vAlign w:val="bottom"/>
          </w:tcPr>
          <w:p>
            <w:pPr>
              <w:spacing w:after="0"/>
              <w:rPr>
                <w:sz w:val="20"/>
                <w:szCs w:val="20"/>
                <w:color w:val="auto"/>
              </w:rPr>
            </w:pPr>
          </w:p>
        </w:tc>
      </w:tr>
      <w:tr>
        <w:trPr>
          <w:trHeight w:val="256"/>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4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460" w:type="dxa"/>
            <w:vAlign w:val="bottom"/>
          </w:tcPr>
          <w:p>
            <w:pPr>
              <w:jc w:val="right"/>
              <w:ind w:right="27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48,719</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115,773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(90,804 )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73,688</w:t>
            </w:r>
          </w:p>
        </w:tc>
        <w:tc>
          <w:tcPr>
            <w:tcW w:w="140" w:type="dxa"/>
            <w:vAlign w:val="bottom"/>
          </w:tcPr>
          <w:p>
            <w:pPr>
              <w:spacing w:after="0"/>
              <w:rPr>
                <w:sz w:val="20"/>
                <w:szCs w:val="20"/>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revenues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Ended June 30,</w:t>
            </w:r>
          </w:p>
        </w:tc>
        <w:tc>
          <w:tcPr>
            <w:tcW w:w="8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Ended June 30,</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50"/>
        </w:trPr>
        <w:tc>
          <w:tcPr>
            <w:tcW w:w="4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55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21"/>
                <w:szCs w:val="21"/>
                <w:color w:val="auto"/>
              </w:rPr>
            </w:pPr>
          </w:p>
        </w:tc>
      </w:tr>
      <w:tr>
        <w:trPr>
          <w:trHeight w:val="237"/>
        </w:trPr>
        <w:tc>
          <w:tcPr>
            <w:tcW w:w="46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1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760" w:type="dxa"/>
            <w:vAlign w:val="bottom"/>
            <w:gridSpan w:val="2"/>
          </w:tcPr>
          <w:p>
            <w:pPr>
              <w:ind w:left="200"/>
              <w:spacing w:after="0"/>
              <w:rPr>
                <w:sz w:val="20"/>
                <w:szCs w:val="20"/>
                <w:color w:val="auto"/>
              </w:rPr>
            </w:pPr>
            <w:r>
              <w:rPr>
                <w:rFonts w:ascii="Arial" w:cs="Arial" w:eastAsia="Arial" w:hAnsi="Arial"/>
                <w:sz w:val="18"/>
                <w:szCs w:val="18"/>
                <w:color w:val="auto"/>
              </w:rPr>
              <w:t>CSL Seqirus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7,607</w:t>
            </w:r>
          </w:p>
        </w:tc>
        <w:tc>
          <w:tcPr>
            <w:tcW w:w="7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85,824</w:t>
            </w:r>
          </w:p>
        </w:tc>
        <w:tc>
          <w:tcPr>
            <w:tcW w:w="9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Vinbiocare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w:t>
            </w:r>
          </w:p>
        </w:tc>
        <w:tc>
          <w:tcPr>
            <w:tcW w:w="140" w:type="dxa"/>
            <w:vAlign w:val="bottom"/>
            <w:shd w:val="clear" w:color="auto" w:fill="CFF0FC"/>
          </w:tcPr>
          <w:p>
            <w:pPr>
              <w:spacing w:after="0"/>
              <w:rPr>
                <w:sz w:val="21"/>
                <w:szCs w:val="21"/>
                <w:color w:val="auto"/>
              </w:rPr>
            </w:pPr>
          </w:p>
        </w:tc>
      </w:tr>
      <w:tr>
        <w:trPr>
          <w:trHeight w:val="237"/>
        </w:trPr>
        <w:tc>
          <w:tcPr>
            <w:tcW w:w="4760" w:type="dxa"/>
            <w:vAlign w:val="bottom"/>
            <w:gridSpan w:val="2"/>
          </w:tcPr>
          <w:p>
            <w:pPr>
              <w:ind w:left="200"/>
              <w:spacing w:after="0"/>
              <w:rPr>
                <w:sz w:val="20"/>
                <w:szCs w:val="20"/>
                <w:color w:val="auto"/>
              </w:rPr>
            </w:pPr>
            <w:r>
              <w:rPr>
                <w:rFonts w:ascii="Arial" w:cs="Arial" w:eastAsia="Arial" w:hAnsi="Arial"/>
                <w:sz w:val="18"/>
                <w:szCs w:val="18"/>
                <w:color w:val="auto"/>
              </w:rPr>
              <w:t>Janssen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Pr>
          <w:p>
            <w:pPr>
              <w:spacing w:after="0"/>
              <w:rPr>
                <w:sz w:val="20"/>
                <w:szCs w:val="20"/>
                <w:color w:val="auto"/>
              </w:rPr>
            </w:pPr>
          </w:p>
        </w:tc>
      </w:tr>
      <w:tr>
        <w:trPr>
          <w:trHeight w:val="249"/>
        </w:trPr>
        <w:tc>
          <w:tcPr>
            <w:tcW w:w="47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Israel Ministry of Health</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shd w:val="clear" w:color="auto" w:fill="CFF0FC"/>
          </w:tcPr>
          <w:p>
            <w:pPr>
              <w:spacing w:after="0"/>
              <w:rPr>
                <w:sz w:val="21"/>
                <w:szCs w:val="21"/>
                <w:color w:val="auto"/>
              </w:rPr>
            </w:pPr>
          </w:p>
        </w:tc>
      </w:tr>
      <w:tr>
        <w:trPr>
          <w:trHeight w:val="237"/>
        </w:trPr>
        <w:tc>
          <w:tcPr>
            <w:tcW w:w="476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color w:val="auto"/>
              </w:rPr>
              <w:t>Other collaboration revenue</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2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280" w:type="dxa"/>
            <w:vAlign w:val="bottom"/>
            <w:tcBorders>
              <w:bottom w:val="single" w:sz="8" w:color="CFF0FC"/>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Borders>
              <w:bottom w:val="single" w:sz="8" w:color="CFF0FC"/>
            </w:tcBorders>
          </w:tcPr>
          <w:p>
            <w:pPr>
              <w:spacing w:after="0"/>
              <w:rPr>
                <w:sz w:val="20"/>
                <w:szCs w:val="20"/>
                <w:color w:val="auto"/>
              </w:rPr>
            </w:pPr>
          </w:p>
        </w:tc>
      </w:tr>
      <w:tr>
        <w:trPr>
          <w:trHeight w:val="277"/>
        </w:trPr>
        <w:tc>
          <w:tcPr>
            <w:tcW w:w="47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collaboration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9,565</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27,093</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89,294</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Grant revenue: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47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BARDA</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760" w:type="dxa"/>
            <w:vAlign w:val="bottom"/>
            <w:gridSpan w:val="2"/>
          </w:tcPr>
          <w:p>
            <w:pPr>
              <w:ind w:left="380"/>
              <w:spacing w:after="0"/>
              <w:rPr>
                <w:sz w:val="20"/>
                <w:szCs w:val="20"/>
                <w:color w:val="auto"/>
              </w:rPr>
            </w:pPr>
            <w:r>
              <w:rPr>
                <w:rFonts w:ascii="Arial" w:cs="Arial" w:eastAsia="Arial" w:hAnsi="Arial"/>
                <w:sz w:val="18"/>
                <w:szCs w:val="18"/>
                <w:color w:val="auto"/>
              </w:rPr>
              <w:t>Total grant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954</w:t>
            </w:r>
          </w:p>
        </w:tc>
        <w:tc>
          <w:tcPr>
            <w:tcW w:w="7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1,510</w:t>
            </w:r>
          </w:p>
        </w:tc>
        <w:tc>
          <w:tcPr>
            <w:tcW w:w="9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-685165</wp:posOffset>
            </wp:positionV>
            <wp:extent cx="3274695"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74695" cy="34290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-187960</wp:posOffset>
            </wp:positionV>
            <wp:extent cx="857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-187960</wp:posOffset>
            </wp:positionV>
            <wp:extent cx="8572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8572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The following paragraphs provide information regarding the nature and purpose of the Company’s most significant collaboration and grant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CSL Seqirus</w:t>
      </w:r>
    </w:p>
    <w:p>
      <w:pPr>
        <w:spacing w:after="0" w:line="117" w:lineRule="exact"/>
        <w:rPr>
          <w:sz w:val="20"/>
          <w:szCs w:val="20"/>
          <w:color w:val="auto"/>
        </w:rPr>
      </w:pPr>
    </w:p>
    <w:p>
      <w:pPr>
        <w:ind w:right="20" w:firstLine="509"/>
        <w:spacing w:after="0" w:line="264" w:lineRule="auto"/>
        <w:rPr>
          <w:sz w:val="20"/>
          <w:szCs w:val="20"/>
          <w:color w:val="auto"/>
        </w:rPr>
      </w:pPr>
      <w:r>
        <w:rPr>
          <w:rFonts w:ascii="Arial" w:cs="Arial" w:eastAsia="Arial" w:hAnsi="Arial"/>
          <w:sz w:val="17"/>
          <w:szCs w:val="17"/>
          <w:color w:val="auto"/>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will provide CSL Seqirus with an exclusive global license to its STARR</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self-amplifying mRNA technology, LUNAR</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respiratory infectious diseases.</w:t>
      </w:r>
    </w:p>
    <w:p>
      <w:pPr>
        <w:spacing w:after="0" w:line="7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Company received a $200.0 million upfront payment and is eligible to receive over $1.3 billion in development milestones if all products are registered in the licensed fields and entitled to potentially receive up to $3.0 billion in commercial milestones based on net sales of vaccines in the various fields. In addition, the Company is eligible to receive a 40% net profit share for COVID-19 vaccine products and up to low double-digit royalties for vaccines against flu, pandemic preparedness and three other respiratory pathogens.</w:t>
      </w:r>
    </w:p>
    <w:p>
      <w:pPr>
        <w:spacing w:after="0" w:line="79"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In March 2023, Arcturus achieved development milestones, including milestones associated with nominating next generation vaccine candidates, resulting in $90.0 million received from CSL Seqirus during the second quarter of 2023. In April 2023 the Company also received an advance payment of $23.6 million for the manufacturing and supply of ARCT-154 drug product. The advance payment was for specified manufacturing runs of ARCT-154 which includes the drug substance utilized, as well as the reservation fees and related manufacturing requirements. The Company concluded that the promise to manufacture and supply ARCT-154 drug product is a customer option as part of the CSL Collaboration Agreement and is accounted for as a separate contract. The advance payment of $23.6 million is included in deferred revenue as of June 30, 2023.</w:t>
      </w:r>
    </w:p>
    <w:p>
      <w:pPr>
        <w:spacing w:after="0" w:line="5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evaluating the CSL Collaboration Agreement in accordance with Accounting Standards Codification (“ASC”) Topic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spacing w:after="0" w:line="84"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As of June 30, 2023, the transaction price consisted of upfront consideration received and milestones achieved in March 2023. There were no milestones achieved during the second quarter of 2023. Additional variable consideration was not included in the transaction price at June 30, 2023 because the Company could not conclude that it is probable that including the variable consideration will not result in a significant revenue reversal.</w:t>
      </w:r>
    </w:p>
    <w:p>
      <w:pPr>
        <w:spacing w:after="0" w:line="5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The Company allocated the transaction price to the performance obligations in proportion to their standalone selling price. The vaccine license was recognized at the point in time when it was transferred and any additional consideration allocated to the license is recognized at the point that the consideration becomes probable of non-reversal as the performance obligation has been delivered.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during the quarter ended June 30, 2023 relates to the license delivered, milestones achieved and services performed.</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deferred revenue as of June 30, 2023 and December 31, 2022 was $73.4 million and $45.6 million,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Vinbiocare</w:t>
      </w:r>
    </w:p>
    <w:p>
      <w:pPr>
        <w:spacing w:after="0" w:line="117"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During 2021 the Company entered into certain agreements (collectively, the “Vinbiocare License &amp; Supply Agreements”) with Vinbiocare Biotechnology Joint Stock Company (“Vinbiocare”), a member of Vingroup Joint Stock Company, whereby the Company would provide technical expertise and support services to Vinbiocare to assist in the build out of a mRNA drug product manufacturing facility in Vietnam. The Company received an upfront payment in aggregate of $40.0 million as part of the Vinbiocare License &amp; Supply Agreements. In October 2022, the Company and Vinbiocare executed a letter of agreement terminating the License &amp; Supply Agreements. The Company incurred no financial penalties in connection with the termination of the License &amp; Supply Agreements and has no further financial obligations to Vinbiocare under these terminated agreements.</w:t>
      </w:r>
    </w:p>
    <w:p>
      <w:pPr>
        <w:spacing w:after="0" w:line="5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October 2022, in association with the termination of the License &amp; Supply Agreements, the Company signed the Study Support Agreement with Vinbiocare which provides that Vinbiocare shall continue to serve as the regulatory and financial sponsor of clinical studies conducted in Vietnam of ARCT-154 pursuant to the Company’s arrangements with Vinbiocare (the “Study Support Agreement”). To support the continuing activities of these studies, the Study Support Agreement further provides for the Company to conduct certain services and to compensate Vinbiocare to help achieve the objectives of these studies. In February 2023, the Company agreed to provide additional financial support in the amount of approximately $2.1 million to allow Vinbiocare to provide additional study support duties related to the ARCT-154 clinical study. As a result, the Company reserved $11.8 million of the original upfront payment to be paid to Vinbiocare over the future periods pursuant to the Study Support Agreement by reclassifying a portion of the upfront payment received from Vinbiocare pursuant to the License &amp; Supply Agreements, from deferred revenue to short-term and long-term liabilities, based on the anticipated timing of the payments to Vinbiocare, and removed that portion of the upfront payment from the transaction price of the modified arrangement. The transaction price was not adjusted for payments that are contingent upon the occurrence of future regulatory or sales-related events based on the information currently available to the Company.</w:t>
      </w:r>
    </w:p>
    <w:p>
      <w:pPr>
        <w:spacing w:after="0" w:line="74"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has concluded that it has no remaining performance obligations under its prior arrangements with Vinbiocare as summarized above as of June 30, 2023. As of June 30, 2023, the Company has accrued liabilities related to this arrangement of $4.0 million in current liabilities and $1.4 million in non-current liabilities that will be paid upon the occurrence of specified events through the first quarter of 2025. Vinbiocare is also eligible to receive a single digit percentage of amounts from net sales, if any, of ARCT-154 (or next-generation COVID vaccine) up to a capped amount of low single digit millions. The Company has no remaining deferred revenue as of June 30, 2023 and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Janssen</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 The Company received an upfront payment of $7.7 million and was reimbursed for research costs as incurred.</w:t>
      </w:r>
    </w:p>
    <w:p>
      <w:pPr>
        <w:spacing w:after="0" w:line="7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On October 31, 2022, Arcturus received notice of termination from Janssen Pharmaceuticals, Inc. of the 2017 Agreement, and the termination was effective as of December 30, 2022. The Company did not incur any penalties as a result of this termination. As of June 30, 2023, the licenses granted to Janssen have terminated and the Company recognized the remaining upfront consideration received and development milestone achieved in October of 2021.</w:t>
      </w:r>
    </w:p>
    <w:p>
      <w:pPr>
        <w:spacing w:after="0" w:line="79"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Company has no remaining deferred revenue as of June 30, 2023 and total deferred revenue as of December 31, 2022 for Janssen was $0.4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BARDA Grant</w:t>
      </w:r>
    </w:p>
    <w:p>
      <w:pPr>
        <w:spacing w:after="0" w:line="117"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In August 2022, the Company entered into a cost reimbursement contract with the Biomedical Advanced Research and Development Authority ("BARDA"), a division of the Office of the Assistant Secretary for Preparedness and Response (ASPR) within the U.S. Department of Health and Human</w:t>
      </w:r>
    </w:p>
    <w:p>
      <w:pPr>
        <w:ind w:right="220"/>
        <w:spacing w:after="0" w:line="214" w:lineRule="auto"/>
        <w:rPr>
          <w:sz w:val="20"/>
          <w:szCs w:val="20"/>
          <w:color w:val="auto"/>
        </w:rPr>
      </w:pPr>
      <w:r>
        <w:rPr>
          <w:rFonts w:ascii="Arial" w:cs="Arial" w:eastAsia="Arial" w:hAnsi="Arial"/>
          <w:sz w:val="18"/>
          <w:szCs w:val="18"/>
          <w:color w:val="auto"/>
        </w:rPr>
        <w:t>Services (HHS) for an award of up to $63.2 million for the development of a pandemic influenza vaccine using the Company's STARR</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self-amplifying mRNA vaccine platform technology. The Company earns grant revenue for performing tasks under the agreement.</w:t>
      </w:r>
    </w:p>
    <w:p>
      <w:pPr>
        <w:spacing w:after="0" w:line="9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Company determined that the agreement with BARDA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expenses in the Company’s condensed consolidated statements of operations and comprehensive loss.</w:t>
      </w:r>
    </w:p>
    <w:p>
      <w:pPr>
        <w:spacing w:after="0" w:line="80"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recognized $1.0 million and $1.5 million of revenue during the three and six months ended June 30, 2023, respectively. As of June 30, 2023, the remaining available funding net of revenue earned was $61.4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The carrying value of cash, restricted cash, accounts receivable, accounts payable, accrued liabilities and the Singapore Loan (as defined below) approximate their respective fair values due to their relative short maturities. Prior to payoff of long-term debt in Q1 2023, the carrying amounts of long-term debt for the amount drawn on the Company’s debt facility approximated fair value as the interest rate was variable and reflected current market rates.</w:t>
      </w:r>
    </w:p>
    <w:p>
      <w:pPr>
        <w:spacing w:after="0" w:line="41" w:lineRule="exact"/>
        <w:rPr>
          <w:sz w:val="20"/>
          <w:szCs w:val="20"/>
          <w:color w:val="auto"/>
        </w:rPr>
      </w:pPr>
    </w:p>
    <w:p>
      <w:pPr>
        <w:jc w:val="both"/>
        <w:ind w:right="80" w:firstLine="509"/>
        <w:spacing w:after="0" w:line="342" w:lineRule="auto"/>
        <w:rPr>
          <w:sz w:val="20"/>
          <w:szCs w:val="20"/>
          <w:color w:val="auto"/>
        </w:rPr>
      </w:pPr>
      <w:r>
        <w:rPr>
          <w:rFonts w:ascii="Arial" w:cs="Arial" w:eastAsia="Arial" w:hAnsi="Arial"/>
          <w:sz w:val="16"/>
          <w:szCs w:val="16"/>
          <w:color w:val="auto"/>
        </w:rPr>
        <w:t>As of June 30, 2023 and December 31, 2022,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balances consisted of the following:</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June 30, 2023</w:t>
            </w:r>
          </w:p>
        </w:tc>
        <w:tc>
          <w:tcPr>
            <w:tcW w:w="1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December 31, 2022</w:t>
            </w:r>
          </w:p>
        </w:tc>
      </w:tr>
      <w:tr>
        <w:trPr>
          <w:trHeight w:val="237"/>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15,087</w:t>
            </w: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shd w:val="clear" w:color="auto" w:fill="CFF0FC"/>
          </w:tcPr>
          <w:p>
            <w:pPr>
              <w:spacing w:after="0"/>
              <w:rPr>
                <w:sz w:val="20"/>
                <w:szCs w:val="20"/>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r>
      <w:tr>
        <w:trPr>
          <w:trHeight w:val="24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FF0FC"/>
          </w:tcPr>
          <w:p>
            <w:pPr>
              <w:spacing w:after="0"/>
              <w:rPr>
                <w:sz w:val="21"/>
                <w:szCs w:val="2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0"/>
                <w:szCs w:val="20"/>
                <w:color w:val="auto"/>
              </w:rPr>
            </w:pPr>
          </w:p>
        </w:tc>
      </w:tr>
      <w:tr>
        <w:trPr>
          <w:trHeight w:val="24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CFF0FC"/>
          </w:tcPr>
          <w:p>
            <w:pPr>
              <w:spacing w:after="0"/>
              <w:rPr>
                <w:sz w:val="21"/>
                <w:szCs w:val="21"/>
                <w:color w:val="auto"/>
              </w:rPr>
            </w:pPr>
          </w:p>
        </w:tc>
      </w:tr>
      <w:tr>
        <w:trPr>
          <w:trHeight w:val="230"/>
        </w:trPr>
        <w:tc>
          <w:tcPr>
            <w:tcW w:w="48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19,820</w:t>
            </w:r>
          </w:p>
        </w:tc>
        <w:tc>
          <w:tcPr>
            <w:tcW w:w="24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18,198</w:t>
            </w:r>
          </w:p>
        </w:tc>
        <w:tc>
          <w:tcPr>
            <w:tcW w:w="100" w:type="dxa"/>
            <w:vAlign w:val="bottom"/>
            <w:tcBorders>
              <w:top w:val="single" w:sz="8" w:color="CFF0FC"/>
            </w:tcBorders>
          </w:tcPr>
          <w:p>
            <w:pPr>
              <w:spacing w:after="0"/>
              <w:rPr>
                <w:sz w:val="20"/>
                <w:szCs w:val="20"/>
                <w:color w:val="auto"/>
              </w:rPr>
            </w:pPr>
          </w:p>
        </w:tc>
      </w:tr>
      <w:tr>
        <w:trPr>
          <w:trHeight w:val="24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(7,098 )</w:t>
            </w:r>
          </w:p>
        </w:tc>
        <w:tc>
          <w:tcPr>
            <w:tcW w:w="4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(5,783 )</w:t>
            </w:r>
          </w:p>
        </w:tc>
      </w:tr>
      <w:tr>
        <w:trPr>
          <w:trHeight w:val="237"/>
        </w:trPr>
        <w:tc>
          <w:tcPr>
            <w:tcW w:w="48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12,722</w:t>
            </w:r>
          </w:p>
        </w:tc>
        <w:tc>
          <w:tcPr>
            <w:tcW w:w="24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12,415</w:t>
            </w:r>
          </w:p>
        </w:tc>
        <w:tc>
          <w:tcPr>
            <w:tcW w:w="100" w:type="dxa"/>
            <w:vAlign w:val="bottom"/>
            <w:tcBorders>
              <w:top w:val="single" w:sz="8" w:color="CFF0FC"/>
            </w:tcBorders>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-504825</wp:posOffset>
            </wp:positionV>
            <wp:extent cx="6858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-504825</wp:posOffset>
            </wp:positionV>
            <wp:extent cx="5969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-187960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Depreciation and amortization expense was $0.7 million and $1.3 million for the three and six months ended June 30, 2023, respectively, and $0.4 million and $0.6 million for the three and six months ended June 30, 2022, respectively. Construction in progress at December 31, 2022 primarily includes research equipment that was placed into service during 2023.</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June 30, 2023</w:t>
            </w:r>
          </w:p>
        </w:tc>
        <w:tc>
          <w:tcPr>
            <w:tcW w:w="24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100" w:type="dxa"/>
            <w:vAlign w:val="bottom"/>
          </w:tcPr>
          <w:p>
            <w:pPr>
              <w:spacing w:after="0"/>
              <w:rPr>
                <w:sz w:val="16"/>
                <w:szCs w:val="16"/>
                <w:color w:val="auto"/>
              </w:rPr>
            </w:pPr>
          </w:p>
        </w:tc>
      </w:tr>
      <w:tr>
        <w:trPr>
          <w:trHeight w:val="237"/>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8,717</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FF0FC"/>
          </w:tcPr>
          <w:p>
            <w:pPr>
              <w:spacing w:after="0"/>
              <w:rPr>
                <w:sz w:val="20"/>
                <w:szCs w:val="20"/>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r>
      <w:tr>
        <w:trPr>
          <w:trHeight w:val="24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w:t>
            </w:r>
          </w:p>
        </w:tc>
        <w:tc>
          <w:tcPr>
            <w:tcW w:w="100" w:type="dxa"/>
            <w:vAlign w:val="bottom"/>
            <w:shd w:val="clear" w:color="auto" w:fill="CFF0FC"/>
          </w:tcPr>
          <w:p>
            <w:pPr>
              <w:spacing w:after="0"/>
              <w:rPr>
                <w:sz w:val="21"/>
                <w:szCs w:val="2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Clinical accruals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Pr>
          <w:p>
            <w:pPr>
              <w:spacing w:after="0"/>
              <w:rPr>
                <w:sz w:val="20"/>
                <w:szCs w:val="20"/>
                <w:color w:val="auto"/>
              </w:rPr>
            </w:pPr>
          </w:p>
        </w:tc>
      </w:tr>
      <w:tr>
        <w:trPr>
          <w:trHeight w:val="24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Vinbiocare contractual liabilities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7,468</w:t>
            </w:r>
          </w:p>
        </w:tc>
        <w:tc>
          <w:tcPr>
            <w:tcW w:w="100" w:type="dxa"/>
            <w:vAlign w:val="bottom"/>
            <w:shd w:val="clear" w:color="auto" w:fill="CFF0FC"/>
          </w:tcPr>
          <w:p>
            <w:pPr>
              <w:spacing w:after="0"/>
              <w:rPr>
                <w:sz w:val="21"/>
                <w:szCs w:val="2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Other accrued research and development expenses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7,843</w:t>
            </w:r>
          </w:p>
        </w:tc>
        <w:tc>
          <w:tcPr>
            <w:tcW w:w="2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9,016</w:t>
            </w:r>
          </w:p>
        </w:tc>
        <w:tc>
          <w:tcPr>
            <w:tcW w:w="100" w:type="dxa"/>
            <w:vAlign w:val="bottom"/>
          </w:tcPr>
          <w:p>
            <w:pPr>
              <w:spacing w:after="0"/>
              <w:rPr>
                <w:sz w:val="21"/>
                <w:szCs w:val="21"/>
                <w:color w:val="auto"/>
              </w:rPr>
            </w:pPr>
          </w:p>
        </w:tc>
      </w:tr>
      <w:tr>
        <w:trPr>
          <w:trHeight w:val="270"/>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28,763</w:t>
            </w:r>
          </w:p>
        </w:tc>
        <w:tc>
          <w:tcPr>
            <w:tcW w:w="24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Wells Fargo Credit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5" w:name="page16"/>
    <w:bookmarkEnd w:id="15"/>
    <w:p>
      <w:pPr>
        <w:ind w:right="40" w:firstLine="509"/>
        <w:spacing w:after="0" w:line="263" w:lineRule="auto"/>
        <w:rPr>
          <w:sz w:val="20"/>
          <w:szCs w:val="20"/>
          <w:color w:val="auto"/>
        </w:rPr>
      </w:pPr>
      <w:r>
        <w:rPr>
          <w:rFonts w:ascii="Arial" w:cs="Arial" w:eastAsia="Arial" w:hAnsi="Arial"/>
          <w:sz w:val="18"/>
          <w:szCs w:val="18"/>
          <w:color w:val="auto"/>
        </w:rPr>
        <w:t>On April 21, 2023, the Company’s wholly-owned subsidiary, Arcturus Therapeutics, Inc. entered into a credit agreement with Wells Fargo Bank, National Association (“Wells Fargo”) whereby Wells Fargo will make a $50.0 million revolving credit line available to the Company (the “Loan”) and each Loan evidenced by a revolving line of credit note (the “Note”).</w:t>
      </w:r>
    </w:p>
    <w:p>
      <w:pPr>
        <w:spacing w:after="0" w:line="7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w:t>
      </w:r>
    </w:p>
    <w:p>
      <w:pPr>
        <w:spacing w:after="0" w:line="79"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color w:val="auto"/>
        </w:rPr>
        <w:t>The term of the agreement is two years, with an option for one-year renewals subject to Wells Fargo approval and the Company furnishing to Wells Fargo a non-refundable commitment fee equal to 0.25% of the Loan amount for each such renewal. There is no penalty for terminating the facility prior to the maturity date of the Note. As collateral, the Company has agreed to pledge $55.0 million in cash to be held at the Company’s securities accounts with Wells Fargo Securities, LLC, an affiliate of Wells Fargo, pursuant to a security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Support Agreement</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(the “Singapore Loan”) of S$62.1 million to the Company, subject to the satisfaction of customary deliveries, to support the manufacture of the LUNAR-COV19 vaccine candidate (ARCT-021). The Singapore Loan accrued interest at a rate of 4.5% per annum calculated on a daily basis. The Company elected to borrow the full amount available under the Support Agreement of S$62.1 million ($46.6 million) on January 29, 2021. During the first quarter of 2023, the EDB agreed to an extension of the reconciliation period to March 22, 2023, with unused funds not utilized for the manufacture of ARCT-021 as of such date returned to the EDB. As of December 31, 2022, the outstanding balance of the Singapore Loan, which includes accrued interest, was $50.4 million of which the Company paid S$22.8 million ($17.1 million) in March 2023. During the first quarter of 2023, the remaining principal portion of the Singapore Loan plus accrued interest, totaling $34.0 million, was forgiven and recorded as a gain on debt extinguishment in the condensed consolidated statement of operations and comprehensive loss.</w:t>
      </w:r>
    </w:p>
    <w:p>
      <w:pPr>
        <w:spacing w:after="0" w:line="77"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For the three months ended June 30, 2023, the Company recorded no interest expense, compared to interest expense of $0.5 million for the same period in 2022. For the six months ended June 30, 2023, the Company recorded interest expense of $0.5 million, compared to interest expense of $1.1 million for the same period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Termination of Agreement with Western Alliance Bank</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On March 14, 2023, the Loan and Security Agreement, dated as of October 12, 2018 (as amended and supplemented, the “Western Alliance Agreement”) with Western Alliance Bank, an Arizona corporation (“Western Alliance”), was terminated (the “Termination”) upon the receipt by Western Alliance of a payoff amount of approximately $7.4 million from the Company. The Western Alliance Agreement provided for a collateralized term loan in the aggregate principal amount of up to $15.0 million, with interest at a floating rate ranging from 1.25% to 2.75% above the prime rate and a maturity date of October 30, 2023. The payoff amount was made by the Company to Western Alliance from available cash on hand, pursuant to a payoff letter, and included payment of (i) approximately $7.0 million in principal and interest, (ii) $0.3 million fee payable upon prepayment as a result of prior FDA approval of an IND and (iii) de minimis amounts in prepayment charges and various operational fees. The Company was released from all liens under the Western Alliance Agreement.</w:t>
      </w:r>
    </w:p>
    <w:p>
      <w:pPr>
        <w:spacing w:after="0" w:line="84" w:lineRule="exact"/>
        <w:rPr>
          <w:sz w:val="20"/>
          <w:szCs w:val="20"/>
          <w:color w:val="auto"/>
        </w:rPr>
      </w:pPr>
    </w:p>
    <w:p>
      <w:pPr>
        <w:ind w:right="320" w:firstLine="509"/>
        <w:spacing w:after="0" w:line="308" w:lineRule="auto"/>
        <w:rPr>
          <w:sz w:val="20"/>
          <w:szCs w:val="20"/>
          <w:color w:val="auto"/>
        </w:rPr>
      </w:pPr>
      <w:r>
        <w:rPr>
          <w:rFonts w:ascii="Arial" w:cs="Arial" w:eastAsia="Arial" w:hAnsi="Arial"/>
          <w:sz w:val="17"/>
          <w:szCs w:val="17"/>
          <w:color w:val="auto"/>
        </w:rPr>
        <w:t>For the three months ended June 30, 2023, the Company recorded no interest expense, compared to interest expense of $0.2 million for the same period in 2022. For the six months ended June 30, 2023 and 2022, the Company recorded interest expense of $0.3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per Share</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Potentially dilutive securities that were not included in the calculation of diluted net loss per share for the three and six months ended June 30, 2023 as they were anti-dilutive totaled 1.0 million and 0.8 million, respectively, and 0.6 million and 0.8 million for the three and six months ended June 30, 2022,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 Expense</w:t>
      </w:r>
    </w:p>
    <w:p>
      <w:pPr>
        <w:spacing w:after="0" w:line="121"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June 2022 at the Company’s 2022 Annual Meeting of Stockholders (the "2022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3,750,000 shares, for a total of up to 8,750,000 shares available for issuance. As of June 30, 2023, a total of 1,645,061 shares remain available for future issuance under the 2019 Plan, subject to the terms of the 2019 Plan.</w:t>
      </w:r>
    </w:p>
    <w:p>
      <w:pPr>
        <w:spacing w:after="0" w:line="80"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As of June 30, 2023, a total of 96,400 shares remain available for future issuance under the 2021 Plan, subject to the terms of the 2021 Plan.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Share-based compensation expense included in the Company’s condensed consolidated statements of operations and comprehensive loss for the three and six months ended June 30, 2023 and 2022 was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For the Three Months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For the Six Months</w:t>
            </w:r>
          </w:p>
        </w:tc>
        <w:tc>
          <w:tcPr>
            <w:tcW w:w="120" w:type="dxa"/>
            <w:vAlign w:val="bottom"/>
          </w:tcPr>
          <w:p>
            <w:pPr>
              <w:spacing w:after="0"/>
              <w:rPr>
                <w:sz w:val="14"/>
                <w:szCs w:val="14"/>
                <w:color w:val="auto"/>
              </w:rPr>
            </w:pPr>
          </w:p>
        </w:tc>
      </w:tr>
      <w:tr>
        <w:trPr>
          <w:trHeight w:val="185"/>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2022</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r>
      <w:tr>
        <w:trPr>
          <w:trHeight w:val="237"/>
        </w:trPr>
        <w:tc>
          <w:tcPr>
            <w:tcW w:w="4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7,249</w:t>
            </w: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6,815</w:t>
            </w:r>
          </w:p>
        </w:tc>
        <w:tc>
          <w:tcPr>
            <w:tcW w:w="120" w:type="dxa"/>
            <w:vAlign w:val="bottom"/>
            <w:shd w:val="clear" w:color="auto" w:fill="CFF0FC"/>
          </w:tcPr>
          <w:p>
            <w:pPr>
              <w:spacing w:after="0"/>
              <w:rPr>
                <w:sz w:val="20"/>
                <w:szCs w:val="20"/>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21"/>
                <w:szCs w:val="21"/>
                <w:color w:val="auto"/>
              </w:rPr>
            </w:pPr>
          </w:p>
        </w:tc>
      </w:tr>
      <w:tr>
        <w:trPr>
          <w:trHeight w:val="277"/>
        </w:trPr>
        <w:tc>
          <w:tcPr>
            <w:tcW w:w="4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8,383</w:t>
            </w:r>
          </w:p>
        </w:tc>
        <w:tc>
          <w:tcPr>
            <w:tcW w:w="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16,565</w:t>
            </w:r>
          </w:p>
        </w:tc>
        <w:tc>
          <w:tcPr>
            <w:tcW w:w="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14,645</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is due to federal and state income tax expense offset by valuation allowance on the Company's deferred tax assets.</w:t>
      </w:r>
    </w:p>
    <w:p>
      <w:pPr>
        <w:spacing w:after="0" w:line="4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For the three and six months ended June 30, 2023, the Company recorded $0.6 million and $0.7 million of income tax expense, respectively. No tax benefit was provided for losses incurred in United States because those losses are offset by a full valuation allowance.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Cystic Fibrosis Foundation Agreement</w:t>
      </w:r>
    </w:p>
    <w:p>
      <w:pPr>
        <w:spacing w:after="0" w:line="117"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(iii) the related disbursement schedule from CFF to Arcturus will be modified such that (a) $4.0 million will be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$2.1 million. In the first quarter of 2023, the last payment of $2.1 million was disbursed upon the Company invoicing CFF to meet good manufacturing practices and opening an Investigational New Drug (“IND”) application. All remaining funds received from CFF were recognized as contra research and development expense during the year ended 2022. As such, no contra expense was recognized during the six months ended June 30, 2023. For the three and six months ended June 30, 2022, the Company recognized contra expense of $1.3 million and $2.7 million,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3"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w:t>
      </w:r>
    </w:p>
    <w:p>
      <w:pPr>
        <w:spacing w:after="0" w:line="4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September 2021, the Company entered into a third non-cancellable lease agreement for office, research and development, engineering and laboratory space near its current headquarters and lease term commenced during the second quarter of 2022. The initial term of the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$268,000 to $360,000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w:t>
      </w:r>
    </w:p>
    <w:p>
      <w:pPr>
        <w:spacing w:after="0" w:line="70"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the remaining payments of the operating lease liability were as follows: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7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2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Remaining Lease Payments</w:t>
            </w:r>
          </w:p>
        </w:tc>
      </w:tr>
      <w:tr>
        <w:trPr>
          <w:trHeight w:val="23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5,646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FF0FC"/>
          </w:tcPr>
          <w:p>
            <w:pPr>
              <w:spacing w:after="0"/>
              <w:rPr>
                <w:sz w:val="21"/>
                <w:szCs w:val="21"/>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23,283</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6"/>
        </w:trPr>
        <w:tc>
          <w:tcPr>
            <w:tcW w:w="7700" w:type="dxa"/>
            <w:vAlign w:val="bottom"/>
          </w:tcPr>
          <w:p>
            <w:pPr>
              <w:ind w:left="100"/>
              <w:spacing w:after="0"/>
              <w:rPr>
                <w:sz w:val="20"/>
                <w:szCs w:val="20"/>
                <w:color w:val="auto"/>
              </w:rPr>
            </w:pPr>
            <w:r>
              <w:rPr>
                <w:rFonts w:ascii="Arial" w:cs="Arial" w:eastAsia="Arial" w:hAnsi="Arial"/>
                <w:sz w:val="18"/>
                <w:szCs w:val="18"/>
                <w:color w:val="auto"/>
              </w:rPr>
              <w:t>Total remaining lease payments</w:t>
            </w:r>
          </w:p>
        </w:tc>
        <w:tc>
          <w:tcPr>
            <w:tcW w:w="2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39,306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(7,103 )</w:t>
            </w:r>
          </w:p>
        </w:tc>
        <w:tc>
          <w:tcPr>
            <w:tcW w:w="40" w:type="dxa"/>
            <w:vAlign w:val="bottom"/>
          </w:tcPr>
          <w:p>
            <w:pPr>
              <w:spacing w:after="0"/>
              <w:rPr>
                <w:sz w:val="21"/>
                <w:szCs w:val="21"/>
                <w:color w:val="auto"/>
              </w:rPr>
            </w:pPr>
          </w:p>
        </w:tc>
      </w:tr>
      <w:tr>
        <w:trPr>
          <w:trHeight w:val="237"/>
        </w:trPr>
        <w:tc>
          <w:tcPr>
            <w:tcW w:w="7700" w:type="dxa"/>
            <w:vAlign w:val="bottom"/>
            <w:tcBorders>
              <w:top w:val="single" w:sz="8" w:color="CFF0FC"/>
            </w:tcBorders>
          </w:tcPr>
          <w:p>
            <w:pPr>
              <w:ind w:left="10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32,203</w:t>
            </w:r>
          </w:p>
        </w:tc>
        <w:tc>
          <w:tcPr>
            <w:tcW w:w="120" w:type="dxa"/>
            <w:vAlign w:val="bottom"/>
            <w:tcBorders>
              <w:top w:val="single" w:sz="8" w:color="CFF0FC"/>
            </w:tcBorders>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200" w:type="dxa"/>
            <w:vAlign w:val="bottom"/>
            <w:tcBorders>
              <w:top w:val="single" w:sz="8" w:color="auto"/>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 years</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-805815</wp:posOffset>
            </wp:positionV>
            <wp:extent cx="7747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-488315</wp:posOffset>
            </wp:positionV>
            <wp:extent cx="7747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94"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Operating lease costs consist of the fixed lease payments included in operating lease liability and are recorded on a straight-line basis over the lease terms. Operating lease costs were $1.4 million and $2.8 million for the three and six months ended June 30, 2023, respectively, and $1.4 million and $2.2 million for the three and six months ended June 30, 2022,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Equity-Method Investment</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Vallon completed an initial public offering and began trading on The Nasdaq Stock Market under the ticker “VLON” in February 2021. Additionally, Vallon executed the sale of 3,700,000 shares of common stock through a private placement in May 2022 as well as an exercise of warrants for 2,960,000 shares of common stock in August and December 2022.</w:t>
      </w:r>
    </w:p>
    <w:p>
      <w:pPr>
        <w:spacing w:after="0" w:line="284"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On December 13, 2022, Vallon entered into an agreement with GRI Bio, Inc. (“GRI Bio”) pursuant to which GRI Bio was to merge with a wholly-owned subsidiary of Vallon in an all-stock transaction. The transaction closed in April 2023 and the Company's executive resigned from the board of directors of Vallon. Following the closing of the merger, the combined company now operates under the name “GRI Bio, Inc.” and will focus on the development of GRI Bio’s pipeline and trade on the Nasdaq under the ticker symbol “GRI”. Following the closing of the merger, the Company holds 28,125 shares in GRI Bio, or approximately 1%. Upon the closing of the merger, the Company determined that it did not have the ability to exercise significant influence over operating and financial policies of GRI Bio. As such, the Company discontinued equity method of accounting for its investment in GRI Bio.</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09"/>
        <w:spacing w:after="0" w:line="218" w:lineRule="exact"/>
        <w:rPr>
          <w:sz w:val="20"/>
          <w:szCs w:val="20"/>
          <w:color w:val="auto"/>
        </w:rPr>
      </w:pPr>
      <w:r>
        <w:rPr>
          <w:rFonts w:ascii="Arial" w:cs="Arial" w:eastAsia="Arial" w:hAnsi="Arial"/>
          <w:sz w:val="16"/>
          <w:szCs w:val="16"/>
          <w:i w:val="1"/>
          <w:iCs w:val="1"/>
          <w:color w:val="auto"/>
        </w:rPr>
        <w:t>The following is a discussion of the financial condition and results of operations of Arcturus Therapeutics Holdings Inc. for the three and six month periods ended June 30, 2023.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year ended December 31, 2022 (the “2022 Annual Report”), which was filed with the U.S. Securities and Exchange Commission (the “Commission”) on March 29, 2023. Unless otherwise defined herein, capitalized words and expressions used herein shall have the same meanings ascribed to them in the 2022 Annual Report.</w:t>
      </w:r>
    </w:p>
    <w:p>
      <w:pPr>
        <w:spacing w:after="0" w:line="9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76"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are a global late-stage clinical messenger RNA medicines company focused on the development of infectious disease vaccines and opportunities within liver and respiratory rare diseases. In addition to our messenger RNA (“mRNA”) platform, our proprietary lipid nanoparticle (“LNP”) delivery</w:t>
      </w:r>
    </w:p>
    <w:p>
      <w:pPr>
        <w:jc w:val="both"/>
        <w:ind w:right="140"/>
        <w:spacing w:after="0" w:line="230" w:lineRule="auto"/>
        <w:rPr>
          <w:sz w:val="20"/>
          <w:szCs w:val="20"/>
          <w:color w:val="auto"/>
        </w:rPr>
      </w:pPr>
      <w:r>
        <w:rPr>
          <w:rFonts w:ascii="Arial" w:cs="Arial" w:eastAsia="Arial" w:hAnsi="Arial"/>
          <w:sz w:val="18"/>
          <w:szCs w:val="18"/>
          <w:color w:val="auto"/>
        </w:rPr>
        <w:t>system, LUNAR</w:t>
      </w:r>
      <w:r>
        <w:rPr>
          <w:rFonts w:ascii="Arial" w:cs="Arial" w:eastAsia="Arial" w:hAnsi="Arial"/>
          <w:sz w:val="24"/>
          <w:szCs w:val="24"/>
          <w:color w:val="auto"/>
          <w:vertAlign w:val="superscript"/>
        </w:rPr>
        <w:t>®</w:t>
      </w:r>
      <w:r>
        <w:rPr>
          <w:rFonts w:ascii="Arial" w:cs="Arial" w:eastAsia="Arial" w:hAnsi="Arial"/>
          <w:sz w:val="18"/>
          <w:szCs w:val="18"/>
          <w:color w:val="auto"/>
        </w:rPr>
        <w:t>, has the potential to enable multiple nucleic acid medicines, and our proprietary self-amplifying mRNA technology (Self-Transcribing and Replicating RNA, or STARR™, technology) has the potential to provide longer-lasting RNA and sustained protein expression at lower dose levels as compared to conventional mRNA.</w:t>
      </w:r>
    </w:p>
    <w:p>
      <w:pPr>
        <w:spacing w:after="0" w:line="94"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Business Updates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Updates on Vaccine Program</w:t>
      </w:r>
    </w:p>
    <w:p>
      <w:pPr>
        <w:spacing w:after="0" w:line="121" w:lineRule="exact"/>
        <w:rPr>
          <w:sz w:val="20"/>
          <w:szCs w:val="20"/>
          <w:color w:val="auto"/>
        </w:rPr>
      </w:pPr>
    </w:p>
    <w:p>
      <w:pPr>
        <w:ind w:right="300" w:firstLine="509"/>
        <w:spacing w:after="0" w:line="275" w:lineRule="auto"/>
        <w:rPr>
          <w:sz w:val="20"/>
          <w:szCs w:val="20"/>
          <w:color w:val="auto"/>
        </w:rPr>
      </w:pPr>
      <w:r>
        <w:rPr>
          <w:rFonts w:ascii="Arial" w:cs="Arial" w:eastAsia="Arial" w:hAnsi="Arial"/>
          <w:sz w:val="16"/>
          <w:szCs w:val="16"/>
          <w:color w:val="auto"/>
        </w:rPr>
        <w:t>In November 2022, we entered into a Collaboration and License Agreement (the “CSL Collaboration Agreement”) with Seqirus, Inc. (“CSL Seqirus”), a part of CSL Limited, and one of the world’s leading influenza vaccine providers, for the global exclusive rights to research, develop, manufacture and commercialize self-amplifying mRNA vaccines against COVID-19, influenza and three other respiratory infectious diseases with non-exclusive rights to pandemic pathogens. The CSL Collaboration Agreement became effective on December 8, 2022. The collaboration combines CSL Seqirus’ established global vaccine commercial and manufacturing infrastructure with Arcturus’ manufacturing expertise and innovative STARR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self-</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amplifying mRNA vaccine and LUNAR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delivery platform technologies. Under the framework of our collaboration with CSL Seqirus, we are evaluating in preclinical studies the efficacy and safety of a seasonal influenza vaccine (our LUNAR-FLU mRNA vaccine candidate). Pursuant to a third party study agreement executed in December 2022 with Meiji Seika Pharma Co., Ltd., a subsidiary of Meiji Holdings Co., Ltd. (“Meiji”), a Japanese leader in the area of infectious disease, a Phase 3 clinical trial of ARCT-154 was initiated in Japan by Meiji to evaluate safety and immunogenicity of a booster shot of ARCT-154, and to evaluate non-inferiority of ARCT-154 as a booster. The trial targeted a total of 780 adult participants, with half in the ARCT-154 group and half in a comparator group (Comirnaty</w:t>
      </w:r>
      <w:r>
        <w:rPr>
          <w:rFonts w:ascii="Arial" w:cs="Arial" w:eastAsia="Arial" w:hAnsi="Arial"/>
          <w:sz w:val="21"/>
          <w:szCs w:val="21"/>
          <w:color w:val="auto"/>
          <w:vertAlign w:val="superscript"/>
        </w:rPr>
        <w:t>®</w:t>
      </w:r>
      <w:r>
        <w:rPr>
          <w:rFonts w:ascii="Arial" w:cs="Arial" w:eastAsia="Arial" w:hAnsi="Arial"/>
          <w:sz w:val="16"/>
          <w:szCs w:val="16"/>
          <w:color w:val="auto"/>
        </w:rPr>
        <w:t>, Pfizer-BioNTech), and completed enrollment with 828 participants in February 2023.</w:t>
      </w:r>
    </w:p>
    <w:p>
      <w:pPr>
        <w:spacing w:after="0" w:line="2"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On April 11, 2023, Meiji announced that it entered into an agreement with CSL Seqirus for the distribution and sales of ARCT-154, our self-amplifying mRNA vaccine candidate against COVID-19, in Japan.</w:t>
      </w:r>
    </w:p>
    <w:p>
      <w:pPr>
        <w:spacing w:after="0" w:line="62" w:lineRule="exact"/>
        <w:rPr>
          <w:sz w:val="20"/>
          <w:szCs w:val="20"/>
          <w:color w:val="auto"/>
        </w:rPr>
      </w:pPr>
    </w:p>
    <w:p>
      <w:pPr>
        <w:ind w:right="760" w:firstLine="509"/>
        <w:spacing w:after="0" w:line="308" w:lineRule="auto"/>
        <w:rPr>
          <w:sz w:val="20"/>
          <w:szCs w:val="20"/>
          <w:color w:val="auto"/>
        </w:rPr>
      </w:pPr>
      <w:r>
        <w:rPr>
          <w:rFonts w:ascii="Arial" w:cs="Arial" w:eastAsia="Arial" w:hAnsi="Arial"/>
          <w:sz w:val="17"/>
          <w:szCs w:val="17"/>
          <w:color w:val="auto"/>
        </w:rPr>
        <w:t>On April 28, 2023, Meiji announced that it submitted to the Japanese Pharmaceuticals and Medical Devices Agency (PMDA) a New Drug Application (NDA) to manufacture and market ARCT-154 for primary immunization to prevent COVID-19 in adults in Japan.</w:t>
      </w:r>
    </w:p>
    <w:p>
      <w:pPr>
        <w:spacing w:after="0" w:line="38"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In April 2023, we received an advance payment of $23.6 million for the manufacturing and supply of ARCT-154 from CSL Seqirus. The advance payment is for specified manufacturing runs of ARCT-154 which includes the drug substance utilized, as well as the reservation fees and related manufacturing requirements.</w:t>
      </w:r>
    </w:p>
    <w:p>
      <w:pPr>
        <w:spacing w:after="0" w:line="76"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On June 30, 2023, Meiji announced that it submitted an additional application to the PMDA for a booster dose of ARCT-154 to prevent COVID-19 in adults in Japan.</w:t>
      </w:r>
    </w:p>
    <w:p>
      <w:pPr>
        <w:spacing w:after="0" w:line="62"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On July 13, 2023, an article titled “Booster dose of self-amplifying SARS-CoV-2 RNA vaccine vs. mRNA vaccine: a phase 3 comparison of ARCT-154 with Comirnaty” posted on medRxiv.org at https://www.medrxiv.org/content/10.1101/2023.07.13.23292597v1. The article is based on interim results of the Phase 3 clinical trial of ARCT-154 conducted in Japan by Meiji evaluating the safety and immunogenicity of ARCT-154 compared to Comirnaty as a booster against COVID-19. The article is a preprint and has not been certified by peer review.</w:t>
      </w:r>
    </w:p>
    <w:p>
      <w:pPr>
        <w:spacing w:after="0" w:line="63"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On August 7, 2023, we announced that Phase1/2 clinical trial data demonstrated one-year durability of immune response following ARCT-154 booster vaccine administration as measured using validated microneutralization (MNT) assays. The Phase 1/2 study data is from 12 participants in the United States and Singapore. The geometric mean fold rise (GMFR) in neutralizing antibodies remained greater than 10-fold above baseline for one year across a panel of SARS-CoV-2 variants, including ancestral strain with the D614G mutation, Beta (B.1.351), Delta (B.1.617.2), and Omicron (BA.1), for participants receiving ARCT-154 booster. Participants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ind w:right="220"/>
        <w:spacing w:after="0" w:line="277" w:lineRule="auto"/>
        <w:rPr>
          <w:sz w:val="20"/>
          <w:szCs w:val="20"/>
          <w:color w:val="auto"/>
        </w:rPr>
      </w:pPr>
      <w:r>
        <w:rPr>
          <w:rFonts w:ascii="Arial" w:cs="Arial" w:eastAsia="Arial" w:hAnsi="Arial"/>
          <w:sz w:val="18"/>
          <w:szCs w:val="18"/>
          <w:color w:val="auto"/>
        </w:rPr>
        <w:t>who received any non-study COVID-19 vaccines or had a positive SARS-CoV-2 PCR result were excluded from the analysis after the event. Additional exploratory assays demonstrated similar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48895</wp:posOffset>
            </wp:positionV>
            <wp:extent cx="6172200" cy="2674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Geometric mean fold rise (GMFR) of neutralizing antibodies against SARS-CoV-2 variants (versus pre-booster levels) after ARCT-154 booster vaccination measured by validated psuedoviral microneutralization assays (N=12). Error bars represent the 95% CI. GMFR values are included in white. Participants who received any COVID-19 vaccines or had laboratory-confirmed SARS-CoV-2 infection during the follow-up period were excluded from immunogenicity analysis at sampling times after the event.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Updates on Arcturus-Owned mRNA Therapeutic Development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represents our current pipeline of Arcturus-Owned mRNA 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172200" cy="1722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LUNAR-OTC/ARCT-810 - Our rare disease program for ornithine transcarbamylase (OTC) deficiency is continuing to advance.</w:t>
      </w:r>
    </w:p>
    <w:p>
      <w:pPr>
        <w:spacing w:after="0" w:line="117" w:lineRule="exact"/>
        <w:rPr>
          <w:rFonts w:ascii="Arial" w:cs="Arial" w:eastAsia="Arial" w:hAnsi="Arial"/>
          <w:sz w:val="18"/>
          <w:szCs w:val="18"/>
          <w:color w:val="auto"/>
        </w:rPr>
      </w:pPr>
    </w:p>
    <w:p>
      <w:pPr>
        <w:ind w:left="1540" w:hanging="509"/>
        <w:spacing w:after="0" w:line="263" w:lineRule="auto"/>
        <w:rPr>
          <w:rFonts w:ascii="Arial" w:cs="Arial" w:eastAsia="Arial" w:hAnsi="Arial"/>
          <w:sz w:val="18"/>
          <w:szCs w:val="18"/>
          <w:color w:val="auto"/>
        </w:rPr>
      </w:pPr>
      <w:r>
        <w:rPr>
          <w:rFonts w:ascii="Arial" w:cs="Arial" w:eastAsia="Arial" w:hAnsi="Arial"/>
          <w:sz w:val="18"/>
          <w:szCs w:val="18"/>
          <w:color w:val="auto"/>
        </w:rPr>
        <w:t>oA Phase 1b study in stable OTC-deficient adults is being conducted in the United States. The trial is designed to assess safety, tolerability and pharmacokinetics of a single dose of ARCT-810, as well as various exploratory biomarkers of drug activity. The study has completed enrollment and dosing of all four cohorts (N = 16 subjects).</w:t>
      </w:r>
    </w:p>
    <w:p>
      <w:pPr>
        <w:spacing w:after="0" w:line="75" w:lineRule="exact"/>
        <w:rPr>
          <w:rFonts w:ascii="Arial" w:cs="Arial" w:eastAsia="Arial" w:hAnsi="Arial"/>
          <w:sz w:val="18"/>
          <w:szCs w:val="18"/>
          <w:color w:val="auto"/>
        </w:rPr>
      </w:pPr>
    </w:p>
    <w:p>
      <w:pPr>
        <w:ind w:left="1540" w:hanging="509"/>
        <w:spacing w:after="0" w:line="263" w:lineRule="auto"/>
        <w:rPr>
          <w:rFonts w:ascii="Arial" w:cs="Arial" w:eastAsia="Arial" w:hAnsi="Arial"/>
          <w:sz w:val="18"/>
          <w:szCs w:val="18"/>
          <w:color w:val="auto"/>
        </w:rPr>
      </w:pPr>
      <w:r>
        <w:rPr>
          <w:rFonts w:ascii="Arial" w:cs="Arial" w:eastAsia="Arial" w:hAnsi="Arial"/>
          <w:sz w:val="18"/>
          <w:szCs w:val="18"/>
          <w:color w:val="auto"/>
        </w:rPr>
        <w:t>oA Phase 2 multiple-dose study of ARCT-810 in OTC-deficient adolescents and adults initiated dosing in December 2022 and plans to enroll approximately 24 participants in 2 dose cohorts. The study has been approved by the regulatory authorities in the UK and several other countries in Europe.</w:t>
      </w:r>
    </w:p>
    <w:p>
      <w:pPr>
        <w:spacing w:after="0" w:line="75" w:lineRule="exact"/>
        <w:rPr>
          <w:rFonts w:ascii="Arial" w:cs="Arial" w:eastAsia="Arial" w:hAnsi="Arial"/>
          <w:sz w:val="18"/>
          <w:szCs w:val="18"/>
          <w:color w:val="auto"/>
        </w:rPr>
      </w:pPr>
    </w:p>
    <w:p>
      <w:pPr>
        <w:ind w:left="1540" w:right="20" w:hanging="509"/>
        <w:spacing w:after="0" w:line="263" w:lineRule="auto"/>
        <w:rPr>
          <w:rFonts w:ascii="Arial" w:cs="Arial" w:eastAsia="Arial" w:hAnsi="Arial"/>
          <w:sz w:val="18"/>
          <w:szCs w:val="18"/>
          <w:color w:val="auto"/>
        </w:rPr>
      </w:pPr>
      <w:r>
        <w:rPr>
          <w:rFonts w:ascii="Arial" w:cs="Arial" w:eastAsia="Arial" w:hAnsi="Arial"/>
          <w:sz w:val="18"/>
          <w:szCs w:val="18"/>
          <w:color w:val="auto"/>
        </w:rPr>
        <w:t>oIn June 2023, the US Food and Drug Administration (the “FDA”) granted Fast Track Designation to ARCT-810. Fast Track Designation is designed to facilitate development and expedite review of new therapeutics intended to treat serious or life-threatening conditions that demonstrate the potential to address important unmet medical needs.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2" w:name="page23"/>
    <w:bookmarkEnd w:id="22"/>
    <w:p>
      <w:pPr>
        <w:ind w:left="1540" w:right="20" w:hanging="514"/>
        <w:spacing w:after="0" w:line="257"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June 2023, we received Rare Pediatric Disease Designation from the FDA. Rare Pediatric Disease Designation is designed to recognize rare pediatric diseases in which the serious or life-threatening manifestations primarily affect patients from birth to 18 years of age. Due to such designation, if ARCT-810 achieves approval for a pediatric indication in the original rare pediatric disease product application in the United States, Arcturus (or the sponsor of ARCT-810) will receive a voucher for priority review of a subsequent marketing application for a different product.</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LUNAR-CF/ARCT-032 – Our program for cystic fibrosis is being supported in part by the Cystic Fibrosis Foundation.</w:t>
      </w:r>
    </w:p>
    <w:p>
      <w:pPr>
        <w:spacing w:after="0" w:line="117" w:lineRule="exact"/>
        <w:rPr>
          <w:rFonts w:ascii="Arial" w:cs="Arial" w:eastAsia="Arial" w:hAnsi="Arial"/>
          <w:sz w:val="18"/>
          <w:szCs w:val="18"/>
          <w:color w:val="auto"/>
        </w:rPr>
      </w:pPr>
    </w:p>
    <w:p>
      <w:pPr>
        <w:ind w:left="1540" w:right="100" w:hanging="514"/>
        <w:spacing w:after="0" w:line="342" w:lineRule="auto"/>
        <w:tabs>
          <w:tab w:leader="none" w:pos="1540" w:val="left"/>
        </w:tabs>
        <w:numPr>
          <w:ilvl w:val="1"/>
          <w:numId w:val="6"/>
        </w:numPr>
        <w:rPr>
          <w:rFonts w:ascii="Arial" w:cs="Arial" w:eastAsia="Arial" w:hAnsi="Arial"/>
          <w:sz w:val="16"/>
          <w:szCs w:val="16"/>
          <w:color w:val="auto"/>
        </w:rPr>
      </w:pPr>
      <w:r>
        <w:rPr>
          <w:rFonts w:ascii="Arial" w:cs="Arial" w:eastAsia="Arial" w:hAnsi="Arial"/>
          <w:sz w:val="16"/>
          <w:szCs w:val="16"/>
          <w:color w:val="auto"/>
        </w:rPr>
        <w:t>Results from preclinical studies demonstrate robust protein expression in respiratory epithelium treated with LUNAR-mRNA in vitro and in vivo. Further, CF human bronchial epithelial cells treated with ARCT-032 in vitro demonstrate restoration of CFTR activity.</w:t>
      </w:r>
    </w:p>
    <w:p>
      <w:pPr>
        <w:spacing w:after="0" w:line="15" w:lineRule="exact"/>
        <w:rPr>
          <w:rFonts w:ascii="Arial" w:cs="Arial" w:eastAsia="Arial" w:hAnsi="Arial"/>
          <w:sz w:val="16"/>
          <w:szCs w:val="16"/>
          <w:color w:val="auto"/>
        </w:rPr>
      </w:pPr>
    </w:p>
    <w:p>
      <w:pPr>
        <w:ind w:left="1540" w:right="340" w:hanging="514"/>
        <w:spacing w:after="0" w:line="277"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CTA was filed in December 2022 for the first-in-human study, and we completed dosing of the Phase 1 single ascending dosing study in 32 healthy participants (eight subjects in each of four cohorts).</w:t>
      </w:r>
    </w:p>
    <w:p>
      <w:pPr>
        <w:spacing w:after="0" w:line="62" w:lineRule="exact"/>
        <w:rPr>
          <w:rFonts w:ascii="Arial" w:cs="Arial" w:eastAsia="Arial" w:hAnsi="Arial"/>
          <w:sz w:val="18"/>
          <w:szCs w:val="18"/>
          <w:color w:val="auto"/>
        </w:rPr>
      </w:pPr>
    </w:p>
    <w:p>
      <w:pPr>
        <w:ind w:left="1540" w:right="540" w:hanging="514"/>
        <w:spacing w:after="0" w:line="277"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August 2023 we received regulatory approval of a protocol amendment to allow the transition to a Phase 1b clinical study of ARCT-032 in up to eight adults with CF.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on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On October 26, 2015, we entered into a Research Collaboration and License Agreement with Ultragenyx, which was later amended in 2017, 2018 and during the second quarter of 2019 (as amended, the “Ultragenyx Agreement”). On December 1, 2021, Ultragenyx announced that the first patient had been dosed in its Phase 1/2 study of UX053, an investigational messenger RNA therapy in development under the collaboration for the treatment of Glycogen Storage Disease Type III, and thus the first milestone under the collaboration agreement had been met. Ultragenyx has completed dosing in the single ascending dose, or SAD, stage of the Phase 1/2 study of UX053 with no safety issues observed. Ultragenyx has disclosed that it will not enroll patients in the multiple ascending dose cohorts at this time to allow greater focus on its other late-stage and larger indication clinical programs. Ultragenyx has announced that the data from the SAD cohort are being analyzed and expected in the second quarter of 2023. On June 18, 2023, the exclusivity period for reserved targets expired. Prior to this expiration, Ultragenyx exercised its option with respect to some of its reserved targets thereby converting them to development targets under the agreement.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CureVac</w:t>
      </w:r>
    </w:p>
    <w:p>
      <w:pPr>
        <w:spacing w:after="0" w:line="11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On January 1, 2018, we entered into a Development and Option Agreement with CureVac, which was amended on May 3, 2018, restated on September 28, 2018 and amended on July 24, 2019 (as amended and restated, the “Development and Option Agreement”). Under the terms of the Development and Option Agreement, CureVac and Arcturus agreed to conduct joint preclinical development programs and we granted CureVac a license to develop and commercialize certain products incorporating certain of our technology (the “Arcturus LMD Technology”) and CureVac technology. CureVac did not exercise its option to extend the term prior to its expiration, and the Development and Option Agreement expired as of July 24,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on Research and Platform Activities</w:t>
      </w:r>
    </w:p>
    <w:p>
      <w:pPr>
        <w:spacing w:after="0" w:line="121" w:lineRule="exact"/>
        <w:rPr>
          <w:sz w:val="20"/>
          <w:szCs w:val="20"/>
          <w:color w:val="auto"/>
        </w:rPr>
      </w:pPr>
    </w:p>
    <w:p>
      <w:pPr>
        <w:ind w:right="340" w:firstLine="509"/>
        <w:spacing w:after="0" w:line="349" w:lineRule="auto"/>
        <w:rPr>
          <w:sz w:val="20"/>
          <w:szCs w:val="20"/>
          <w:color w:val="auto"/>
        </w:rPr>
      </w:pPr>
      <w:r>
        <w:rPr>
          <w:rFonts w:ascii="Arial" w:cs="Arial" w:eastAsia="Arial" w:hAnsi="Arial"/>
          <w:sz w:val="16"/>
          <w:szCs w:val="16"/>
          <w:color w:val="auto"/>
        </w:rPr>
        <w:t>We continue to conduct exploratory platform development activities, including the evaluation of genome editing, and new targeting approaches, where our LUNAR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STARR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platforms could potentially be useful for identification and development of additional products for our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on Supply and Manufacturing</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have built a global manufacturing footprint with our partners, including Aldevron, Catalent, Recipharm, Polymun and Arcalis. With such collaborations we have established an Integrated Global Supply Chain Network with our primary and secondary sourcing contract development &amp; manufacturing organizations (CDMOs) based in the United States, EU and Asia for producing critical raw materials, drug substance, and packaged finished product. As the market for COVID vaccines shifts from multi-dose vial formats to lower and single-dose vial formats, we continue, with our collaborator CSL Seqirus, to evaluate and advance manufacturing process and capabilities and technology transfers, and prepare for stockpiling and commercialization of COVID vaccines.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2022. Our historical results of operations and the year-to-year comparisons of our results of operations that follow are not necessarily indicative of future results.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The following table summarizes our total revenues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2022 to 2023</w:t>
            </w: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7"/>
        </w:trPr>
        <w:tc>
          <w:tcPr>
            <w:tcW w:w="42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10,519</w:t>
            </w:r>
          </w:p>
        </w:tc>
        <w:tc>
          <w:tcPr>
            <w:tcW w:w="3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27,093</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-61.2 %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-25400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8"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Revenue decreased by $16.6 million during the three months ended June 30, 2023 as compared to the three months ended June 30, 2022. The decrease was primarily attributable to a decrease in revenue of $12.7 million related to the termination of the agreement with Vinbiocare and a decrease in revenue of $12.5 million related to the agreement with the Israeli Ministry of Health. The decrease was primarily offset by an increase in revenue of $8.6 million related to the collaboration agreement with CSL Seqirus and the grant agreement with BARDA which were both executed in the second half of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2022 to 2023</w:t>
            </w:r>
          </w:p>
        </w:tc>
        <w:tc>
          <w:tcPr>
            <w:tcW w:w="1240" w:type="dxa"/>
            <w:vAlign w:val="bottom"/>
            <w:tcBorders>
              <w:bottom w:val="single" w:sz="8" w:color="auto"/>
            </w:tcBorders>
          </w:tcPr>
          <w:p>
            <w:pPr>
              <w:spacing w:after="0"/>
              <w:rPr>
                <w:sz w:val="16"/>
                <w:szCs w:val="16"/>
                <w:color w:val="auto"/>
              </w:rPr>
            </w:pPr>
          </w:p>
        </w:tc>
      </w:tr>
      <w:tr>
        <w:trPr>
          <w:trHeight w:val="16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77"/>
        </w:trPr>
        <w:tc>
          <w:tcPr>
            <w:tcW w:w="42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auto"/>
            </w:tcBorders>
            <w:shd w:val="clear" w:color="auto" w:fill="CFF0FC"/>
          </w:tcPr>
          <w:p>
            <w:pPr>
              <w:jc w:val="right"/>
              <w:ind w:right="74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90,804</w:t>
            </w:r>
          </w:p>
        </w:tc>
        <w:tc>
          <w:tcPr>
            <w:tcW w:w="3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32,337</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58,467</w:t>
            </w: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-25400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50"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Revenue increased by $58.5 million during the six months ended June 30, 2023 as compared to the six months ended June 30, 2022. The increase was attributable to an increase in revenue of $87.6 million primarily related to the collaboration agreement with CSL Seqirus and the grant agreement with BARDA which were both executed in the second half of 2022. The increase was primarily offset by decreases in revenue of the following: (i) $15.6 million related to the termination of the agreement with Vinbiocare, (ii) $12.5 million related to the agreement with the Israeli Ministry of Health and (iii) $1.0 million related to the termination of the agreement with Janssen.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w w:val="94"/>
              </w:rPr>
              <w:t>Three Months Ended June 30,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2022 to 2023</w:t>
            </w:r>
          </w:p>
        </w:tc>
        <w:tc>
          <w:tcPr>
            <w:tcW w:w="100" w:type="dxa"/>
            <w:vAlign w:val="bottom"/>
          </w:tcPr>
          <w:p>
            <w:pPr>
              <w:spacing w:after="0"/>
              <w:rPr>
                <w:sz w:val="16"/>
                <w:szCs w:val="16"/>
                <w:color w:val="auto"/>
              </w:rPr>
            </w:pPr>
          </w:p>
        </w:tc>
        <w:tc>
          <w:tcPr>
            <w:tcW w:w="182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w w:val="92"/>
              </w:rPr>
              <w:t>Six Months Ended June 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380"/>
              <w:spacing w:after="0"/>
              <w:rPr>
                <w:sz w:val="20"/>
                <w:szCs w:val="20"/>
                <w:color w:val="auto"/>
              </w:rPr>
            </w:pPr>
            <w:r>
              <w:rPr>
                <w:rFonts w:ascii="Arial" w:cs="Arial" w:eastAsia="Arial" w:hAnsi="Arial"/>
                <w:sz w:val="14"/>
                <w:szCs w:val="14"/>
                <w:b w:val="1"/>
                <w:bCs w:val="1"/>
                <w:color w:val="auto"/>
              </w:rPr>
              <w:t>2022 to 2023</w:t>
            </w:r>
          </w:p>
        </w:tc>
      </w:tr>
      <w:tr>
        <w:trPr>
          <w:trHeight w:val="169"/>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6"/>
        </w:trPr>
        <w:tc>
          <w:tcPr>
            <w:tcW w:w="23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2500" w:type="dxa"/>
            <w:vAlign w:val="bottom"/>
            <w:gridSpan w:val="2"/>
          </w:tcPr>
          <w:p>
            <w:pPr>
              <w:ind w:left="20"/>
              <w:spacing w:after="0"/>
              <w:rPr>
                <w:sz w:val="20"/>
                <w:szCs w:val="20"/>
                <w:color w:val="auto"/>
              </w:rPr>
            </w:pPr>
            <w:r>
              <w:rPr>
                <w:rFonts w:ascii="Arial" w:cs="Arial" w:eastAsia="Arial" w:hAnsi="Arial"/>
                <w:sz w:val="18"/>
                <w:szCs w:val="18"/>
                <w:color w:val="auto"/>
                <w:w w:val="96"/>
              </w:rPr>
              <w:t>Research and development, net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52,668</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38,189</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14,479</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37.9 %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104,436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83,082</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21,354</w:t>
            </w:r>
          </w:p>
        </w:tc>
        <w:tc>
          <w:tcPr>
            <w:tcW w:w="1300" w:type="dxa"/>
            <w:vAlign w:val="bottom"/>
            <w:gridSpan w:val="3"/>
          </w:tcPr>
          <w:p>
            <w:pPr>
              <w:ind w:left="840"/>
              <w:spacing w:after="0"/>
              <w:rPr>
                <w:sz w:val="20"/>
                <w:szCs w:val="20"/>
                <w:color w:val="auto"/>
              </w:rPr>
            </w:pPr>
            <w:r>
              <w:rPr>
                <w:rFonts w:ascii="Arial" w:cs="Arial" w:eastAsia="Arial" w:hAnsi="Arial"/>
                <w:sz w:val="18"/>
                <w:szCs w:val="18"/>
                <w:color w:val="auto"/>
                <w:w w:val="78"/>
              </w:rPr>
              <w:t>25.7 %</w:t>
            </w:r>
          </w:p>
        </w:tc>
        <w:tc>
          <w:tcPr>
            <w:tcW w:w="40" w:type="dxa"/>
            <w:vAlign w:val="bottom"/>
          </w:tcPr>
          <w:p>
            <w:pPr>
              <w:spacing w:after="0"/>
              <w:rPr>
                <w:sz w:val="20"/>
                <w:szCs w:val="20"/>
                <w:color w:val="auto"/>
              </w:rPr>
            </w:pPr>
          </w:p>
        </w:tc>
      </w:tr>
      <w:tr>
        <w:trPr>
          <w:trHeight w:val="249"/>
        </w:trPr>
        <w:tc>
          <w:tcPr>
            <w:tcW w:w="25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5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20.3 %</w:t>
            </w:r>
          </w:p>
        </w:tc>
        <w:tc>
          <w:tcPr>
            <w:tcW w:w="1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26,987</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1300" w:type="dxa"/>
            <w:vAlign w:val="bottom"/>
            <w:tcBorders>
              <w:bottom w:val="single" w:sz="8" w:color="CFF0FC"/>
            </w:tcBorders>
            <w:gridSpan w:val="3"/>
            <w:shd w:val="clear" w:color="auto" w:fill="CFF0FC"/>
          </w:tcPr>
          <w:p>
            <w:pPr>
              <w:ind w:left="840"/>
              <w:spacing w:after="0"/>
              <w:rPr>
                <w:sz w:val="20"/>
                <w:szCs w:val="20"/>
                <w:color w:val="auto"/>
              </w:rPr>
            </w:pPr>
            <w:r>
              <w:rPr>
                <w:rFonts w:ascii="Arial" w:cs="Arial" w:eastAsia="Arial" w:hAnsi="Arial"/>
                <w:sz w:val="18"/>
                <w:szCs w:val="18"/>
                <w:color w:val="auto"/>
                <w:w w:val="78"/>
              </w:rPr>
              <w:t>24.2 %</w:t>
            </w:r>
          </w:p>
        </w:tc>
        <w:tc>
          <w:tcPr>
            <w:tcW w:w="40" w:type="dxa"/>
            <w:vAlign w:val="bottom"/>
          </w:tcPr>
          <w:p>
            <w:pPr>
              <w:spacing w:after="0"/>
              <w:rPr>
                <w:sz w:val="21"/>
                <w:szCs w:val="21"/>
                <w:color w:val="auto"/>
              </w:rPr>
            </w:pPr>
          </w:p>
        </w:tc>
      </w:tr>
      <w:tr>
        <w:trPr>
          <w:trHeight w:val="23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65,893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49,182</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16,711</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34.0 %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131,423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104,805</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26,618</w:t>
            </w:r>
          </w:p>
        </w:tc>
        <w:tc>
          <w:tcPr>
            <w:tcW w:w="1340" w:type="dxa"/>
            <w:vAlign w:val="bottom"/>
            <w:gridSpan w:val="4"/>
          </w:tcPr>
          <w:p>
            <w:pPr>
              <w:ind w:left="840"/>
              <w:spacing w:after="0"/>
              <w:rPr>
                <w:sz w:val="20"/>
                <w:szCs w:val="20"/>
                <w:color w:val="auto"/>
              </w:rPr>
            </w:pPr>
            <w:r>
              <w:rPr>
                <w:rFonts w:ascii="Arial" w:cs="Arial" w:eastAsia="Arial" w:hAnsi="Arial"/>
                <w:sz w:val="18"/>
                <w:szCs w:val="18"/>
                <w:color w:val="auto"/>
                <w:w w:val="85"/>
              </w:rPr>
              <w:t>25.4 %</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-187960</wp:posOffset>
            </wp:positionV>
            <wp:extent cx="857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-187960</wp:posOffset>
            </wp:positionV>
            <wp:extent cx="7683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-187960</wp:posOffset>
            </wp:positionV>
            <wp:extent cx="7683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8572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8572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-187960</wp:posOffset>
            </wp:positionV>
            <wp:extent cx="7747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2022 to 2023</w:t>
            </w:r>
          </w:p>
        </w:tc>
        <w:tc>
          <w:tcPr>
            <w:tcW w:w="100" w:type="dxa"/>
            <w:vAlign w:val="bottom"/>
          </w:tcPr>
          <w:p>
            <w:pPr>
              <w:spacing w:after="0"/>
              <w:rPr>
                <w:sz w:val="16"/>
                <w:szCs w:val="16"/>
                <w:color w:val="auto"/>
              </w:rPr>
            </w:pPr>
          </w:p>
        </w:tc>
        <w:tc>
          <w:tcPr>
            <w:tcW w:w="18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2022 to 2023</w:t>
            </w:r>
          </w:p>
        </w:tc>
        <w:tc>
          <w:tcPr>
            <w:tcW w:w="0" w:type="dxa"/>
            <w:vAlign w:val="bottom"/>
          </w:tcPr>
          <w:p>
            <w:pPr>
              <w:spacing w:after="0"/>
              <w:rPr>
                <w:sz w:val="1"/>
                <w:szCs w:val="1"/>
                <w:color w:val="auto"/>
              </w:rPr>
            </w:pPr>
          </w:p>
        </w:tc>
      </w:tr>
      <w:tr>
        <w:trPr>
          <w:trHeight w:val="169"/>
        </w:trPr>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8"/>
              </w:rPr>
              <w:t>$ change</w:t>
            </w:r>
          </w:p>
        </w:tc>
        <w:tc>
          <w:tcPr>
            <w:tcW w:w="9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360" w:type="dxa"/>
            <w:vAlign w:val="bottom"/>
            <w:tcBorders>
              <w:top w:val="single" w:sz="8" w:color="auto"/>
            </w:tcBorders>
            <w:shd w:val="clear" w:color="auto" w:fill="CFF0FC"/>
          </w:tcPr>
          <w:p>
            <w:pPr>
              <w:ind w:left="20"/>
              <w:spacing w:after="0" w:line="137" w:lineRule="exact"/>
              <w:rPr>
                <w:sz w:val="20"/>
                <w:szCs w:val="20"/>
                <w:color w:val="auto"/>
              </w:rPr>
            </w:pPr>
            <w:r>
              <w:rPr>
                <w:rFonts w:ascii="Arial" w:cs="Arial" w:eastAsia="Arial" w:hAnsi="Arial"/>
                <w:sz w:val="14"/>
                <w:szCs w:val="14"/>
                <w:color w:val="auto"/>
              </w:rPr>
              <w:t>External pipeline development</w:t>
            </w:r>
          </w:p>
        </w:tc>
        <w:tc>
          <w:tcPr>
            <w:tcW w:w="1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ind w:left="200"/>
              <w:spacing w:after="0"/>
              <w:rPr>
                <w:sz w:val="20"/>
                <w:szCs w:val="20"/>
                <w:color w:val="auto"/>
              </w:rPr>
            </w:pPr>
            <w:r>
              <w:rPr>
                <w:rFonts w:ascii="Arial" w:cs="Arial" w:eastAsia="Arial" w:hAnsi="Arial"/>
                <w:sz w:val="14"/>
                <w:szCs w:val="14"/>
                <w:color w:val="auto"/>
              </w:rPr>
              <w:t>LUNAR-COVID, net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19,688</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16,939</w:t>
            </w:r>
          </w:p>
        </w:tc>
        <w:tc>
          <w:tcPr>
            <w:tcW w:w="4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2,749</w:t>
            </w:r>
          </w:p>
        </w:tc>
        <w:tc>
          <w:tcPr>
            <w:tcW w:w="2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16.2 %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42,516</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44,755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(2,239 )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75"/>
        </w:trPr>
        <w:tc>
          <w:tcPr>
            <w:tcW w:w="24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LUNAR-OTC, net</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(564 )</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-20.4 %</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5,519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1,111</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25.2 %</w:t>
            </w:r>
          </w:p>
        </w:tc>
        <w:tc>
          <w:tcPr>
            <w:tcW w:w="0" w:type="dxa"/>
            <w:vAlign w:val="bottom"/>
          </w:tcPr>
          <w:p>
            <w:pPr>
              <w:spacing w:after="0"/>
              <w:rPr>
                <w:sz w:val="1"/>
                <w:szCs w:val="1"/>
                <w:color w:val="auto"/>
              </w:rPr>
            </w:pPr>
          </w:p>
        </w:tc>
      </w:tr>
      <w:tr>
        <w:trPr>
          <w:trHeight w:val="176"/>
        </w:trPr>
        <w:tc>
          <w:tcPr>
            <w:tcW w:w="2480" w:type="dxa"/>
            <w:vAlign w:val="bottom"/>
            <w:gridSpan w:val="2"/>
          </w:tcPr>
          <w:p>
            <w:pPr>
              <w:ind w:left="200"/>
              <w:spacing w:after="0"/>
              <w:rPr>
                <w:sz w:val="20"/>
                <w:szCs w:val="20"/>
                <w:color w:val="auto"/>
              </w:rPr>
            </w:pPr>
            <w:r>
              <w:rPr>
                <w:rFonts w:ascii="Arial" w:cs="Arial" w:eastAsia="Arial" w:hAnsi="Arial"/>
                <w:sz w:val="14"/>
                <w:szCs w:val="14"/>
                <w:color w:val="auto"/>
              </w:rPr>
              <w:t>Early-stage programs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7,563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2,323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5,240</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12,432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8,202</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Discovery technologies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6,853</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3,242</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3,611</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6,997</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4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External platform development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Personnel related expenses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13,458</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2,925</w:t>
            </w:r>
          </w:p>
        </w:tc>
        <w:tc>
          <w:tcPr>
            <w:tcW w:w="2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27.8 %</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26,728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20,850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5,878</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28.2 %</w:t>
            </w:r>
          </w:p>
        </w:tc>
        <w:tc>
          <w:tcPr>
            <w:tcW w:w="0" w:type="dxa"/>
            <w:vAlign w:val="bottom"/>
          </w:tcPr>
          <w:p>
            <w:pPr>
              <w:spacing w:after="0"/>
              <w:rPr>
                <w:sz w:val="1"/>
                <w:szCs w:val="1"/>
                <w:color w:val="auto"/>
              </w:rPr>
            </w:pPr>
          </w:p>
        </w:tc>
      </w:tr>
      <w:tr>
        <w:trPr>
          <w:trHeight w:val="175"/>
        </w:trPr>
        <w:tc>
          <w:tcPr>
            <w:tcW w:w="2480" w:type="dxa"/>
            <w:vAlign w:val="bottom"/>
            <w:gridSpan w:val="2"/>
          </w:tcPr>
          <w:p>
            <w:pPr>
              <w:ind w:left="200"/>
              <w:spacing w:after="0"/>
              <w:rPr>
                <w:sz w:val="20"/>
                <w:szCs w:val="20"/>
                <w:color w:val="auto"/>
              </w:rPr>
            </w:pPr>
            <w:r>
              <w:rPr>
                <w:rFonts w:ascii="Arial" w:cs="Arial" w:eastAsia="Arial" w:hAnsi="Arial"/>
                <w:sz w:val="14"/>
                <w:szCs w:val="14"/>
                <w:color w:val="auto"/>
              </w:rPr>
              <w:t>Facilities and equipment expenses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2,906</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21.7 %</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5,637</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4,232</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1,405</w:t>
            </w:r>
          </w:p>
        </w:tc>
        <w:tc>
          <w:tcPr>
            <w:tcW w:w="24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33.2 %</w:t>
            </w:r>
          </w:p>
        </w:tc>
        <w:tc>
          <w:tcPr>
            <w:tcW w:w="0" w:type="dxa"/>
            <w:vAlign w:val="bottom"/>
          </w:tcPr>
          <w:p>
            <w:pPr>
              <w:spacing w:after="0"/>
              <w:rPr>
                <w:sz w:val="1"/>
                <w:szCs w:val="1"/>
                <w:color w:val="auto"/>
              </w:rPr>
            </w:pPr>
          </w:p>
        </w:tc>
      </w:tr>
      <w:tr>
        <w:trPr>
          <w:trHeight w:val="137"/>
        </w:trPr>
        <w:tc>
          <w:tcPr>
            <w:tcW w:w="2480" w:type="dxa"/>
            <w:vAlign w:val="bottom"/>
            <w:gridSpan w:val="2"/>
            <w:shd w:val="clear" w:color="auto" w:fill="CFF0FC"/>
          </w:tcPr>
          <w:p>
            <w:pPr>
              <w:ind w:left="20"/>
              <w:spacing w:after="0" w:line="137" w:lineRule="exact"/>
              <w:rPr>
                <w:sz w:val="20"/>
                <w:szCs w:val="20"/>
                <w:color w:val="auto"/>
              </w:rPr>
            </w:pPr>
            <w:r>
              <w:rPr>
                <w:rFonts w:ascii="Arial" w:cs="Arial" w:eastAsia="Arial" w:hAnsi="Arial"/>
                <w:sz w:val="14"/>
                <w:szCs w:val="14"/>
                <w:color w:val="auto"/>
              </w:rPr>
              <w:t>Total research and development</w:t>
            </w: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52,668</w:t>
            </w:r>
          </w:p>
        </w:tc>
        <w:tc>
          <w:tcPr>
            <w:tcW w:w="26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38,189</w:t>
            </w:r>
          </w:p>
        </w:tc>
        <w:tc>
          <w:tcPr>
            <w:tcW w:w="260" w:type="dxa"/>
            <w:vAlign w:val="bottom"/>
            <w:vMerge w:val="restart"/>
            <w:shd w:val="clear" w:color="auto" w:fill="CFF0FC"/>
          </w:tcPr>
          <w:p>
            <w:pPr>
              <w:spacing w:after="0"/>
              <w:rPr>
                <w:sz w:val="11"/>
                <w:szCs w:val="11"/>
                <w:color w:val="auto"/>
              </w:rPr>
            </w:pPr>
          </w:p>
        </w:tc>
        <w:tc>
          <w:tcPr>
            <w:tcW w:w="2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14,479</w:t>
            </w: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104,436</w:t>
            </w:r>
          </w:p>
        </w:tc>
        <w:tc>
          <w:tcPr>
            <w:tcW w:w="26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83,082</w:t>
            </w:r>
          </w:p>
        </w:tc>
        <w:tc>
          <w:tcPr>
            <w:tcW w:w="26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21,354</w:t>
            </w: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80" w:type="dxa"/>
            <w:vAlign w:val="bottom"/>
            <w:tcBorders>
              <w:bottom w:val="single" w:sz="8" w:color="CFF0FC"/>
            </w:tcBorders>
            <w:gridSpan w:val="2"/>
            <w:shd w:val="clear" w:color="auto" w:fill="CFF0FC"/>
          </w:tcPr>
          <w:p>
            <w:pPr>
              <w:ind w:left="20"/>
              <w:spacing w:after="0" w:line="121" w:lineRule="exact"/>
              <w:rPr>
                <w:sz w:val="20"/>
                <w:szCs w:val="20"/>
                <w:color w:val="auto"/>
              </w:rPr>
            </w:pPr>
            <w:r>
              <w:rPr>
                <w:rFonts w:ascii="Arial" w:cs="Arial" w:eastAsia="Arial" w:hAnsi="Arial"/>
                <w:sz w:val="13"/>
                <w:szCs w:val="13"/>
                <w:color w:val="auto"/>
              </w:rPr>
              <w:t>expenses, net</w:t>
            </w: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6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220" w:type="dxa"/>
            <w:vAlign w:val="bottom"/>
            <w:tcBorders>
              <w:bottom w:val="single" w:sz="8" w:color="auto"/>
            </w:tcBorders>
            <w:vMerge w:val="continue"/>
            <w:shd w:val="clear" w:color="auto" w:fill="CFF0FC"/>
          </w:tcPr>
          <w:p>
            <w:pPr>
              <w:spacing w:after="0"/>
              <w:rPr>
                <w:sz w:val="15"/>
                <w:szCs w:val="15"/>
                <w:color w:val="auto"/>
              </w:rPr>
            </w:pPr>
          </w:p>
        </w:tc>
        <w:tc>
          <w:tcPr>
            <w:tcW w:w="58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gridSpan w:val="2"/>
            <w:shd w:val="clear" w:color="auto" w:fill="CFF0FC"/>
          </w:tcPr>
          <w:p>
            <w:pPr>
              <w:jc w:val="right"/>
              <w:ind w:right="120"/>
              <w:spacing w:after="0" w:line="121" w:lineRule="exact"/>
              <w:rPr>
                <w:sz w:val="20"/>
                <w:szCs w:val="20"/>
                <w:color w:val="auto"/>
              </w:rPr>
            </w:pPr>
            <w:r>
              <w:rPr>
                <w:rFonts w:ascii="Arial" w:cs="Arial" w:eastAsia="Arial" w:hAnsi="Arial"/>
                <w:sz w:val="13"/>
                <w:szCs w:val="13"/>
                <w:color w:val="auto"/>
              </w:rPr>
              <w:t>37.9 %</w:t>
            </w: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160" w:type="dxa"/>
            <w:vAlign w:val="bottom"/>
            <w:tcBorders>
              <w:bottom w:val="single" w:sz="8" w:color="auto"/>
            </w:tcBorders>
            <w:vMerge w:val="continue"/>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gridSpan w:val="2"/>
            <w:shd w:val="clear" w:color="auto" w:fill="CFF0FC"/>
          </w:tcPr>
          <w:p>
            <w:pPr>
              <w:jc w:val="right"/>
              <w:spacing w:after="0" w:line="121" w:lineRule="exact"/>
              <w:rPr>
                <w:sz w:val="20"/>
                <w:szCs w:val="20"/>
                <w:color w:val="auto"/>
              </w:rPr>
            </w:pPr>
            <w:r>
              <w:rPr>
                <w:rFonts w:ascii="Arial" w:cs="Arial" w:eastAsia="Arial" w:hAnsi="Arial"/>
                <w:sz w:val="13"/>
                <w:szCs w:val="13"/>
                <w:color w:val="auto"/>
              </w:rPr>
              <w:t>25.7 %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-24765</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facility related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24" w:name="page25"/>
    <w:bookmarkEnd w:id="24"/>
    <w:p>
      <w:pPr>
        <w:ind w:right="60"/>
        <w:spacing w:after="0" w:line="271" w:lineRule="auto"/>
        <w:rPr>
          <w:sz w:val="20"/>
          <w:szCs w:val="20"/>
          <w:color w:val="auto"/>
        </w:rPr>
      </w:pPr>
      <w:r>
        <w:rPr>
          <w:rFonts w:ascii="Arial" w:cs="Arial" w:eastAsia="Arial" w:hAnsi="Arial"/>
          <w:sz w:val="17"/>
          <w:szCs w:val="17"/>
          <w:color w:val="auto"/>
        </w:rPr>
        <w:t>expenses and laboratory supplies related to conducting research and development activities. Research and development expenses were $52.7 million for the three months ended June 30, 2023, compared with $38.2 million in the comparable period last year, primarily reflecting increased clinical research and manufacturing costs of $11.4 million and an increase of $2.9 million in personnel related costs. Research and development expenses were $104.4 million for the six months ended June 30, 2023, compared with $83.1 million in the comparable period last year, primarily reflecting increased manufacturing costs of $11.1 million, an increase of $5.9 million in personnel related costs, an increase in consulting expenses of $1.8 million, an increase of $1.3 million in facilities expense and a decrease of contra research and development expenses recognized of $2.7 million. The increase was primarily offset by a decrease of clinical-related expenses of $1.2 million. We expect that our research and development efforts and associated costs will increase and continue to be substantial over the next several years as our pipeline progresses.</w:t>
      </w:r>
    </w:p>
    <w:p>
      <w:pPr>
        <w:spacing w:after="0" w:line="7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Early-stage programs represent programs that are in the pre-clinical or Phase 1 clinical stage and may be partnered or unpartnered, including the LUNAR-CF and LUNAR-FLU programs. Discovery technologies represent our efforts to expand our product pipeline and are primarily related to pre-partnered studies and new capabilities assessment. For some of our programs, the activities are part of our collaborative and other relationships and the expenses may be partially offset with funds that have been awarded to the Company. The expenses primarily consist of external manufacturing costs, lab supplies, equipment, and consulting and professional fees. Both early stage programs and discovery technologies expenses are expected to steadily increase over the coming years.</w:t>
      </w:r>
    </w:p>
    <w:p>
      <w:pPr>
        <w:spacing w:after="0" w:line="84" w:lineRule="exact"/>
        <w:rPr>
          <w:sz w:val="20"/>
          <w:szCs w:val="20"/>
          <w:color w:val="auto"/>
        </w:rPr>
      </w:pPr>
    </w:p>
    <w:p>
      <w:pPr>
        <w:ind w:right="520" w:firstLine="509"/>
        <w:spacing w:after="0" w:line="259" w:lineRule="auto"/>
        <w:rPr>
          <w:sz w:val="20"/>
          <w:szCs w:val="20"/>
          <w:color w:val="auto"/>
        </w:rPr>
      </w:pPr>
      <w:r>
        <w:rPr>
          <w:rFonts w:ascii="Arial" w:cs="Arial" w:eastAsia="Arial" w:hAnsi="Arial"/>
          <w:sz w:val="18"/>
          <w:szCs w:val="18"/>
          <w:color w:val="auto"/>
        </w:rPr>
        <w:t>Personnel related expenses primarily consist of employee salaries and benefits, share-based compensation and consultants and are expected to continue to increase in the near future as we continue increase headcount to meet the needs of our external pipeline, platform and clinical trial efforts. Additionally, personnel related expenses will continue to rise as we increase salaries in line with increases in the market rates in order to retain our employees.</w:t>
      </w:r>
    </w:p>
    <w:p>
      <w:pPr>
        <w:spacing w:after="0" w:line="79"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Facilities and equipment expenses continue to increase as we expand. The six months ended June 30, 2023 includes increased rent and associated costs related to a new facility we took possession of in April 2022. Facilities and equipment expenses are expected to increase in the near term due to increased rent expense related to our three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60" w:firstLine="509"/>
        <w:spacing w:after="0" w:line="308" w:lineRule="auto"/>
        <w:rPr>
          <w:sz w:val="20"/>
          <w:szCs w:val="20"/>
          <w:color w:val="auto"/>
        </w:rPr>
      </w:pPr>
      <w:r>
        <w:rPr>
          <w:rFonts w:ascii="Arial" w:cs="Arial" w:eastAsia="Arial" w:hAnsi="Arial"/>
          <w:sz w:val="17"/>
          <w:szCs w:val="17"/>
          <w:color w:val="auto"/>
        </w:rPr>
        <w:t>General and administrative expenses primarily consist of salaries and related benefits for our executive, administrative, legal and accounting functions and professional service fees for legal and accounting services as well as other general and administrative expenses.</w:t>
      </w:r>
    </w:p>
    <w:p>
      <w:pPr>
        <w:spacing w:after="0" w:line="38"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General and administrative expenses were $13.2 million and $27.0 million for the three and six months ended June 30, 2023, respectively, compared with $11.0 million and $21.7 million in the comparable periods last year. The increases resulted primarily from increased personnel expenses due to increased headcount and salaries, increased travel and consulting expenses as well as increased rent expense associated with the new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6"/>
          </w:tcPr>
          <w:p>
            <w:pPr>
              <w:jc w:val="right"/>
              <w:ind w:right="23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1800" w:type="dxa"/>
            <w:vAlign w:val="bottom"/>
            <w:gridSpan w:val="3"/>
          </w:tcPr>
          <w:p>
            <w:pPr>
              <w:ind w:left="520"/>
              <w:spacing w:after="0"/>
              <w:rPr>
                <w:sz w:val="20"/>
                <w:szCs w:val="20"/>
                <w:color w:val="auto"/>
              </w:rPr>
            </w:pPr>
            <w:r>
              <w:rPr>
                <w:rFonts w:ascii="Arial" w:cs="Arial" w:eastAsia="Arial" w:hAnsi="Arial"/>
                <w:sz w:val="14"/>
                <w:szCs w:val="14"/>
                <w:b w:val="1"/>
                <w:bCs w:val="1"/>
                <w:color w:val="auto"/>
              </w:rPr>
              <w:t>2022 to 2023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1"/>
              </w:rPr>
              <w:t>Six Months Ended June 30,</w:t>
            </w:r>
          </w:p>
        </w:tc>
        <w:tc>
          <w:tcPr>
            <w:tcW w:w="100" w:type="dxa"/>
            <w:vAlign w:val="bottom"/>
          </w:tcPr>
          <w:p>
            <w:pPr>
              <w:spacing w:after="0"/>
              <w:rPr>
                <w:sz w:val="16"/>
                <w:szCs w:val="16"/>
                <w:color w:val="auto"/>
              </w:rPr>
            </w:pPr>
          </w:p>
        </w:tc>
        <w:tc>
          <w:tcPr>
            <w:tcW w:w="2040" w:type="dxa"/>
            <w:vAlign w:val="bottom"/>
            <w:gridSpan w:val="5"/>
          </w:tcPr>
          <w:p>
            <w:pPr>
              <w:ind w:left="500"/>
              <w:spacing w:after="0"/>
              <w:rPr>
                <w:sz w:val="20"/>
                <w:szCs w:val="20"/>
                <w:color w:val="auto"/>
              </w:rPr>
            </w:pPr>
            <w:r>
              <w:rPr>
                <w:rFonts w:ascii="Arial" w:cs="Arial" w:eastAsia="Arial" w:hAnsi="Arial"/>
                <w:sz w:val="14"/>
                <w:szCs w:val="14"/>
                <w:b w:val="1"/>
                <w:bCs w:val="1"/>
                <w:color w:val="auto"/>
              </w:rPr>
              <w:t>2022 to 2023</w:t>
            </w:r>
          </w:p>
        </w:tc>
      </w:tr>
      <w:tr>
        <w:trPr>
          <w:trHeight w:val="169"/>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8"/>
              </w:rPr>
              <w:t>$ change</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7"/>
        </w:trPr>
        <w:tc>
          <w:tcPr>
            <w:tcW w:w="2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3,084</w:t>
            </w:r>
          </w:p>
        </w:tc>
        <w:tc>
          <w:tcPr>
            <w:tcW w:w="24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w:t>
            </w:r>
          </w:p>
        </w:tc>
        <w:tc>
          <w:tcPr>
            <w:tcW w:w="26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(728 )</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(743 )</w:t>
            </w:r>
          </w:p>
        </w:tc>
        <w:tc>
          <w:tcPr>
            <w:tcW w:w="180" w:type="dxa"/>
            <w:vAlign w:val="bottom"/>
          </w:tcPr>
          <w:p>
            <w:pPr>
              <w:spacing w:after="0"/>
              <w:rPr>
                <w:sz w:val="20"/>
                <w:szCs w:val="20"/>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(1,446 )</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-48.6 %</w:t>
            </w:r>
          </w:p>
        </w:tc>
        <w:tc>
          <w:tcPr>
            <w:tcW w:w="40" w:type="dxa"/>
            <w:vAlign w:val="bottom"/>
          </w:tcPr>
          <w:p>
            <w:pPr>
              <w:spacing w:after="0"/>
              <w:rPr>
                <w:sz w:val="20"/>
                <w:szCs w:val="20"/>
                <w:color w:val="auto"/>
              </w:rPr>
            </w:pPr>
          </w:p>
        </w:tc>
      </w:tr>
      <w:tr>
        <w:trPr>
          <w:trHeight w:val="283"/>
        </w:trPr>
        <w:tc>
          <w:tcPr>
            <w:tcW w:w="254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84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5,729</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6,853</w:t>
            </w:r>
          </w:p>
        </w:tc>
        <w:tc>
          <w:tcPr>
            <w:tcW w:w="1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-24765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-8255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-187960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-24765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-187960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-187960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117"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Interest income is generated on cash and cash equivalents. The increase in interest income for the three and six month periods ended June 30, 2023 as compared to the comparable periods last year was primarily the result of increased interest rates and an increased cash balance as a result of amounts received under the CSL Seqirus agreement. Interest expense decreased as no interest expense was incurred during the second quarter of 2023 due to the extinguishment of the Western Alliance Agreement and the forgiveness of the Singapore Loan during the first quarter of 2023.</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49"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2022 to 2023</w:t>
            </w:r>
          </w:p>
        </w:tc>
        <w:tc>
          <w:tcPr>
            <w:tcW w:w="100" w:type="dxa"/>
            <w:vAlign w:val="bottom"/>
          </w:tcPr>
          <w:p>
            <w:pPr>
              <w:spacing w:after="0"/>
              <w:rPr>
                <w:sz w:val="16"/>
                <w:szCs w:val="16"/>
                <w:color w:val="auto"/>
              </w:rPr>
            </w:pPr>
          </w:p>
        </w:tc>
        <w:tc>
          <w:tcPr>
            <w:tcW w:w="20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6"/>
                <w:szCs w:val="16"/>
                <w:color w:val="auto"/>
              </w:rPr>
            </w:pPr>
          </w:p>
        </w:tc>
        <w:tc>
          <w:tcPr>
            <w:tcW w:w="2020" w:type="dxa"/>
            <w:vAlign w:val="bottom"/>
            <w:gridSpan w:val="5"/>
          </w:tcPr>
          <w:p>
            <w:pPr>
              <w:ind w:left="480"/>
              <w:spacing w:after="0"/>
              <w:rPr>
                <w:sz w:val="20"/>
                <w:szCs w:val="20"/>
                <w:color w:val="auto"/>
              </w:rPr>
            </w:pPr>
            <w:r>
              <w:rPr>
                <w:rFonts w:ascii="Arial" w:cs="Arial" w:eastAsia="Arial" w:hAnsi="Arial"/>
                <w:sz w:val="14"/>
                <w:szCs w:val="14"/>
                <w:b w:val="1"/>
                <w:bCs w:val="1"/>
                <w:color w:val="auto"/>
              </w:rPr>
              <w:t>2022 to 2023</w:t>
            </w:r>
          </w:p>
        </w:tc>
      </w:tr>
      <w:tr>
        <w:trPr>
          <w:trHeight w:val="169"/>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5"/>
              </w:rPr>
              <w:t>$ change</w:t>
            </w: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23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Loss from equity-method</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2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investment</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(131 )</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Pr>
          <w:p>
            <w:pPr>
              <w:spacing w:after="0"/>
              <w:rPr>
                <w:sz w:val="21"/>
                <w:szCs w:val="21"/>
                <w:color w:val="auto"/>
              </w:rPr>
            </w:pPr>
          </w:p>
        </w:tc>
      </w:tr>
      <w:tr>
        <w:trPr>
          <w:trHeight w:val="215"/>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Gain (loss) from foreign</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(1,068 )</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-87.8 %</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(179 )</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(1,555 )</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25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33,953</w:t>
            </w:r>
          </w:p>
        </w:tc>
        <w:tc>
          <w:tcPr>
            <w:tcW w:w="2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Pr>
          <w:p>
            <w:pPr>
              <w:spacing w:after="0"/>
              <w:rPr>
                <w:sz w:val="21"/>
                <w:szCs w:val="21"/>
                <w:color w:val="auto"/>
              </w:rPr>
            </w:pPr>
          </w:p>
        </w:tc>
      </w:tr>
      <w:tr>
        <w:trPr>
          <w:trHeight w:val="237"/>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1,086</w:t>
            </w:r>
          </w:p>
        </w:tc>
        <w:tc>
          <w:tcPr>
            <w:tcW w:w="26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(937 )</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-86.3 %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(1,039 </w:t>
            </w:r>
            <w:r>
              <w:rPr>
                <w:rFonts w:ascii="Arial" w:cs="Arial" w:eastAsia="Arial" w:hAnsi="Arial"/>
                <w:sz w:val="18"/>
                <w:szCs w:val="18"/>
                <w:color w:val="auto"/>
                <w:highlight w:val="white"/>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-187960</wp:posOffset>
            </wp:positionV>
            <wp:extent cx="85725"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-187960</wp:posOffset>
            </wp:positionV>
            <wp:extent cx="7683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-187960</wp:posOffset>
            </wp:positionV>
            <wp:extent cx="7683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85725"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8572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117"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Other income and expense items primarily relate to gains and losses from equity-method investments and foreign currency transactions. Additionally, we recorded a gain on debt extinguishment related to the Singapore Loan of $34.0 million during the six months ended June 30, 2023 as a result of the Singapore Loan being forgiven during the first quarter of 2023.</w:t>
      </w:r>
    </w:p>
    <w:p>
      <w:pPr>
        <w:spacing w:after="0" w:line="76" w:lineRule="exact"/>
        <w:rPr>
          <w:sz w:val="20"/>
          <w:szCs w:val="20"/>
          <w:color w:val="auto"/>
        </w:rPr>
      </w:pPr>
    </w:p>
    <w:p>
      <w:pPr>
        <w:ind w:right="280" w:firstLine="509"/>
        <w:spacing w:after="0" w:line="308" w:lineRule="auto"/>
        <w:rPr>
          <w:sz w:val="20"/>
          <w:szCs w:val="20"/>
          <w:color w:val="auto"/>
        </w:rPr>
      </w:pPr>
      <w:r>
        <w:rPr>
          <w:rFonts w:ascii="Arial" w:cs="Arial" w:eastAsia="Arial" w:hAnsi="Arial"/>
          <w:sz w:val="17"/>
          <w:szCs w:val="17"/>
          <w:color w:val="auto"/>
        </w:rPr>
        <w:t>We recorded no gain or loss in the three and six months ended June 30, 2023, compared with $0.1 million and $0.5 million losses in the three and six months ended June 30, 2022, respectively, in connection with our investment in GRI Bio, Inc. (formerly Vallon Pharmaceuticals, Inc.)</w:t>
      </w:r>
    </w:p>
    <w:p>
      <w:pPr>
        <w:spacing w:after="0" w:line="38"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changes in gain (loss) from foreign currency for the three and six months ended June 30, 2023 compared to the three and six months ended June 30, 2022 were primarily attributable to the Singapore Loan being forgiven during the first quarter of 2023. The remaining amounts recorded as gain (loss) from foreign currency relate to transactions made in foreign currencies.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Through June 30, 2023,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From the Company’s inception through the quarter ended June 30, 2023, the Company has funded its operations principally with the proceeds from the sale of capital stock, long-term debt and revenues earned through collaboration agreements and government contracts. We received a $200.0 million upfront payment from CSL Seqirus during the fourth quarter of 2022. Additionally, in the three months ended June 30, 2023, we received $90.0 million in milestone payments and $23.6 million for the manufacturing and supply of ARCT-154 from CSL Seqirus. We expect to receive future payments from CSL Seqirus primarily by meeting future milestones related to the CSL Collaboration Agreement. At June 30, 2023, we had $323.5 million in unrestricted cash and cash equivalents.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CSL Seqirus, Inc. Collaboration and License Agreement</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entered into the CSL Collaboration Agreement with CSL Seqirus, a part of CSL Limited, one of the world’s leading influenza vaccine providers, for the global exclusive rights to research, develop, manufacture and commercialize of self-amplifying mRNA vaccines.</w:t>
      </w:r>
    </w:p>
    <w:p>
      <w:pPr>
        <w:spacing w:after="0" w:line="62" w:lineRule="exact"/>
        <w:rPr>
          <w:sz w:val="20"/>
          <w:szCs w:val="20"/>
          <w:color w:val="auto"/>
        </w:rPr>
      </w:pPr>
    </w:p>
    <w:p>
      <w:pPr>
        <w:ind w:right="340" w:firstLine="509"/>
        <w:spacing w:after="0" w:line="257" w:lineRule="auto"/>
        <w:rPr>
          <w:sz w:val="20"/>
          <w:szCs w:val="20"/>
          <w:color w:val="auto"/>
        </w:rPr>
      </w:pPr>
      <w:r>
        <w:rPr>
          <w:rFonts w:ascii="Arial" w:cs="Arial" w:eastAsia="Arial" w:hAnsi="Arial"/>
          <w:sz w:val="18"/>
          <w:szCs w:val="18"/>
          <w:color w:val="auto"/>
        </w:rPr>
        <w:t>CSL Seqirus received exclusive global rights to our technology for vaccines against SARS-CoV-2 (COVID-19), influenza and three other respiratory infectious diseases with non-exclusive rights to pandemic pathogens. We received an up-front payment of $200.0 million during the fourth quarter of 2022. We will be eligible to potentially receive development milestones totaling more than $1.3 billion if all products are registered in the licensed fields. We will also be entitled to potentially receive up to $3.0 billion in commercial milestones based on “net sales” of vaccines in the various fields.</w:t>
      </w:r>
    </w:p>
    <w:p>
      <w:pPr>
        <w:spacing w:after="0" w:line="80"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w:t>
      </w:r>
    </w:p>
    <w:p>
      <w:pPr>
        <w:spacing w:after="0" w:line="7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CSL Collaboration Agreement sets forth how CSL Seqirus and us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Wells Fargo Credit Agreement</w:t>
      </w:r>
    </w:p>
    <w:p>
      <w:pPr>
        <w:spacing w:after="0" w:line="117"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On April 21, 2023, the Company’s wholly-owned subsidiary, Arcturus Therapeutics, Inc. entered into a credit agreement with Wells Fargo Bank, National Association (“Wells Fargo”) whereby Wells Fargo will make a $50.0 million revolving credit line available to the Company (the “Wells Fargo Loan”) and each Wells Fargo Loan evidenced by a revolving line of credit note (the “Note”).</w:t>
      </w:r>
    </w:p>
    <w:p>
      <w:pPr>
        <w:spacing w:after="0" w:line="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Borrowings under the agreement will bear interest at a rate of 1.00% above either the Daily Simple SOFR or Term SOFR (as such terms are defined in the Wells Fargo Note),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w:t>
      </w:r>
    </w:p>
    <w:p>
      <w:pPr>
        <w:spacing w:after="0" w:line="63"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 term of the agreement is two years, with an option for one-year renewals subject to Wells Fargo approval and the Company furnishing to Wells Fargo a non-refundable commitment fee equal to 0.25% of the Wells Fargo Loan amount for each such renewal. There is no penalty for terminating the agreement. There is no penalty for terminating the facility prior to the maturity date of the Wells Fargo Note. As collateral, the Company has agreed to pledge $55.0 million in cash to be held at the Company’s securities accounts with Wells Fargo Securities, LLC, an affiliate of Wells Fargo, pursuant to a security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from the Biomedical Advanced Research and Development Authority</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Vinbiocare Agreement</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spacing w:after="0" w:line="87" w:lineRule="exact"/>
        <w:rPr>
          <w:sz w:val="20"/>
          <w:szCs w:val="20"/>
          <w:color w:val="auto"/>
        </w:rPr>
      </w:pPr>
    </w:p>
    <w:p>
      <w:pPr>
        <w:jc w:val="both"/>
        <w:ind w:right="340" w:firstLine="509"/>
        <w:spacing w:after="0" w:line="263" w:lineRule="auto"/>
        <w:rPr>
          <w:sz w:val="20"/>
          <w:szCs w:val="20"/>
          <w:color w:val="auto"/>
        </w:rPr>
      </w:pPr>
      <w:r>
        <w:rPr>
          <w:rFonts w:ascii="Arial" w:cs="Arial" w:eastAsia="Arial" w:hAnsi="Arial"/>
          <w:sz w:val="18"/>
          <w:szCs w:val="18"/>
          <w:color w:val="auto"/>
        </w:rPr>
        <w:t>The Vinbiocare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Financial Resources</w:t>
      </w:r>
    </w:p>
    <w:p>
      <w:pPr>
        <w:spacing w:after="0" w:line="117" w:lineRule="exact"/>
        <w:rPr>
          <w:sz w:val="20"/>
          <w:szCs w:val="20"/>
          <w:color w:val="auto"/>
        </w:rPr>
      </w:pPr>
    </w:p>
    <w:p>
      <w:pPr>
        <w:ind w:right="400" w:firstLine="509"/>
        <w:spacing w:after="0" w:line="259" w:lineRule="auto"/>
        <w:rPr>
          <w:sz w:val="20"/>
          <w:szCs w:val="20"/>
          <w:color w:val="auto"/>
        </w:rPr>
      </w:pPr>
      <w:r>
        <w:rPr>
          <w:rFonts w:ascii="Arial" w:cs="Arial" w:eastAsia="Arial" w:hAnsi="Arial"/>
          <w:sz w:val="18"/>
          <w:szCs w:val="18"/>
          <w:color w:val="auto"/>
        </w:rPr>
        <w:t>A portion of our current cash balance is expected to be utilized during fiscal year 2023 to fund (i) the continued Phase 2 trial of ARCT-810, our LUNAR-OTC candidate, (ii) advances to our LUNAR-CF program in clinical trials, (iii) expenses incurred prior to customer payments under the CSL Collaboration Agreement and BARDA agreement and (iv) continued exploratory activities related to our platform and other general administrative activities.</w:t>
      </w:r>
    </w:p>
    <w:p>
      <w:pPr>
        <w:spacing w:after="0" w:line="79"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79"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executing on milestones within the CSL Collaboration Agreement and identifying and developing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of our LUNAR-COV19 and LUNAR-FLU vaccine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and/or expanding our manufacturing network and capabilities;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 including those with CSL Seqirus and CSL Seqirus’ arrangement with Meiji, and any related payments thereunder;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2022.</w:t>
      </w:r>
    </w:p>
    <w:p>
      <w:pPr>
        <w:spacing w:after="0" w:line="63"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Item 7, Management’s Discussion and Analysis of Financial Condition and Results of Operations, included in the 2022 Annual Report.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do not have any foreign currency or other derivative financial instruments.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June 30, 2023, the Company’s disclosure controls and procedures were effective at the reasonable assurance level, and we believe the condensed consolidated financial statements included in this Form 10-Q for the quarterly periods ended June 30, 2023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40" w:firstLine="509"/>
        <w:spacing w:after="0" w:line="293" w:lineRule="auto"/>
        <w:rPr>
          <w:sz w:val="20"/>
          <w:szCs w:val="20"/>
          <w:color w:val="auto"/>
        </w:rPr>
      </w:pPr>
      <w:r>
        <w:rPr>
          <w:rFonts w:ascii="Arial" w:cs="Arial" w:eastAsia="Arial" w:hAnsi="Arial"/>
          <w:sz w:val="16"/>
          <w:szCs w:val="16"/>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highly complex and subject to substantial uncertainties. The outcome of any such proceedings or claims, regardless of the merits, are and will be inherently uncertain; therefore, assessing the likelihood of loss and any estimated damages is difficult and subject to considerable judgment.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business is subject to various risks, including those described in Item 1A of our Annual Report on Form 10-K for the fiscal year ended December 31, 2022, which we strongly encourage you to review. There have been no material changes from the risk factors described in our Annual Report on Form 10-K for the year ended December 31, 2022 filed with the Commission on March 29, 2023 and in our Quarterly Report on Form 10-Q for the quarter ended March 31, 2023 filed with the Commission on May 9,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Item 6. Exhibits.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20" w:type="dxa"/>
            <w:vAlign w:val="bottom"/>
            <w:gridSpan w:val="28"/>
          </w:tcPr>
          <w:p>
            <w:pPr>
              <w:ind w:left="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4"/>
                <w:szCs w:val="24"/>
                <w:color w:val="auto"/>
              </w:rPr>
            </w:pPr>
          </w:p>
        </w:tc>
      </w:tr>
      <w:tr>
        <w:trPr>
          <w:trHeight w:val="458"/>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9920" w:type="dxa"/>
            <w:vAlign w:val="bottom"/>
            <w:gridSpan w:val="32"/>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297"/>
        </w:trPr>
        <w:tc>
          <w:tcPr>
            <w:tcW w:w="1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40" w:type="dxa"/>
            <w:vAlign w:val="bottom"/>
            <w:tcBorders>
              <w:top w:val="single" w:sz="8" w:color="auto"/>
              <w:bottom w:val="single" w:sz="8" w:color="0000FF"/>
            </w:tcBorders>
            <w:gridSpan w:val="18"/>
          </w:tcPr>
          <w:p>
            <w:pPr>
              <w:spacing w:after="0"/>
              <w:rPr>
                <w:rFonts w:ascii="Arial" w:cs="Arial" w:eastAsia="Arial" w:hAnsi="Arial"/>
                <w:sz w:val="18"/>
                <w:szCs w:val="18"/>
                <w:color w:val="0000FF"/>
                <w:w w:val="91"/>
              </w:rPr>
            </w:pPr>
            <w:hyperlink r:id="rId194">
              <w:r>
                <w:rPr>
                  <w:rFonts w:ascii="Arial" w:cs="Arial" w:eastAsia="Arial" w:hAnsi="Arial"/>
                  <w:sz w:val="18"/>
                  <w:szCs w:val="18"/>
                  <w:color w:val="0000FF"/>
                  <w:w w:val="91"/>
                </w:rPr>
                <w:t>Certificate of Incorporation. Incorporated by reference to Annex B to the proxy statement/prospectus which forms part of the</w:t>
              </w:r>
            </w:hyperlink>
          </w:p>
        </w:tc>
        <w:tc>
          <w:tcPr>
            <w:tcW w:w="880" w:type="dxa"/>
            <w:vAlign w:val="bottom"/>
            <w:tcBorders>
              <w:top w:val="single" w:sz="8" w:color="auto"/>
            </w:tcBorders>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40" w:type="dxa"/>
            <w:vAlign w:val="bottom"/>
            <w:tcBorders>
              <w:bottom w:val="single" w:sz="8" w:color="0000EE"/>
            </w:tcBorders>
            <w:gridSpan w:val="12"/>
          </w:tcPr>
          <w:p>
            <w:pPr>
              <w:spacing w:after="0" w:line="196"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Registration Statement on Form S-4 filed on March 18, 2019 (File No. 333-230353).</w:t>
              </w:r>
            </w:hyperlink>
          </w:p>
        </w:tc>
        <w:tc>
          <w:tcPr>
            <w:tcW w:w="37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31"/>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Certificate of Amendment, dated November 25, 2020. Incorporated by reference to Exhibit 3.1 to Form 8-K filed on November 25, 2020</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95">
              <w:r>
                <w:rPr>
                  <w:rFonts w:ascii="Arial" w:cs="Arial" w:eastAsia="Arial" w:hAnsi="Arial"/>
                  <w:sz w:val="18"/>
                  <w:szCs w:val="18"/>
                  <w:color w:val="0000FF"/>
                  <w:w w:val="91"/>
                </w:rPr>
                <w:t>(File No. 001-38942).</w:t>
              </w:r>
            </w:hyperlink>
          </w:p>
        </w:tc>
        <w:tc>
          <w:tcPr>
            <w:tcW w:w="834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60" w:type="dxa"/>
            <w:vAlign w:val="bottom"/>
          </w:tcPr>
          <w:p>
            <w:pPr>
              <w:ind w:left="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22"/>
          </w:tcPr>
          <w:p>
            <w:pPr>
              <w:spacing w:after="0"/>
              <w:rPr>
                <w:rFonts w:ascii="Arial" w:cs="Arial" w:eastAsia="Arial" w:hAnsi="Arial"/>
                <w:sz w:val="18"/>
                <w:szCs w:val="18"/>
                <w:color w:val="0000FF"/>
                <w:w w:val="91"/>
              </w:rPr>
            </w:pPr>
            <w:hyperlink r:id="rId196">
              <w:r>
                <w:rPr>
                  <w:rFonts w:ascii="Arial" w:cs="Arial" w:eastAsia="Arial" w:hAnsi="Arial"/>
                  <w:sz w:val="18"/>
                  <w:szCs w:val="18"/>
                  <w:color w:val="0000FF"/>
                  <w:w w:val="91"/>
                </w:rPr>
                <w:t>Bylaws of Arcturus Therapeutics Holdings Inc. Incorporated by reference to Exhibit 3.2 to the Company’s Registration Statement on</w:t>
              </w:r>
            </w:hyperlink>
          </w:p>
        </w:tc>
        <w:tc>
          <w:tcPr>
            <w:tcW w:w="3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32"/>
          </w:tcPr>
          <w:p>
            <w:pPr>
              <w:spacing w:after="0" w:line="196" w:lineRule="exact"/>
              <w:rPr>
                <w:rFonts w:ascii="Arial" w:cs="Arial" w:eastAsia="Arial" w:hAnsi="Arial"/>
                <w:sz w:val="18"/>
                <w:szCs w:val="18"/>
                <w:color w:val="0000FF"/>
              </w:rPr>
            </w:pPr>
            <w:hyperlink r:id="rId196">
              <w:r>
                <w:rPr>
                  <w:rFonts w:ascii="Arial" w:cs="Arial" w:eastAsia="Arial" w:hAnsi="Arial"/>
                  <w:sz w:val="18"/>
                  <w:szCs w:val="18"/>
                  <w:color w:val="0000FF"/>
                </w:rPr>
                <w:t>Form S-3, filed with the SEC on May 8, 2020 (File No. 333-238139).</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5"/>
          </w:tcPr>
          <w:p>
            <w:pPr>
              <w:spacing w:after="0"/>
              <w:rPr>
                <w:rFonts w:ascii="Arial" w:cs="Arial" w:eastAsia="Arial" w:hAnsi="Arial"/>
                <w:sz w:val="18"/>
                <w:szCs w:val="18"/>
                <w:color w:val="0000FF"/>
                <w:w w:val="92"/>
              </w:rPr>
            </w:pPr>
            <w:hyperlink r:id="rId197">
              <w:r>
                <w:rPr>
                  <w:rFonts w:ascii="Arial" w:cs="Arial" w:eastAsia="Arial" w:hAnsi="Arial"/>
                  <w:sz w:val="18"/>
                  <w:szCs w:val="18"/>
                  <w:color w:val="0000FF"/>
                  <w:w w:val="92"/>
                </w:rPr>
                <w:t>Description of Registrant’s Securities. Incorporated by reference to Exhibit 4.1 to the Company’s Annual Report on Form 10-K for the</w:t>
              </w:r>
            </w:hyperlink>
          </w:p>
        </w:tc>
        <w:tc>
          <w:tcPr>
            <w:tcW w:w="1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year ended December 31, 2021 filed on February 28, 2022 (File No. 001-38942).</w:t>
              </w:r>
            </w:hyperlink>
          </w:p>
        </w:tc>
        <w:tc>
          <w:tcPr>
            <w:tcW w:w="20" w:type="dxa"/>
            <w:vAlign w:val="bottom"/>
            <w:tcBorders>
              <w:bottom w:val="single" w:sz="8" w:color="0000EE"/>
            </w:tcBorders>
          </w:tcPr>
          <w:p>
            <w:pPr>
              <w:spacing w:after="0"/>
              <w:rPr>
                <w:sz w:val="17"/>
                <w:szCs w:val="17"/>
                <w:color w:val="auto"/>
              </w:rPr>
            </w:pPr>
          </w:p>
        </w:tc>
        <w:tc>
          <w:tcPr>
            <w:tcW w:w="40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740" w:type="dxa"/>
            <w:vAlign w:val="bottom"/>
            <w:tcBorders>
              <w:bottom w:val="single" w:sz="8" w:color="0000FF"/>
            </w:tcBorders>
            <w:gridSpan w:val="25"/>
          </w:tcPr>
          <w:p>
            <w:pPr>
              <w:spacing w:after="0"/>
              <w:rPr>
                <w:rFonts w:ascii="Arial" w:cs="Arial" w:eastAsia="Arial" w:hAnsi="Arial"/>
                <w:sz w:val="18"/>
                <w:szCs w:val="18"/>
                <w:color w:val="0000FF"/>
                <w:w w:val="92"/>
              </w:rPr>
            </w:pPr>
            <w:hyperlink r:id="rId198">
              <w:r>
                <w:rPr>
                  <w:rFonts w:ascii="Arial" w:cs="Arial" w:eastAsia="Arial" w:hAnsi="Arial"/>
                  <w:sz w:val="18"/>
                  <w:szCs w:val="18"/>
                  <w:color w:val="0000FF"/>
                  <w:w w:val="92"/>
                </w:rPr>
                <w:t>Form of Indemnification Agreement. Incorporated by reference to Exhibit 10.1 to the Company’s Annual Report on Form 10-K for the</w:t>
              </w:r>
            </w:hyperlink>
          </w:p>
        </w:tc>
        <w:tc>
          <w:tcPr>
            <w:tcW w:w="1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98">
              <w:r>
                <w:rPr>
                  <w:rFonts w:ascii="Arial" w:cs="Arial" w:eastAsia="Arial" w:hAnsi="Arial"/>
                  <w:sz w:val="18"/>
                  <w:szCs w:val="18"/>
                  <w:color w:val="0000FF"/>
                  <w:w w:val="90"/>
                </w:rPr>
                <w:t>year ended December 31, 2019 filed on March 16, 2020 (File No. 001-38942).</w:t>
              </w:r>
            </w:hyperlink>
          </w:p>
        </w:tc>
        <w:tc>
          <w:tcPr>
            <w:tcW w:w="426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9580" w:type="dxa"/>
            <w:vAlign w:val="bottom"/>
            <w:tcBorders>
              <w:bottom w:val="single" w:sz="8" w:color="0000FF"/>
            </w:tcBorders>
            <w:gridSpan w:val="21"/>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Amended and Restated 2019 Omnibus Equity Incentive Plan. Incorporated by reference Exhibit 4.3 to the Registration Statement on</w:t>
              </w:r>
            </w:hyperlink>
          </w:p>
        </w:tc>
        <w:tc>
          <w:tcPr>
            <w:tcW w:w="3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Form S-8 filed on August 5, 2020 (File No. 333-240397).</w:t>
              </w:r>
            </w:hyperlink>
          </w:p>
        </w:tc>
        <w:tc>
          <w:tcPr>
            <w:tcW w:w="578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6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5"/>
          </w:tcPr>
          <w:p>
            <w:pPr>
              <w:spacing w:after="0"/>
              <w:rPr>
                <w:rFonts w:ascii="Arial" w:cs="Arial" w:eastAsia="Arial" w:hAnsi="Arial"/>
                <w:sz w:val="18"/>
                <w:szCs w:val="18"/>
                <w:color w:val="0000FF"/>
                <w:w w:val="89"/>
              </w:rPr>
            </w:pPr>
            <w:hyperlink r:id="rId200">
              <w:r>
                <w:rPr>
                  <w:rFonts w:ascii="Arial" w:cs="Arial" w:eastAsia="Arial" w:hAnsi="Arial"/>
                  <w:sz w:val="18"/>
                  <w:szCs w:val="18"/>
                  <w:color w:val="0000FF"/>
                  <w:w w:val="89"/>
                </w:rPr>
                <w:t>Amended and Restated Amendment to Development and Option Agreement, dated as of September 28, 2018, by and between CureVac</w:t>
              </w:r>
            </w:hyperlink>
          </w:p>
        </w:tc>
        <w:tc>
          <w:tcPr>
            <w:tcW w:w="1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200">
              <w:r>
                <w:rPr>
                  <w:rFonts w:ascii="Arial" w:cs="Arial" w:eastAsia="Arial" w:hAnsi="Arial"/>
                  <w:sz w:val="18"/>
                  <w:szCs w:val="18"/>
                  <w:color w:val="0000FF"/>
                  <w:w w:val="91"/>
                </w:rPr>
                <w:t>AG and Arcturus Therapeutics Inc. Incorporated by reference to Exhibit 99.2 to the Company’s Report of Foreign Private Issuer on Form</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32"/>
          </w:tcPr>
          <w:p>
            <w:pPr>
              <w:spacing w:after="0" w:line="196" w:lineRule="exact"/>
              <w:rPr>
                <w:rFonts w:ascii="Arial" w:cs="Arial" w:eastAsia="Arial" w:hAnsi="Arial"/>
                <w:sz w:val="18"/>
                <w:szCs w:val="18"/>
                <w:color w:val="0000FF"/>
              </w:rPr>
            </w:pPr>
            <w:hyperlink r:id="rId200">
              <w:r>
                <w:rPr>
                  <w:rFonts w:ascii="Arial" w:cs="Arial" w:eastAsia="Arial" w:hAnsi="Arial"/>
                  <w:sz w:val="18"/>
                  <w:szCs w:val="18"/>
                  <w:color w:val="0000FF"/>
                </w:rPr>
                <w:t>6-K filed on October 1, 2018 (File No. 001-35932).</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32"/>
          </w:tcPr>
          <w:p>
            <w:pPr>
              <w:spacing w:after="0"/>
              <w:rPr>
                <w:rFonts w:ascii="Arial" w:cs="Arial" w:eastAsia="Arial" w:hAnsi="Arial"/>
                <w:sz w:val="18"/>
                <w:szCs w:val="18"/>
                <w:color w:val="0000FF"/>
                <w:w w:val="90"/>
              </w:rPr>
            </w:pPr>
            <w:hyperlink r:id="rId201">
              <w:r>
                <w:rPr>
                  <w:rFonts w:ascii="Arial" w:cs="Arial" w:eastAsia="Arial" w:hAnsi="Arial"/>
                  <w:sz w:val="18"/>
                  <w:szCs w:val="18"/>
                  <w:color w:val="0000FF"/>
                  <w:w w:val="90"/>
                </w:rPr>
                <w:t>Research and Exclusive License Agreement, by and between Arcturus Therapeutics, Inc. and Synthetic Genomics, Inc., effective October</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32"/>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24, 2017. Incorporated by reference to Exhibit 4.8 to Form 20-F filed on May 14, 2018 (File No. 001-35932).</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32"/>
          </w:tcPr>
          <w:p>
            <w:pPr>
              <w:spacing w:after="0"/>
              <w:rPr>
                <w:rFonts w:ascii="Arial" w:cs="Arial" w:eastAsia="Arial" w:hAnsi="Arial"/>
                <w:sz w:val="18"/>
                <w:szCs w:val="18"/>
                <w:color w:val="0000FF"/>
                <w:w w:val="89"/>
              </w:rPr>
            </w:pPr>
            <w:hyperlink r:id="rId202">
              <w:r>
                <w:rPr>
                  <w:rFonts w:ascii="Arial" w:cs="Arial" w:eastAsia="Arial" w:hAnsi="Arial"/>
                  <w:sz w:val="18"/>
                  <w:szCs w:val="18"/>
                  <w:color w:val="0000FF"/>
                  <w:w w:val="89"/>
                </w:rPr>
                <w:t>Research Collaboration and License Agreement, by and between Arcturus Therapeutics, Inc. and Ultragenyx Pharmaceutical Inc., entered</w:t>
              </w:r>
            </w:hyperlink>
          </w:p>
        </w:tc>
        <w:tc>
          <w:tcPr>
            <w:tcW w:w="20" w:type="dxa"/>
            <w:vAlign w:val="bottom"/>
            <w:tcBorders>
              <w:bottom w:val="single" w:sz="8" w:color="0000FF"/>
            </w:tcBorders>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into as of October 26, 2015, as amended October 17, 2017 and April 20, 2018. Incorporated by reference to Exhibit 4.10 to Form 20-F</w:t>
              </w:r>
            </w:hyperlink>
          </w:p>
        </w:tc>
        <w:tc>
          <w:tcPr>
            <w:tcW w:w="2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32"/>
          </w:tcPr>
          <w:p>
            <w:pPr>
              <w:spacing w:after="0" w:line="196" w:lineRule="exact"/>
              <w:rPr>
                <w:rFonts w:ascii="Arial" w:cs="Arial" w:eastAsia="Arial" w:hAnsi="Arial"/>
                <w:sz w:val="18"/>
                <w:szCs w:val="18"/>
                <w:color w:val="0000FF"/>
              </w:rPr>
            </w:pPr>
            <w:hyperlink r:id="rId202">
              <w:r>
                <w:rPr>
                  <w:rFonts w:ascii="Arial" w:cs="Arial" w:eastAsia="Arial" w:hAnsi="Arial"/>
                  <w:sz w:val="18"/>
                  <w:szCs w:val="18"/>
                  <w:color w:val="0000FF"/>
                </w:rPr>
                <w:t>filed on May 14, 2018 (File No. 001-35932).</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2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20"/>
          </w:tcPr>
          <w:p>
            <w:pPr>
              <w:spacing w:after="0"/>
              <w:rPr>
                <w:rFonts w:ascii="Arial" w:cs="Arial" w:eastAsia="Arial" w:hAnsi="Arial"/>
                <w:sz w:val="18"/>
                <w:szCs w:val="18"/>
                <w:color w:val="0000FF"/>
                <w:w w:val="90"/>
              </w:rPr>
            </w:pPr>
            <w:hyperlink r:id="rId203">
              <w:r>
                <w:rPr>
                  <w:rFonts w:ascii="Arial" w:cs="Arial" w:eastAsia="Arial" w:hAnsi="Arial"/>
                  <w:sz w:val="18"/>
                  <w:szCs w:val="18"/>
                  <w:color w:val="0000FF"/>
                  <w:w w:val="90"/>
                </w:rPr>
                <w:t>Third Amendment to Research Collaboration and License Agreement, by and between Arcturus Therapeutics, Inc. and Ultragenyx</w:t>
              </w:r>
            </w:hyperlink>
          </w:p>
        </w:tc>
        <w:tc>
          <w:tcPr>
            <w:tcW w:w="5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03">
              <w:r>
                <w:rPr>
                  <w:rFonts w:ascii="Arial" w:cs="Arial" w:eastAsia="Arial" w:hAnsi="Arial"/>
                  <w:sz w:val="18"/>
                  <w:szCs w:val="18"/>
                  <w:color w:val="0000FF"/>
                  <w:w w:val="91"/>
                </w:rPr>
                <w:t>Pharmaceutical Inc., effective June 18, 2019. Incorporated by reference to Exhibit 10.2 to Form 8-K filed on June 20, 2019 (File No.</w:t>
              </w:r>
            </w:hyperlink>
          </w:p>
        </w:tc>
        <w:tc>
          <w:tcPr>
            <w:tcW w:w="3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20"/>
              <w:spacing w:after="0" w:line="196" w:lineRule="exact"/>
              <w:rPr>
                <w:rFonts w:ascii="Arial" w:cs="Arial" w:eastAsia="Arial" w:hAnsi="Arial"/>
                <w:sz w:val="18"/>
                <w:szCs w:val="18"/>
                <w:color w:val="0000FF"/>
                <w:w w:val="88"/>
              </w:rPr>
            </w:pPr>
            <w:hyperlink r:id="rId203">
              <w:r>
                <w:rPr>
                  <w:rFonts w:ascii="Arial" w:cs="Arial" w:eastAsia="Arial" w:hAnsi="Arial"/>
                  <w:sz w:val="18"/>
                  <w:szCs w:val="18"/>
                  <w:color w:val="0000FF"/>
                  <w:w w:val="88"/>
                </w:rPr>
                <w:t>001- 38942).</w:t>
              </w:r>
            </w:hyperlink>
          </w:p>
        </w:tc>
        <w:tc>
          <w:tcPr>
            <w:tcW w:w="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30"/>
          </w:tcPr>
          <w:p>
            <w:pPr>
              <w:spacing w:after="0"/>
              <w:rPr>
                <w:rFonts w:ascii="Arial" w:cs="Arial" w:eastAsia="Arial" w:hAnsi="Arial"/>
                <w:sz w:val="18"/>
                <w:szCs w:val="18"/>
                <w:color w:val="0000FF"/>
                <w:w w:val="90"/>
              </w:rPr>
            </w:pPr>
            <w:hyperlink r:id="rId204">
              <w:r>
                <w:rPr>
                  <w:rFonts w:ascii="Arial" w:cs="Arial" w:eastAsia="Arial" w:hAnsi="Arial"/>
                  <w:sz w:val="18"/>
                  <w:szCs w:val="18"/>
                  <w:color w:val="0000FF"/>
                  <w:w w:val="90"/>
                </w:rPr>
                <w:t>Letter Agreement, by and between Arcturus Therapeutics, Inc. and the Cystic Fibrosis Foundation, dated May 16, 2017. Incorporated by</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reference to Exhibit 4.11 to Form 20-F filed on May 14, 2018 (File No. 001-35932).</w:t>
              </w:r>
            </w:hyperlink>
          </w:p>
        </w:tc>
        <w:tc>
          <w:tcPr>
            <w:tcW w:w="386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160" w:type="dxa"/>
            <w:vAlign w:val="bottom"/>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30"/>
          </w:tcPr>
          <w:p>
            <w:pPr>
              <w:spacing w:after="0"/>
              <w:rPr>
                <w:rFonts w:ascii="Arial" w:cs="Arial" w:eastAsia="Arial" w:hAnsi="Arial"/>
                <w:sz w:val="18"/>
                <w:szCs w:val="18"/>
                <w:color w:val="0000FF"/>
                <w:w w:val="90"/>
              </w:rPr>
            </w:pPr>
            <w:hyperlink r:id="rId205">
              <w:r>
                <w:rPr>
                  <w:rFonts w:ascii="Arial" w:cs="Arial" w:eastAsia="Arial" w:hAnsi="Arial"/>
                  <w:sz w:val="18"/>
                  <w:szCs w:val="18"/>
                  <w:color w:val="0000FF"/>
                  <w:w w:val="90"/>
                </w:rPr>
                <w:t>Amendment No. 2 to Letter Agreement, by and between Arcturus Therapeutics, Inc. and the Cystic Fibrosis Foundation, dated August 1,</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32"/>
          </w:tcPr>
          <w:p>
            <w:pPr>
              <w:spacing w:after="0" w:line="196" w:lineRule="exact"/>
              <w:rPr>
                <w:rFonts w:ascii="Arial" w:cs="Arial" w:eastAsia="Arial" w:hAnsi="Arial"/>
                <w:sz w:val="18"/>
                <w:szCs w:val="18"/>
                <w:color w:val="0000FF"/>
              </w:rPr>
            </w:pPr>
            <w:hyperlink r:id="rId205">
              <w:r>
                <w:rPr>
                  <w:rFonts w:ascii="Arial" w:cs="Arial" w:eastAsia="Arial" w:hAnsi="Arial"/>
                  <w:sz w:val="18"/>
                  <w:szCs w:val="18"/>
                  <w:color w:val="0000FF"/>
                </w:rPr>
                <w:t>2019. Incorporated by reference to Exhibit 10.16 to Form 10-Q filed on August 14, 2019.</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380" w:type="dxa"/>
            <w:vAlign w:val="bottom"/>
            <w:gridSpan w:val="8"/>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27"/>
          </w:tcPr>
          <w:p>
            <w:pPr>
              <w:spacing w:after="0"/>
              <w:rPr>
                <w:rFonts w:ascii="Arial" w:cs="Arial" w:eastAsia="Arial" w:hAnsi="Arial"/>
                <w:sz w:val="18"/>
                <w:szCs w:val="18"/>
                <w:color w:val="0000FF"/>
                <w:w w:val="89"/>
              </w:rPr>
            </w:pPr>
            <w:hyperlink r:id="rId206">
              <w:r>
                <w:rPr>
                  <w:rFonts w:ascii="Arial" w:cs="Arial" w:eastAsia="Arial" w:hAnsi="Arial"/>
                  <w:sz w:val="18"/>
                  <w:szCs w:val="18"/>
                  <w:color w:val="0000FF"/>
                  <w:w w:val="89"/>
                </w:rPr>
                <w:t>Development and Option Agreement, by and between Arcturus Therapeutics, Inc. and CureVac AG, dated January 1, 2018, as amended</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6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206">
              <w:r>
                <w:rPr>
                  <w:rFonts w:ascii="Arial" w:cs="Arial" w:eastAsia="Arial" w:hAnsi="Arial"/>
                  <w:sz w:val="18"/>
                  <w:szCs w:val="18"/>
                  <w:color w:val="0000FF"/>
                  <w:w w:val="92"/>
                </w:rPr>
                <w:t>May 3, 2018. Incorporated by reference to Exhibit 4.12 to Form 20-F filed on May 14, 2018 (File No. 001-35932).</w:t>
              </w:r>
            </w:hyperlink>
          </w:p>
        </w:tc>
        <w:tc>
          <w:tcPr>
            <w:tcW w:w="16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160" w:type="dxa"/>
            <w:vAlign w:val="bottom"/>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9"/>
          </w:tcPr>
          <w:p>
            <w:pPr>
              <w:spacing w:after="0"/>
              <w:rPr>
                <w:rFonts w:ascii="Arial" w:cs="Arial" w:eastAsia="Arial" w:hAnsi="Arial"/>
                <w:sz w:val="18"/>
                <w:szCs w:val="18"/>
                <w:color w:val="0000FF"/>
                <w:w w:val="90"/>
              </w:rPr>
            </w:pPr>
            <w:hyperlink r:id="rId207">
              <w:r>
                <w:rPr>
                  <w:rFonts w:ascii="Arial" w:cs="Arial" w:eastAsia="Arial" w:hAnsi="Arial"/>
                  <w:sz w:val="18"/>
                  <w:szCs w:val="18"/>
                  <w:color w:val="0000FF"/>
                  <w:w w:val="90"/>
                </w:rPr>
                <w:t>Third Amendment to Development and Option Agreement, by and between Arcturus Therapeutics, Inc. and CureVac AG, dated July 26,</w:t>
              </w:r>
            </w:hyperlink>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32"/>
          </w:tcPr>
          <w:p>
            <w:pPr>
              <w:spacing w:after="0" w:line="196" w:lineRule="exact"/>
              <w:rPr>
                <w:rFonts w:ascii="Arial" w:cs="Arial" w:eastAsia="Arial" w:hAnsi="Arial"/>
                <w:sz w:val="18"/>
                <w:szCs w:val="18"/>
                <w:color w:val="0000FF"/>
              </w:rPr>
            </w:pPr>
            <w:hyperlink r:id="rId207">
              <w:r>
                <w:rPr>
                  <w:rFonts w:ascii="Arial" w:cs="Arial" w:eastAsia="Arial" w:hAnsi="Arial"/>
                  <w:sz w:val="18"/>
                  <w:szCs w:val="18"/>
                  <w:color w:val="0000FF"/>
                </w:rPr>
                <w:t>2019. Incorporated by reference to Exhibit 10.20 to Form 10-Q filed on August 14, 2019 (File No. 001-38942).</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60" w:type="dxa"/>
            <w:vAlign w:val="bottom"/>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0000FF"/>
            </w:tcBorders>
            <w:gridSpan w:val="18"/>
          </w:tcPr>
          <w:p>
            <w:pPr>
              <w:spacing w:after="0"/>
              <w:rPr>
                <w:rFonts w:ascii="Arial" w:cs="Arial" w:eastAsia="Arial" w:hAnsi="Arial"/>
                <w:sz w:val="18"/>
                <w:szCs w:val="18"/>
                <w:color w:val="0000FF"/>
                <w:w w:val="90"/>
              </w:rPr>
            </w:pPr>
            <w:hyperlink r:id="rId208">
              <w:r>
                <w:rPr>
                  <w:rFonts w:ascii="Arial" w:cs="Arial" w:eastAsia="Arial" w:hAnsi="Arial"/>
                  <w:sz w:val="18"/>
                  <w:szCs w:val="18"/>
                  <w:color w:val="0000FF"/>
                  <w:w w:val="90"/>
                </w:rPr>
                <w:t>License Agreement, by and between Arcturus Therapeutics, Inc., as successor-in-interest to Marina Biotech, Inc., and Protiva</w:t>
              </w:r>
            </w:hyperlink>
          </w:p>
        </w:tc>
        <w:tc>
          <w:tcPr>
            <w:tcW w:w="8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Biotherapeutics Inc., dated as of November 28, 2012. Incorporated by reference to Exhibit 4.14 to Form 20-F/A filed on July 10, 2018</w:t>
              </w:r>
            </w:hyperlink>
          </w:p>
        </w:tc>
        <w:tc>
          <w:tcPr>
            <w:tcW w:w="2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(File No. 001-35932).</w:t>
              </w:r>
            </w:hyperlink>
          </w:p>
        </w:tc>
        <w:tc>
          <w:tcPr>
            <w:tcW w:w="834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160" w:type="dxa"/>
            <w:vAlign w:val="bottom"/>
          </w:tcPr>
          <w:p>
            <w:pPr>
              <w:ind w:left="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28"/>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Patent Assignment and License Agreement, by and between Arcturus Therapeutics, Inc. and Marina Biotech, Inc., dated as of August 9,</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32"/>
          </w:tcPr>
          <w:p>
            <w:pPr>
              <w:spacing w:after="0" w:line="196" w:lineRule="exact"/>
              <w:rPr>
                <w:rFonts w:ascii="Arial" w:cs="Arial" w:eastAsia="Arial" w:hAnsi="Arial"/>
                <w:sz w:val="18"/>
                <w:szCs w:val="18"/>
                <w:color w:val="0000FF"/>
              </w:rPr>
            </w:pPr>
            <w:hyperlink r:id="rId209">
              <w:r>
                <w:rPr>
                  <w:rFonts w:ascii="Arial" w:cs="Arial" w:eastAsia="Arial" w:hAnsi="Arial"/>
                  <w:sz w:val="18"/>
                  <w:szCs w:val="18"/>
                  <w:color w:val="0000FF"/>
                </w:rPr>
                <w:t>2013. Incorporated by reference to Exhibit 4.15 to Form 20-F filed on May 14, 2018 (File No. 001-35932).</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60" w:type="dxa"/>
            <w:vAlign w:val="bottom"/>
            <w:gridSpan w:val="9"/>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ind w:left="2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9"/>
          </w:tcPr>
          <w:p>
            <w:pPr>
              <w:spacing w:after="0"/>
              <w:rPr>
                <w:rFonts w:ascii="Arial" w:cs="Arial" w:eastAsia="Arial" w:hAnsi="Arial"/>
                <w:sz w:val="18"/>
                <w:szCs w:val="18"/>
                <w:color w:val="0000FF"/>
                <w:w w:val="89"/>
              </w:rPr>
            </w:pPr>
            <w:hyperlink r:id="rId210">
              <w:r>
                <w:rPr>
                  <w:rFonts w:ascii="Arial" w:cs="Arial" w:eastAsia="Arial" w:hAnsi="Arial"/>
                  <w:sz w:val="18"/>
                  <w:szCs w:val="18"/>
                  <w:color w:val="0000FF"/>
                  <w:w w:val="89"/>
                </w:rPr>
                <w:t>Share Exchange Agreement, dated as of February 11, 2019, by and between Arcturus Therapeutics Ltd. and Arcturus Therapeutics</w:t>
              </w:r>
            </w:hyperlink>
          </w:p>
        </w:tc>
        <w:tc>
          <w:tcPr>
            <w:tcW w:w="5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Holdings Inc. Incorporated by reference to Exhibit 10.13 to the Company’s Annual Report on Form 10-K for the year ended December</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31, 2018 filed on March 18, 2019 (File No. 001-35932).</w:t>
              </w:r>
            </w:hyperlink>
          </w:p>
        </w:tc>
        <w:tc>
          <w:tcPr>
            <w:tcW w:w="588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20" w:type="dxa"/>
            <w:vAlign w:val="bottom"/>
            <w:gridSpan w:val="8"/>
          </w:tcPr>
          <w:p>
            <w:pPr>
              <w:jc w:val="right"/>
              <w:ind w:right="600"/>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320" w:type="dxa"/>
            <w:vAlign w:val="bottom"/>
          </w:tcPr>
          <w:p>
            <w:pPr>
              <w:ind w:left="20"/>
              <w:spacing w:after="0"/>
              <w:rPr>
                <w:sz w:val="20"/>
                <w:szCs w:val="20"/>
                <w:color w:val="auto"/>
              </w:rPr>
            </w:pPr>
            <w:r>
              <w:rPr>
                <w:rFonts w:ascii="Arial" w:cs="Arial" w:eastAsia="Arial" w:hAnsi="Arial"/>
                <w:sz w:val="18"/>
                <w:szCs w:val="18"/>
                <w:color w:val="auto"/>
              </w:rPr>
              <w:t>10.14</w:t>
            </w:r>
          </w:p>
        </w:tc>
        <w:tc>
          <w:tcPr>
            <w:tcW w:w="9740" w:type="dxa"/>
            <w:vAlign w:val="bottom"/>
            <w:tcBorders>
              <w:bottom w:val="single" w:sz="8" w:color="0000FF"/>
            </w:tcBorders>
            <w:gridSpan w:val="29"/>
          </w:tcPr>
          <w:p>
            <w:pPr>
              <w:spacing w:after="0"/>
              <w:rPr>
                <w:rFonts w:ascii="Arial" w:cs="Arial" w:eastAsia="Arial" w:hAnsi="Arial"/>
                <w:sz w:val="18"/>
                <w:szCs w:val="18"/>
                <w:color w:val="0000FF"/>
                <w:w w:val="90"/>
              </w:rPr>
            </w:pPr>
            <w:hyperlink r:id="rId213">
              <w:r>
                <w:rPr>
                  <w:rFonts w:ascii="Arial" w:cs="Arial" w:eastAsia="Arial" w:hAnsi="Arial"/>
                  <w:sz w:val="18"/>
                  <w:szCs w:val="18"/>
                  <w:color w:val="0000FF"/>
                  <w:w w:val="90"/>
                </w:rPr>
                <w:t>Lease Agreement, by and between Arcturus Therapeutics, Inc. and ARE-SD Region No. 44, LLC, dated October 4, 2017. Incorporated</w:t>
              </w:r>
            </w:hyperlink>
          </w:p>
        </w:tc>
        <w:tc>
          <w:tcPr>
            <w:tcW w:w="180" w:type="dxa"/>
            <w:vAlign w:val="bottom"/>
            <w:gridSpan w:val="9"/>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20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213">
              <w:r>
                <w:rPr>
                  <w:rFonts w:ascii="Arial" w:cs="Arial" w:eastAsia="Arial" w:hAnsi="Arial"/>
                  <w:sz w:val="18"/>
                  <w:szCs w:val="18"/>
                  <w:color w:val="0000FF"/>
                  <w:w w:val="92"/>
                </w:rPr>
                <w:t>by reference to Exhibit 4.6 to Form 20-F filed on May 14, 2018 (File No. 001-35932).</w:t>
              </w:r>
            </w:hyperlink>
          </w:p>
        </w:tc>
        <w:tc>
          <w:tcPr>
            <w:tcW w:w="3720" w:type="dxa"/>
            <w:vAlign w:val="bottom"/>
            <w:gridSpan w:val="24"/>
          </w:tcPr>
          <w:p>
            <w:pPr>
              <w:spacing w:after="0"/>
              <w:rPr>
                <w:sz w:val="17"/>
                <w:szCs w:val="17"/>
                <w:color w:val="auto"/>
              </w:rPr>
            </w:pPr>
          </w:p>
        </w:tc>
      </w:tr>
      <w:tr>
        <w:trPr>
          <w:trHeight w:val="372"/>
        </w:trPr>
        <w:tc>
          <w:tcPr>
            <w:tcW w:w="1320" w:type="dxa"/>
            <w:vAlign w:val="bottom"/>
          </w:tcPr>
          <w:p>
            <w:pPr>
              <w:ind w:left="20"/>
              <w:spacing w:after="0"/>
              <w:rPr>
                <w:sz w:val="20"/>
                <w:szCs w:val="20"/>
                <w:color w:val="auto"/>
              </w:rPr>
            </w:pPr>
            <w:r>
              <w:rPr>
                <w:rFonts w:ascii="Arial" w:cs="Arial" w:eastAsia="Arial" w:hAnsi="Arial"/>
                <w:sz w:val="18"/>
                <w:szCs w:val="18"/>
                <w:color w:val="auto"/>
              </w:rPr>
              <w:t>10.15</w:t>
            </w:r>
          </w:p>
        </w:tc>
        <w:tc>
          <w:tcPr>
            <w:tcW w:w="9620" w:type="dxa"/>
            <w:vAlign w:val="bottom"/>
            <w:tcBorders>
              <w:bottom w:val="single" w:sz="8" w:color="0000FF"/>
            </w:tcBorders>
            <w:gridSpan w:val="24"/>
          </w:tcPr>
          <w:p>
            <w:pPr>
              <w:spacing w:after="0"/>
              <w:rPr>
                <w:rFonts w:ascii="Arial" w:cs="Arial" w:eastAsia="Arial" w:hAnsi="Arial"/>
                <w:sz w:val="18"/>
                <w:szCs w:val="18"/>
                <w:color w:val="0000FF"/>
                <w:w w:val="91"/>
              </w:rPr>
            </w:pPr>
            <w:hyperlink r:id="rId214">
              <w:r>
                <w:rPr>
                  <w:rFonts w:ascii="Arial" w:cs="Arial" w:eastAsia="Arial" w:hAnsi="Arial"/>
                  <w:sz w:val="18"/>
                  <w:szCs w:val="18"/>
                  <w:color w:val="0000FF"/>
                  <w:w w:val="91"/>
                </w:rPr>
                <w:t>First Amendment to Lease Agreement, by and between Arcturus Therapeutics Holdings Inc. and ARE-SD Region No. 44, LLC dated</w:t>
              </w:r>
            </w:hyperlink>
          </w:p>
        </w:tc>
        <w:tc>
          <w:tcPr>
            <w:tcW w:w="300" w:type="dxa"/>
            <w:vAlign w:val="bottom"/>
            <w:gridSpan w:val="14"/>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2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14">
              <w:r>
                <w:rPr>
                  <w:rFonts w:ascii="Arial" w:cs="Arial" w:eastAsia="Arial" w:hAnsi="Arial"/>
                  <w:sz w:val="18"/>
                  <w:szCs w:val="18"/>
                  <w:color w:val="0000FF"/>
                  <w:w w:val="91"/>
                </w:rPr>
                <w:t>February 1, 2020. Incorporated by reference to Exhibit 10.23 to the Company’s Annual Report on Form 10-K for the year ended</w:t>
              </w:r>
            </w:hyperlink>
          </w:p>
        </w:tc>
        <w:tc>
          <w:tcPr>
            <w:tcW w:w="660" w:type="dxa"/>
            <w:vAlign w:val="bottom"/>
            <w:gridSpan w:val="20"/>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FF"/>
              </w:rPr>
            </w:pPr>
            <w:hyperlink r:id="rId214">
              <w:r>
                <w:rPr>
                  <w:rFonts w:ascii="Arial" w:cs="Arial" w:eastAsia="Arial" w:hAnsi="Arial"/>
                  <w:sz w:val="18"/>
                  <w:szCs w:val="18"/>
                  <w:color w:val="0000FF"/>
                </w:rPr>
                <w:t>December 31, 2019 filed on March 16, 2020 (File No. 001-38942).</w:t>
              </w:r>
            </w:hyperlink>
          </w:p>
        </w:tc>
      </w:tr>
      <w:tr>
        <w:trPr>
          <w:trHeight w:val="20"/>
        </w:trPr>
        <w:tc>
          <w:tcPr>
            <w:tcW w:w="1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8"/>
                <w:szCs w:val="18"/>
                <w:color w:val="auto"/>
              </w:rPr>
              <w:t>10.16**</w:t>
            </w:r>
          </w:p>
        </w:tc>
        <w:tc>
          <w:tcPr>
            <w:tcW w:w="9840" w:type="dxa"/>
            <w:vAlign w:val="bottom"/>
            <w:tcBorders>
              <w:bottom w:val="single" w:sz="8" w:color="0000FF"/>
            </w:tcBorders>
            <w:gridSpan w:val="34"/>
          </w:tcPr>
          <w:p>
            <w:pPr>
              <w:spacing w:after="0"/>
              <w:rPr>
                <w:rFonts w:ascii="Arial" w:cs="Arial" w:eastAsia="Arial" w:hAnsi="Arial"/>
                <w:sz w:val="18"/>
                <w:szCs w:val="18"/>
                <w:color w:val="0000FF"/>
                <w:w w:val="90"/>
              </w:rPr>
            </w:pPr>
            <w:hyperlink r:id="rId215">
              <w:r>
                <w:rPr>
                  <w:rFonts w:ascii="Arial" w:cs="Arial" w:eastAsia="Arial" w:hAnsi="Arial"/>
                  <w:sz w:val="18"/>
                  <w:szCs w:val="18"/>
                  <w:color w:val="0000FF"/>
                  <w:w w:val="90"/>
                </w:rPr>
                <w:t>Acceptance Letter, dated March 4, 2020, by and between Arcturus Therapeutics Holdings Inc. and the Economic Development Board of</w:t>
              </w:r>
            </w:hyperlink>
          </w:p>
        </w:tc>
        <w:tc>
          <w:tcPr>
            <w:tcW w:w="80" w:type="dxa"/>
            <w:vAlign w:val="bottom"/>
            <w:gridSpan w:val="4"/>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820" w:type="dxa"/>
            <w:vAlign w:val="bottom"/>
            <w:tcBorders>
              <w:bottom w:val="single" w:sz="8" w:color="0000FF"/>
            </w:tcBorders>
            <w:gridSpan w:val="33"/>
          </w:tcPr>
          <w:p>
            <w:pPr>
              <w:spacing w:after="0" w:line="196" w:lineRule="exact"/>
              <w:rPr>
                <w:rFonts w:ascii="Arial" w:cs="Arial" w:eastAsia="Arial" w:hAnsi="Arial"/>
                <w:sz w:val="18"/>
                <w:szCs w:val="18"/>
                <w:color w:val="0000FF"/>
                <w:w w:val="91"/>
              </w:rPr>
            </w:pPr>
            <w:hyperlink r:id="rId215">
              <w:r>
                <w:rPr>
                  <w:rFonts w:ascii="Arial" w:cs="Arial" w:eastAsia="Arial" w:hAnsi="Arial"/>
                  <w:sz w:val="18"/>
                  <w:szCs w:val="18"/>
                  <w:color w:val="0000FF"/>
                  <w:w w:val="91"/>
                </w:rPr>
                <w:t>Singapore. Incorporated by reference to Exhibit 10.24 to the Company’s Annual Report on Form 10-K for the year ended December 31,</w:t>
              </w:r>
            </w:hyperlink>
          </w:p>
        </w:tc>
        <w:tc>
          <w:tcPr>
            <w:tcW w:w="100" w:type="dxa"/>
            <w:vAlign w:val="bottom"/>
            <w:gridSpan w:val="5"/>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FF"/>
              </w:rPr>
            </w:pPr>
            <w:hyperlink r:id="rId215">
              <w:r>
                <w:rPr>
                  <w:rFonts w:ascii="Arial" w:cs="Arial" w:eastAsia="Arial" w:hAnsi="Arial"/>
                  <w:sz w:val="18"/>
                  <w:szCs w:val="18"/>
                  <w:color w:val="0000FF"/>
                </w:rPr>
                <w:t>2019 filed on March 16, 2020 (File No. 001-38942).</w:t>
              </w:r>
            </w:hyperlink>
          </w:p>
        </w:tc>
      </w:tr>
      <w:tr>
        <w:trPr>
          <w:trHeight w:val="20"/>
        </w:trPr>
        <w:tc>
          <w:tcPr>
            <w:tcW w:w="1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8"/>
                <w:szCs w:val="18"/>
                <w:color w:val="auto"/>
              </w:rPr>
              <w:t>10.17†</w:t>
            </w:r>
          </w:p>
        </w:tc>
        <w:tc>
          <w:tcPr>
            <w:tcW w:w="9920" w:type="dxa"/>
            <w:vAlign w:val="bottom"/>
            <w:gridSpan w:val="38"/>
          </w:tcPr>
          <w:p>
            <w:pPr>
              <w:spacing w:after="0"/>
              <w:rPr>
                <w:rFonts w:ascii="Arial" w:cs="Arial" w:eastAsia="Arial" w:hAnsi="Arial"/>
                <w:sz w:val="18"/>
                <w:szCs w:val="18"/>
                <w:color w:val="0000FF"/>
                <w:w w:val="96"/>
              </w:rPr>
            </w:pPr>
            <w:hyperlink r:id="rId199">
              <w:r>
                <w:rPr>
                  <w:rFonts w:ascii="Arial" w:cs="Arial" w:eastAsia="Arial" w:hAnsi="Arial"/>
                  <w:sz w:val="18"/>
                  <w:szCs w:val="18"/>
                  <w:color w:val="0000FF"/>
                  <w:w w:val="96"/>
                </w:rPr>
                <w:t>2020 Employee Stock Purchase Plan. Incorporated by reference to Exhibit 4.3 to Form S-8 filed on August 5, 2020 (File No. 333-</w:t>
              </w:r>
            </w:hyperlink>
          </w:p>
        </w:tc>
      </w:tr>
      <w:tr>
        <w:trPr>
          <w:trHeight w:val="196"/>
        </w:trPr>
        <w:tc>
          <w:tcPr>
            <w:tcW w:w="132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199">
              <w:r>
                <w:rPr>
                  <w:rFonts w:ascii="Arial" w:cs="Arial" w:eastAsia="Arial" w:hAnsi="Arial"/>
                  <w:sz w:val="18"/>
                  <w:szCs w:val="18"/>
                  <w:color w:val="0000FF"/>
                  <w:w w:val="87"/>
                </w:rPr>
                <w:t>240392).</w:t>
              </w:r>
            </w:hyperlink>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8"/>
                <w:szCs w:val="18"/>
                <w:color w:val="auto"/>
              </w:rPr>
              <w:t>10.18</w:t>
            </w:r>
          </w:p>
        </w:tc>
        <w:tc>
          <w:tcPr>
            <w:tcW w:w="9900" w:type="dxa"/>
            <w:vAlign w:val="bottom"/>
            <w:tcBorders>
              <w:bottom w:val="single" w:sz="8" w:color="0000FF"/>
            </w:tcBorders>
            <w:gridSpan w:val="37"/>
          </w:tcPr>
          <w:p>
            <w:pPr>
              <w:spacing w:after="0"/>
              <w:rPr>
                <w:rFonts w:ascii="Arial" w:cs="Arial" w:eastAsia="Arial" w:hAnsi="Arial"/>
                <w:sz w:val="18"/>
                <w:szCs w:val="18"/>
                <w:color w:val="0000FF"/>
                <w:w w:val="90"/>
              </w:rPr>
            </w:pPr>
            <w:hyperlink r:id="rId216">
              <w:r>
                <w:rPr>
                  <w:rFonts w:ascii="Arial" w:cs="Arial" w:eastAsia="Arial" w:hAnsi="Arial"/>
                  <w:sz w:val="18"/>
                  <w:szCs w:val="18"/>
                  <w:color w:val="0000FF"/>
                  <w:w w:val="90"/>
                </w:rPr>
                <w:t>Second Amendment to Lease, by and between Arcturus Therapeutics, Inc. and ARE-SD Region No. 44, LLC, dated November 13, 2020.</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216">
              <w:r>
                <w:rPr>
                  <w:rFonts w:ascii="Arial" w:cs="Arial" w:eastAsia="Arial" w:hAnsi="Arial"/>
                  <w:sz w:val="18"/>
                  <w:szCs w:val="18"/>
                  <w:color w:val="0000FF"/>
                  <w:w w:val="91"/>
                </w:rPr>
                <w:t>Incorporated by reference to Exhibit 10.29 to the Company’s Annual Report on Form 10-K for the year ended December 31, 2020 filed</w:t>
              </w:r>
            </w:hyperlink>
          </w:p>
        </w:tc>
        <w:tc>
          <w:tcPr>
            <w:tcW w:w="140" w:type="dxa"/>
            <w:vAlign w:val="bottom"/>
            <w:gridSpan w:val="7"/>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9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16">
              <w:r>
                <w:rPr>
                  <w:rFonts w:ascii="Arial" w:cs="Arial" w:eastAsia="Arial" w:hAnsi="Arial"/>
                  <w:sz w:val="18"/>
                  <w:szCs w:val="18"/>
                  <w:color w:val="0000FF"/>
                  <w:w w:val="91"/>
                </w:rPr>
                <w:t>on March 1, 2020 (File No. 001-38942).</w:t>
              </w:r>
            </w:hyperlink>
          </w:p>
        </w:tc>
        <w:tc>
          <w:tcPr>
            <w:tcW w:w="7020" w:type="dxa"/>
            <w:vAlign w:val="bottom"/>
            <w:gridSpan w:val="32"/>
          </w:tcPr>
          <w:p>
            <w:pPr>
              <w:spacing w:after="0"/>
              <w:rPr>
                <w:sz w:val="17"/>
                <w:szCs w:val="17"/>
                <w:color w:val="auto"/>
              </w:rPr>
            </w:pPr>
          </w:p>
        </w:tc>
      </w:tr>
      <w:tr>
        <w:trPr>
          <w:trHeight w:val="372"/>
        </w:trPr>
        <w:tc>
          <w:tcPr>
            <w:tcW w:w="1320" w:type="dxa"/>
            <w:vAlign w:val="bottom"/>
          </w:tcPr>
          <w:p>
            <w:pPr>
              <w:ind w:left="20"/>
              <w:spacing w:after="0"/>
              <w:rPr>
                <w:sz w:val="20"/>
                <w:szCs w:val="20"/>
                <w:color w:val="auto"/>
              </w:rPr>
            </w:pPr>
            <w:r>
              <w:rPr>
                <w:rFonts w:ascii="Arial" w:cs="Arial" w:eastAsia="Arial" w:hAnsi="Arial"/>
                <w:sz w:val="18"/>
                <w:szCs w:val="18"/>
                <w:color w:val="auto"/>
              </w:rPr>
              <w:t>10.19</w:t>
            </w:r>
          </w:p>
        </w:tc>
        <w:tc>
          <w:tcPr>
            <w:tcW w:w="9640" w:type="dxa"/>
            <w:vAlign w:val="bottom"/>
            <w:tcBorders>
              <w:bottom w:val="single" w:sz="8" w:color="0000FF"/>
            </w:tcBorders>
            <w:gridSpan w:val="25"/>
          </w:tcPr>
          <w:p>
            <w:pPr>
              <w:spacing w:after="0"/>
              <w:rPr>
                <w:rFonts w:ascii="Arial" w:cs="Arial" w:eastAsia="Arial" w:hAnsi="Arial"/>
                <w:sz w:val="18"/>
                <w:szCs w:val="18"/>
                <w:color w:val="0000FF"/>
                <w:w w:val="90"/>
              </w:rPr>
            </w:pPr>
            <w:hyperlink r:id="rId217">
              <w:r>
                <w:rPr>
                  <w:rFonts w:ascii="Arial" w:cs="Arial" w:eastAsia="Arial" w:hAnsi="Arial"/>
                  <w:sz w:val="18"/>
                  <w:szCs w:val="18"/>
                  <w:color w:val="0000FF"/>
                  <w:w w:val="90"/>
                </w:rPr>
                <w:t>Third Amendment to Lease, by and between Arcturus Therapeutics, Inc. and ARE-SD Region No. 44, LLC, dated February 25, 2021.</w:t>
              </w:r>
            </w:hyperlink>
          </w:p>
        </w:tc>
        <w:tc>
          <w:tcPr>
            <w:tcW w:w="280" w:type="dxa"/>
            <w:vAlign w:val="bottom"/>
            <w:gridSpan w:val="1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217">
              <w:r>
                <w:rPr>
                  <w:rFonts w:ascii="Arial" w:cs="Arial" w:eastAsia="Arial" w:hAnsi="Arial"/>
                  <w:sz w:val="18"/>
                  <w:szCs w:val="18"/>
                  <w:color w:val="0000FF"/>
                  <w:w w:val="91"/>
                </w:rPr>
                <w:t>Incorporated by reference to Exhibit 10.30 to the Company’s Annual Report on Form 10-K for the year ended December 31, 2020 filed</w:t>
              </w:r>
            </w:hyperlink>
          </w:p>
        </w:tc>
        <w:tc>
          <w:tcPr>
            <w:tcW w:w="140" w:type="dxa"/>
            <w:vAlign w:val="bottom"/>
            <w:gridSpan w:val="7"/>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9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17">
              <w:r>
                <w:rPr>
                  <w:rFonts w:ascii="Arial" w:cs="Arial" w:eastAsia="Arial" w:hAnsi="Arial"/>
                  <w:sz w:val="18"/>
                  <w:szCs w:val="18"/>
                  <w:color w:val="0000FF"/>
                  <w:w w:val="91"/>
                </w:rPr>
                <w:t>on March 1, 2020 (File No. 001-38942).</w:t>
              </w:r>
            </w:hyperlink>
          </w:p>
        </w:tc>
        <w:tc>
          <w:tcPr>
            <w:tcW w:w="7020" w:type="dxa"/>
            <w:vAlign w:val="bottom"/>
            <w:gridSpan w:val="32"/>
          </w:tcPr>
          <w:p>
            <w:pPr>
              <w:spacing w:after="0"/>
              <w:rPr>
                <w:sz w:val="17"/>
                <w:szCs w:val="17"/>
                <w:color w:val="auto"/>
              </w:rPr>
            </w:pPr>
          </w:p>
        </w:tc>
      </w:tr>
      <w:tr>
        <w:trPr>
          <w:trHeight w:val="372"/>
        </w:trPr>
        <w:tc>
          <w:tcPr>
            <w:tcW w:w="1320" w:type="dxa"/>
            <w:vAlign w:val="bottom"/>
          </w:tcPr>
          <w:p>
            <w:pPr>
              <w:ind w:left="20"/>
              <w:spacing w:after="0"/>
              <w:rPr>
                <w:sz w:val="20"/>
                <w:szCs w:val="20"/>
                <w:color w:val="auto"/>
              </w:rPr>
            </w:pPr>
            <w:r>
              <w:rPr>
                <w:rFonts w:ascii="Arial" w:cs="Arial" w:eastAsia="Arial" w:hAnsi="Arial"/>
                <w:sz w:val="18"/>
                <w:szCs w:val="18"/>
                <w:color w:val="auto"/>
              </w:rPr>
              <w:t>10.20</w:t>
            </w:r>
          </w:p>
        </w:tc>
        <w:tc>
          <w:tcPr>
            <w:tcW w:w="9660" w:type="dxa"/>
            <w:vAlign w:val="bottom"/>
            <w:tcBorders>
              <w:bottom w:val="single" w:sz="8" w:color="0000FF"/>
            </w:tcBorders>
            <w:gridSpan w:val="26"/>
          </w:tcPr>
          <w:p>
            <w:pPr>
              <w:spacing w:after="0"/>
              <w:rPr>
                <w:rFonts w:ascii="Arial" w:cs="Arial" w:eastAsia="Arial" w:hAnsi="Arial"/>
                <w:sz w:val="18"/>
                <w:szCs w:val="18"/>
                <w:color w:val="0000FF"/>
                <w:w w:val="91"/>
              </w:rPr>
            </w:pPr>
            <w:hyperlink r:id="rId218">
              <w:r>
                <w:rPr>
                  <w:rFonts w:ascii="Arial" w:cs="Arial" w:eastAsia="Arial" w:hAnsi="Arial"/>
                  <w:sz w:val="18"/>
                  <w:szCs w:val="18"/>
                  <w:color w:val="0000FF"/>
                  <w:w w:val="91"/>
                </w:rPr>
                <w:t>Arcturus Therapeutics Holdings Inc. Severance Policy for Executives. Incorporated by reference to Exhibit 10.1 to Current Report on</w:t>
              </w:r>
            </w:hyperlink>
          </w:p>
        </w:tc>
        <w:tc>
          <w:tcPr>
            <w:tcW w:w="260" w:type="dxa"/>
            <w:vAlign w:val="bottom"/>
            <w:gridSpan w:val="12"/>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FF"/>
              </w:rPr>
            </w:pPr>
            <w:hyperlink r:id="rId218">
              <w:r>
                <w:rPr>
                  <w:rFonts w:ascii="Arial" w:cs="Arial" w:eastAsia="Arial" w:hAnsi="Arial"/>
                  <w:sz w:val="18"/>
                  <w:szCs w:val="18"/>
                  <w:color w:val="0000FF"/>
                </w:rPr>
                <w:t>Form 8-K filed on April 26, 2021 (File No. 001-38942).</w:t>
              </w:r>
            </w:hyperlink>
          </w:p>
        </w:tc>
      </w:tr>
      <w:tr>
        <w:trPr>
          <w:trHeight w:val="20"/>
        </w:trPr>
        <w:tc>
          <w:tcPr>
            <w:tcW w:w="13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20" w:type="dxa"/>
            <w:vAlign w:val="bottom"/>
          </w:tcPr>
          <w:p>
            <w:pPr>
              <w:ind w:left="20"/>
              <w:spacing w:after="0"/>
              <w:rPr>
                <w:sz w:val="20"/>
                <w:szCs w:val="20"/>
                <w:color w:val="auto"/>
              </w:rPr>
            </w:pPr>
            <w:r>
              <w:rPr>
                <w:rFonts w:ascii="Arial" w:cs="Arial" w:eastAsia="Arial" w:hAnsi="Arial"/>
                <w:sz w:val="18"/>
                <w:szCs w:val="18"/>
                <w:color w:val="auto"/>
              </w:rPr>
              <w:t>10.21</w:t>
            </w:r>
          </w:p>
        </w:tc>
        <w:tc>
          <w:tcPr>
            <w:tcW w:w="9800" w:type="dxa"/>
            <w:vAlign w:val="bottom"/>
            <w:tcBorders>
              <w:bottom w:val="single" w:sz="8" w:color="0000FF"/>
            </w:tcBorders>
            <w:gridSpan w:val="32"/>
          </w:tcPr>
          <w:p>
            <w:pPr>
              <w:spacing w:after="0"/>
              <w:rPr>
                <w:rFonts w:ascii="Arial" w:cs="Arial" w:eastAsia="Arial" w:hAnsi="Arial"/>
                <w:sz w:val="18"/>
                <w:szCs w:val="18"/>
                <w:color w:val="0000FF"/>
                <w:w w:val="90"/>
              </w:rPr>
            </w:pPr>
            <w:hyperlink r:id="rId219">
              <w:r>
                <w:rPr>
                  <w:rFonts w:ascii="Arial" w:cs="Arial" w:eastAsia="Arial" w:hAnsi="Arial"/>
                  <w:sz w:val="18"/>
                  <w:szCs w:val="18"/>
                  <w:color w:val="0000FF"/>
                  <w:w w:val="90"/>
                </w:rPr>
                <w:t>Lease, by and between Arcturus Therapeutics, Inc. and TPSC IX, LLC, dated September 29, 2021. Incorporated by reference to Exhibit</w:t>
              </w:r>
            </w:hyperlink>
          </w:p>
        </w:tc>
        <w:tc>
          <w:tcPr>
            <w:tcW w:w="12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FF"/>
              </w:rPr>
            </w:pPr>
            <w:hyperlink r:id="rId219">
              <w:r>
                <w:rPr>
                  <w:rFonts w:ascii="Arial" w:cs="Arial" w:eastAsia="Arial" w:hAnsi="Arial"/>
                  <w:sz w:val="18"/>
                  <w:szCs w:val="18"/>
                  <w:color w:val="0000FF"/>
                </w:rPr>
                <w:t>10.</w:t>
              </w:r>
              <w:r>
                <w:rPr>
                  <w:rFonts w:ascii="Arial" w:cs="Arial" w:eastAsia="Arial" w:hAnsi="Arial"/>
                  <w:sz w:val="18"/>
                  <w:szCs w:val="18"/>
                  <w:u w:val="single" w:color="auto"/>
                  <w:color w:val="0000FF"/>
                </w:rPr>
                <w:t>35</w:t>
              </w:r>
              <w:r>
                <w:rPr>
                  <w:rFonts w:ascii="Arial" w:cs="Arial" w:eastAsia="Arial" w:hAnsi="Arial"/>
                  <w:sz w:val="18"/>
                  <w:szCs w:val="18"/>
                  <w:color w:val="0000FF"/>
                </w:rPr>
                <w:t xml:space="preserve"> to Form 10-Q filed on November 9, 2021 (File No. 001-38942).</w:t>
              </w:r>
            </w:hyperlink>
          </w:p>
        </w:tc>
      </w:tr>
      <w:tr>
        <w:trPr>
          <w:trHeight w:val="20"/>
        </w:trPr>
        <w:tc>
          <w:tcPr>
            <w:tcW w:w="13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20" w:type="dxa"/>
            <w:vAlign w:val="bottom"/>
          </w:tcPr>
          <w:p>
            <w:pPr>
              <w:ind w:left="20"/>
              <w:spacing w:after="0"/>
              <w:rPr>
                <w:sz w:val="20"/>
                <w:szCs w:val="20"/>
                <w:color w:val="auto"/>
              </w:rPr>
            </w:pPr>
            <w:r>
              <w:rPr>
                <w:rFonts w:ascii="Arial" w:cs="Arial" w:eastAsia="Arial" w:hAnsi="Arial"/>
                <w:sz w:val="18"/>
                <w:szCs w:val="18"/>
                <w:color w:val="auto"/>
              </w:rPr>
              <w:t>10.22†</w:t>
            </w:r>
          </w:p>
        </w:tc>
        <w:tc>
          <w:tcPr>
            <w:tcW w:w="9920" w:type="dxa"/>
            <w:vAlign w:val="bottom"/>
            <w:tcBorders>
              <w:bottom w:val="single" w:sz="8" w:color="0000FF"/>
            </w:tcBorders>
            <w:gridSpan w:val="38"/>
          </w:tcPr>
          <w:p>
            <w:pPr>
              <w:spacing w:after="0"/>
              <w:rPr>
                <w:rFonts w:ascii="Arial" w:cs="Arial" w:eastAsia="Arial" w:hAnsi="Arial"/>
                <w:sz w:val="18"/>
                <w:szCs w:val="18"/>
                <w:color w:val="0000FF"/>
                <w:w w:val="91"/>
              </w:rPr>
            </w:pPr>
            <w:hyperlink r:id="rId220">
              <w:r>
                <w:rPr>
                  <w:rFonts w:ascii="Arial" w:cs="Arial" w:eastAsia="Arial" w:hAnsi="Arial"/>
                  <w:sz w:val="18"/>
                  <w:szCs w:val="18"/>
                  <w:color w:val="0000FF"/>
                  <w:w w:val="91"/>
                </w:rPr>
                <w:t>Arcturus Therapeutics Holdings Inc. 2021 Inducement Equity Incentive Plan. Incorporated by reference to Exhibit 4.1 to the Registration</w:t>
              </w:r>
            </w:hyperlink>
          </w:p>
        </w:tc>
      </w:tr>
      <w:tr>
        <w:trPr>
          <w:trHeight w:val="196"/>
        </w:trPr>
        <w:tc>
          <w:tcPr>
            <w:tcW w:w="132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FF"/>
              </w:rPr>
            </w:pPr>
            <w:hyperlink r:id="rId220">
              <w:r>
                <w:rPr>
                  <w:rFonts w:ascii="Arial" w:cs="Arial" w:eastAsia="Arial" w:hAnsi="Arial"/>
                  <w:sz w:val="18"/>
                  <w:szCs w:val="18"/>
                  <w:color w:val="0000FF"/>
                </w:rPr>
                <w:t>Statement on Form S-8 filed on October 20, 2021 (File No. 333-260391).</w:t>
              </w:r>
            </w:hyperlink>
          </w:p>
        </w:tc>
      </w:tr>
      <w:tr>
        <w:trPr>
          <w:trHeight w:val="20"/>
        </w:trPr>
        <w:tc>
          <w:tcPr>
            <w:tcW w:w="13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8"/>
                <w:szCs w:val="18"/>
                <w:color w:val="auto"/>
              </w:rPr>
              <w:t>10.23†</w:t>
            </w:r>
          </w:p>
        </w:tc>
        <w:tc>
          <w:tcPr>
            <w:tcW w:w="9720" w:type="dxa"/>
            <w:vAlign w:val="bottom"/>
            <w:tcBorders>
              <w:bottom w:val="single" w:sz="8" w:color="0000FF"/>
            </w:tcBorders>
            <w:gridSpan w:val="28"/>
          </w:tcPr>
          <w:p>
            <w:pPr>
              <w:spacing w:after="0"/>
              <w:rPr>
                <w:rFonts w:ascii="Arial" w:cs="Arial" w:eastAsia="Arial" w:hAnsi="Arial"/>
                <w:sz w:val="18"/>
                <w:szCs w:val="18"/>
                <w:color w:val="0000FF"/>
                <w:w w:val="90"/>
              </w:rPr>
            </w:pPr>
            <w:hyperlink r:id="rId221">
              <w:r>
                <w:rPr>
                  <w:rFonts w:ascii="Arial" w:cs="Arial" w:eastAsia="Arial" w:hAnsi="Arial"/>
                  <w:sz w:val="18"/>
                  <w:szCs w:val="18"/>
                  <w:color w:val="0000FF"/>
                  <w:w w:val="90"/>
                </w:rPr>
                <w:t>Amended and Restated 2019 Omnibus Equity Incentive Plan, as amended. Incorporated by reference to Exhibit 4.3 to the Registration</w:t>
              </w:r>
            </w:hyperlink>
          </w:p>
        </w:tc>
        <w:tc>
          <w:tcPr>
            <w:tcW w:w="200" w:type="dxa"/>
            <w:vAlign w:val="bottom"/>
            <w:gridSpan w:val="10"/>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Arial" w:cs="Arial" w:eastAsia="Arial" w:hAnsi="Arial"/>
                <w:sz w:val="18"/>
                <w:szCs w:val="18"/>
                <w:color w:val="0000FF"/>
                <w:w w:val="90"/>
              </w:rPr>
            </w:pPr>
            <w:hyperlink r:id="rId221">
              <w:r>
                <w:rPr>
                  <w:rFonts w:ascii="Arial" w:cs="Arial" w:eastAsia="Arial" w:hAnsi="Arial"/>
                  <w:sz w:val="18"/>
                  <w:szCs w:val="18"/>
                  <w:color w:val="0000FF"/>
                  <w:w w:val="90"/>
                </w:rPr>
                <w:t>Statement on Form S-8 filed on June 30, 2022.</w:t>
              </w:r>
            </w:hyperlink>
          </w:p>
        </w:tc>
        <w:tc>
          <w:tcPr>
            <w:tcW w:w="6520" w:type="dxa"/>
            <w:vAlign w:val="bottom"/>
            <w:gridSpan w:val="31"/>
          </w:tcPr>
          <w:p>
            <w:pPr>
              <w:spacing w:after="0"/>
              <w:rPr>
                <w:sz w:val="17"/>
                <w:szCs w:val="17"/>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8"/>
                <w:szCs w:val="18"/>
                <w:color w:val="auto"/>
              </w:rPr>
              <w:t>10.24**</w:t>
            </w:r>
          </w:p>
        </w:tc>
        <w:tc>
          <w:tcPr>
            <w:tcW w:w="9700" w:type="dxa"/>
            <w:vAlign w:val="bottom"/>
            <w:tcBorders>
              <w:bottom w:val="single" w:sz="8" w:color="0000FF"/>
            </w:tcBorders>
            <w:gridSpan w:val="27"/>
          </w:tcPr>
          <w:p>
            <w:pPr>
              <w:spacing w:after="0"/>
              <w:rPr>
                <w:rFonts w:ascii="Arial" w:cs="Arial" w:eastAsia="Arial" w:hAnsi="Arial"/>
                <w:sz w:val="18"/>
                <w:szCs w:val="18"/>
                <w:color w:val="0000FF"/>
                <w:w w:val="90"/>
              </w:rPr>
            </w:pPr>
            <w:hyperlink r:id="rId222">
              <w:r>
                <w:rPr>
                  <w:rFonts w:ascii="Arial" w:cs="Arial" w:eastAsia="Arial" w:hAnsi="Arial"/>
                  <w:sz w:val="18"/>
                  <w:szCs w:val="18"/>
                  <w:color w:val="0000FF"/>
                  <w:w w:val="90"/>
                </w:rPr>
                <w:t>Cost Reimbursement Contract dated August 31, 2022, by and between Arcturus Therapeutics Holdings Inc. and Biomedical Advanced</w:t>
              </w:r>
            </w:hyperlink>
          </w:p>
        </w:tc>
        <w:tc>
          <w:tcPr>
            <w:tcW w:w="220" w:type="dxa"/>
            <w:vAlign w:val="bottom"/>
            <w:gridSpan w:val="11"/>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880" w:type="dxa"/>
            <w:vAlign w:val="bottom"/>
            <w:tcBorders>
              <w:bottom w:val="single" w:sz="8" w:color="0000FF"/>
            </w:tcBorders>
            <w:gridSpan w:val="36"/>
          </w:tcPr>
          <w:p>
            <w:pPr>
              <w:spacing w:after="0" w:line="196" w:lineRule="exact"/>
              <w:rPr>
                <w:rFonts w:ascii="Arial" w:cs="Arial" w:eastAsia="Arial" w:hAnsi="Arial"/>
                <w:sz w:val="18"/>
                <w:szCs w:val="18"/>
                <w:color w:val="0000FF"/>
                <w:w w:val="91"/>
              </w:rPr>
            </w:pPr>
            <w:hyperlink r:id="rId222">
              <w:r>
                <w:rPr>
                  <w:rFonts w:ascii="Arial" w:cs="Arial" w:eastAsia="Arial" w:hAnsi="Arial"/>
                  <w:sz w:val="18"/>
                  <w:szCs w:val="18"/>
                  <w:color w:val="0000FF"/>
                  <w:w w:val="91"/>
                </w:rPr>
                <w:t>Research and Development Authority of the U.S. Department of Health and Human Services. Incorporated by reference to Exhibit 10.36</w:t>
              </w:r>
            </w:hyperlink>
          </w:p>
        </w:tc>
        <w:tc>
          <w:tcPr>
            <w:tcW w:w="4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140" w:type="dxa"/>
            <w:vAlign w:val="bottom"/>
            <w:tcBorders>
              <w:bottom w:val="single" w:sz="8" w:color="0000EE"/>
            </w:tcBorders>
            <w:gridSpan w:val="13"/>
          </w:tcPr>
          <w:p>
            <w:pPr>
              <w:spacing w:after="0" w:line="196" w:lineRule="exact"/>
              <w:rPr>
                <w:rFonts w:ascii="Arial" w:cs="Arial" w:eastAsia="Arial" w:hAnsi="Arial"/>
                <w:sz w:val="18"/>
                <w:szCs w:val="18"/>
                <w:color w:val="0000FF"/>
                <w:w w:val="92"/>
              </w:rPr>
            </w:pPr>
            <w:hyperlink r:id="rId222">
              <w:r>
                <w:rPr>
                  <w:rFonts w:ascii="Arial" w:cs="Arial" w:eastAsia="Arial" w:hAnsi="Arial"/>
                  <w:sz w:val="18"/>
                  <w:szCs w:val="18"/>
                  <w:color w:val="0000FF"/>
                  <w:w w:val="92"/>
                </w:rPr>
                <w:t>to Quarterly Report on Form 10-Q filed on November 9, 2022 (File No. 001-38942).</w:t>
              </w:r>
            </w:hyperlink>
          </w:p>
        </w:tc>
        <w:tc>
          <w:tcPr>
            <w:tcW w:w="3780" w:type="dxa"/>
            <w:vAlign w:val="bottom"/>
            <w:gridSpan w:val="25"/>
          </w:tcPr>
          <w:p>
            <w:pPr>
              <w:spacing w:after="0"/>
              <w:rPr>
                <w:sz w:val="17"/>
                <w:szCs w:val="17"/>
                <w:color w:val="auto"/>
              </w:rPr>
            </w:pPr>
          </w:p>
        </w:tc>
      </w:tr>
      <w:tr>
        <w:trPr>
          <w:trHeight w:val="372"/>
        </w:trPr>
        <w:tc>
          <w:tcPr>
            <w:tcW w:w="1320" w:type="dxa"/>
            <w:vAlign w:val="bottom"/>
          </w:tcPr>
          <w:p>
            <w:pPr>
              <w:ind w:left="20"/>
              <w:spacing w:after="0"/>
              <w:rPr>
                <w:sz w:val="20"/>
                <w:szCs w:val="20"/>
                <w:color w:val="auto"/>
              </w:rPr>
            </w:pPr>
            <w:r>
              <w:rPr>
                <w:rFonts w:ascii="Arial" w:cs="Arial" w:eastAsia="Arial" w:hAnsi="Arial"/>
                <w:sz w:val="18"/>
                <w:szCs w:val="18"/>
                <w:color w:val="auto"/>
              </w:rPr>
              <w:t>10.25**</w:t>
            </w:r>
          </w:p>
        </w:tc>
        <w:tc>
          <w:tcPr>
            <w:tcW w:w="9060" w:type="dxa"/>
            <w:vAlign w:val="bottom"/>
            <w:tcBorders>
              <w:bottom w:val="single" w:sz="8" w:color="0000FF"/>
            </w:tcBorders>
            <w:gridSpan w:val="16"/>
          </w:tcPr>
          <w:p>
            <w:pPr>
              <w:spacing w:after="0"/>
              <w:rPr>
                <w:rFonts w:ascii="Arial" w:cs="Arial" w:eastAsia="Arial" w:hAnsi="Arial"/>
                <w:sz w:val="18"/>
                <w:szCs w:val="18"/>
                <w:color w:val="0000FF"/>
                <w:w w:val="89"/>
              </w:rPr>
            </w:pPr>
            <w:hyperlink r:id="rId223">
              <w:r>
                <w:rPr>
                  <w:rFonts w:ascii="Arial" w:cs="Arial" w:eastAsia="Arial" w:hAnsi="Arial"/>
                  <w:sz w:val="18"/>
                  <w:szCs w:val="18"/>
                  <w:color w:val="0000FF"/>
                  <w:w w:val="89"/>
                </w:rPr>
                <w:t>Study Support Agreement, dated October 31, 2022, by and between Arcturus Therapeutics, Inc. and Vinbiocare Research and</w:t>
              </w:r>
            </w:hyperlink>
          </w:p>
        </w:tc>
        <w:tc>
          <w:tcPr>
            <w:tcW w:w="860" w:type="dxa"/>
            <w:vAlign w:val="bottom"/>
            <w:gridSpan w:val="22"/>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900" w:type="dxa"/>
            <w:vAlign w:val="bottom"/>
            <w:tcBorders>
              <w:bottom w:val="single" w:sz="8" w:color="0000FF"/>
            </w:tcBorders>
            <w:gridSpan w:val="37"/>
          </w:tcPr>
          <w:p>
            <w:pPr>
              <w:spacing w:after="0" w:line="196" w:lineRule="exact"/>
              <w:rPr>
                <w:rFonts w:ascii="Arial" w:cs="Arial" w:eastAsia="Arial" w:hAnsi="Arial"/>
                <w:sz w:val="18"/>
                <w:szCs w:val="18"/>
                <w:color w:val="0000FF"/>
                <w:w w:val="91"/>
              </w:rPr>
            </w:pPr>
            <w:hyperlink r:id="rId223">
              <w:r>
                <w:rPr>
                  <w:rFonts w:ascii="Arial" w:cs="Arial" w:eastAsia="Arial" w:hAnsi="Arial"/>
                  <w:sz w:val="18"/>
                  <w:szCs w:val="18"/>
                  <w:color w:val="0000FF"/>
                  <w:w w:val="91"/>
                </w:rPr>
                <w:t>Manufacture Joint Stock Company. Incorporated by reference to Exhibit 10.1 to Current Report on Form 8-K filed on November 4, 2022</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5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23">
              <w:r>
                <w:rPr>
                  <w:rFonts w:ascii="Arial" w:cs="Arial" w:eastAsia="Arial" w:hAnsi="Arial"/>
                  <w:sz w:val="18"/>
                  <w:szCs w:val="18"/>
                  <w:color w:val="0000FF"/>
                  <w:w w:val="91"/>
                </w:rPr>
                <w:t>(File No. 001-38942).</w:t>
              </w:r>
            </w:hyperlink>
          </w:p>
        </w:tc>
        <w:tc>
          <w:tcPr>
            <w:tcW w:w="8340" w:type="dxa"/>
            <w:vAlign w:val="bottom"/>
            <w:gridSpan w:val="34"/>
          </w:tcPr>
          <w:p>
            <w:pPr>
              <w:spacing w:after="0"/>
              <w:rPr>
                <w:sz w:val="17"/>
                <w:szCs w:val="17"/>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8"/>
                <w:szCs w:val="18"/>
                <w:color w:val="auto"/>
              </w:rPr>
              <w:t>10.26**</w:t>
            </w:r>
          </w:p>
        </w:tc>
        <w:tc>
          <w:tcPr>
            <w:tcW w:w="9860" w:type="dxa"/>
            <w:vAlign w:val="bottom"/>
            <w:tcBorders>
              <w:bottom w:val="single" w:sz="8" w:color="0000FF"/>
            </w:tcBorders>
            <w:gridSpan w:val="35"/>
          </w:tcPr>
          <w:p>
            <w:pPr>
              <w:spacing w:after="0"/>
              <w:rPr>
                <w:rFonts w:ascii="Arial" w:cs="Arial" w:eastAsia="Arial" w:hAnsi="Arial"/>
                <w:sz w:val="18"/>
                <w:szCs w:val="18"/>
                <w:color w:val="0000FF"/>
                <w:w w:val="91"/>
              </w:rPr>
            </w:pPr>
            <w:hyperlink r:id="rId224">
              <w:r>
                <w:rPr>
                  <w:rFonts w:ascii="Arial" w:cs="Arial" w:eastAsia="Arial" w:hAnsi="Arial"/>
                  <w:sz w:val="18"/>
                  <w:szCs w:val="18"/>
                  <w:color w:val="0000FF"/>
                  <w:w w:val="91"/>
                </w:rPr>
                <w:t>Collaboration and License Agreement, dated November 1, 2022, by and between Arcturus Therapeutics Holdings Inc. and CSL Limited.</w:t>
              </w:r>
            </w:hyperlink>
          </w:p>
        </w:tc>
        <w:tc>
          <w:tcPr>
            <w:tcW w:w="6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Incorporated by reference to Exhibit 10.38 to Quarterly Report on Form 10-Q filed on November 9, 2022 (File No. 001-38942).</w:t>
              </w:r>
            </w:hyperlink>
          </w:p>
        </w:tc>
      </w:tr>
      <w:tr>
        <w:trPr>
          <w:trHeight w:val="20"/>
        </w:trPr>
        <w:tc>
          <w:tcPr>
            <w:tcW w:w="13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180" w:type="dxa"/>
            <w:vAlign w:val="bottom"/>
            <w:gridSpan w:val="9"/>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72"/>
        </w:trPr>
        <w:tc>
          <w:tcPr>
            <w:tcW w:w="1320" w:type="dxa"/>
            <w:vAlign w:val="bottom"/>
          </w:tcPr>
          <w:p>
            <w:pPr>
              <w:ind w:left="20"/>
              <w:spacing w:after="0"/>
              <w:rPr>
                <w:sz w:val="20"/>
                <w:szCs w:val="20"/>
                <w:color w:val="auto"/>
              </w:rPr>
            </w:pPr>
            <w:r>
              <w:rPr>
                <w:rFonts w:ascii="Arial" w:cs="Arial" w:eastAsia="Arial" w:hAnsi="Arial"/>
                <w:sz w:val="18"/>
                <w:szCs w:val="18"/>
                <w:color w:val="auto"/>
              </w:rPr>
              <w:t>10.27**</w:t>
            </w:r>
          </w:p>
        </w:tc>
        <w:tc>
          <w:tcPr>
            <w:tcW w:w="9400" w:type="dxa"/>
            <w:vAlign w:val="bottom"/>
            <w:tcBorders>
              <w:bottom w:val="single" w:sz="8" w:color="0000FF"/>
            </w:tcBorders>
            <w:gridSpan w:val="21"/>
          </w:tcPr>
          <w:p>
            <w:pPr>
              <w:spacing w:after="0"/>
              <w:rPr>
                <w:rFonts w:ascii="Arial" w:cs="Arial" w:eastAsia="Arial" w:hAnsi="Arial"/>
                <w:sz w:val="18"/>
                <w:szCs w:val="18"/>
                <w:color w:val="0000FF"/>
                <w:w w:val="90"/>
              </w:rPr>
            </w:pPr>
            <w:hyperlink r:id="rId225">
              <w:r>
                <w:rPr>
                  <w:rFonts w:ascii="Arial" w:cs="Arial" w:eastAsia="Arial" w:hAnsi="Arial"/>
                  <w:sz w:val="18"/>
                  <w:szCs w:val="18"/>
                  <w:color w:val="0000FF"/>
                  <w:w w:val="90"/>
                </w:rPr>
                <w:t>Manufacturing Support Agreement Termination Letter, dated March 23, 2023, by and between Arcturus Therapeutics, Inc. and the</w:t>
              </w:r>
            </w:hyperlink>
          </w:p>
        </w:tc>
        <w:tc>
          <w:tcPr>
            <w:tcW w:w="520" w:type="dxa"/>
            <w:vAlign w:val="bottom"/>
            <w:gridSpan w:val="1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6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25">
              <w:r>
                <w:rPr>
                  <w:rFonts w:ascii="Arial" w:cs="Arial" w:eastAsia="Arial" w:hAnsi="Arial"/>
                  <w:sz w:val="18"/>
                  <w:szCs w:val="18"/>
                  <w:color w:val="0000FF"/>
                  <w:w w:val="92"/>
                </w:rPr>
                <w:t>Economic Development of Singapore. Incorporated by reference to Exhibit 10.41 to Annual Report on Form 10-K filed on March 29,</w:t>
              </w:r>
            </w:hyperlink>
          </w:p>
        </w:tc>
        <w:tc>
          <w:tcPr>
            <w:tcW w:w="260" w:type="dxa"/>
            <w:vAlign w:val="bottom"/>
            <w:gridSpan w:val="1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020" w:type="dxa"/>
            <w:vAlign w:val="bottom"/>
            <w:tcBorders>
              <w:bottom w:val="single" w:sz="8" w:color="0000EE"/>
            </w:tcBorders>
            <w:gridSpan w:val="5"/>
          </w:tcPr>
          <w:p>
            <w:pPr>
              <w:spacing w:after="0" w:line="196" w:lineRule="exact"/>
              <w:rPr>
                <w:rFonts w:ascii="Arial" w:cs="Arial" w:eastAsia="Arial" w:hAnsi="Arial"/>
                <w:sz w:val="18"/>
                <w:szCs w:val="18"/>
                <w:color w:val="0000FF"/>
                <w:w w:val="92"/>
              </w:rPr>
            </w:pPr>
            <w:hyperlink r:id="rId225">
              <w:r>
                <w:rPr>
                  <w:rFonts w:ascii="Arial" w:cs="Arial" w:eastAsia="Arial" w:hAnsi="Arial"/>
                  <w:sz w:val="18"/>
                  <w:szCs w:val="18"/>
                  <w:color w:val="0000FF"/>
                  <w:w w:val="92"/>
                </w:rPr>
                <w:t>2023 (File No. 001-38942).</w:t>
              </w:r>
            </w:hyperlink>
          </w:p>
        </w:tc>
        <w:tc>
          <w:tcPr>
            <w:tcW w:w="7900" w:type="dxa"/>
            <w:vAlign w:val="bottom"/>
            <w:gridSpan w:val="33"/>
          </w:tcPr>
          <w:p>
            <w:pPr>
              <w:spacing w:after="0"/>
              <w:rPr>
                <w:sz w:val="17"/>
                <w:szCs w:val="17"/>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8"/>
                <w:szCs w:val="18"/>
                <w:color w:val="auto"/>
              </w:rPr>
              <w:t>10.28**</w:t>
            </w:r>
          </w:p>
        </w:tc>
        <w:tc>
          <w:tcPr>
            <w:tcW w:w="9360" w:type="dxa"/>
            <w:vAlign w:val="bottom"/>
            <w:tcBorders>
              <w:bottom w:val="single" w:sz="8" w:color="0000FF"/>
            </w:tcBorders>
            <w:gridSpan w:val="20"/>
          </w:tcPr>
          <w:p>
            <w:pPr>
              <w:spacing w:after="0"/>
              <w:rPr>
                <w:rFonts w:ascii="Arial" w:cs="Arial" w:eastAsia="Arial" w:hAnsi="Arial"/>
                <w:sz w:val="18"/>
                <w:szCs w:val="18"/>
                <w:color w:val="0000FF"/>
                <w:w w:val="91"/>
              </w:rPr>
            </w:pPr>
            <w:hyperlink r:id="rId226">
              <w:r>
                <w:rPr>
                  <w:rFonts w:ascii="Arial" w:cs="Arial" w:eastAsia="Arial" w:hAnsi="Arial"/>
                  <w:sz w:val="18"/>
                  <w:szCs w:val="18"/>
                  <w:color w:val="0000FF"/>
                  <w:w w:val="91"/>
                </w:rPr>
                <w:t>Credit Agreement dated April 21, 2023, by and between Arcturus Therapeutics, Inc. and Wells Fargo Bank, National Association.</w:t>
              </w:r>
            </w:hyperlink>
          </w:p>
        </w:tc>
        <w:tc>
          <w:tcPr>
            <w:tcW w:w="560" w:type="dxa"/>
            <w:vAlign w:val="bottom"/>
            <w:gridSpan w:val="18"/>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8820" w:type="dxa"/>
            <w:vAlign w:val="bottom"/>
            <w:tcBorders>
              <w:bottom w:val="single" w:sz="8" w:color="0000EE"/>
            </w:tcBorders>
            <w:gridSpan w:val="15"/>
          </w:tcPr>
          <w:p>
            <w:pPr>
              <w:spacing w:after="0" w:line="196" w:lineRule="exact"/>
              <w:rPr>
                <w:rFonts w:ascii="Arial" w:cs="Arial" w:eastAsia="Arial" w:hAnsi="Arial"/>
                <w:sz w:val="18"/>
                <w:szCs w:val="18"/>
                <w:color w:val="0000FF"/>
                <w:w w:val="92"/>
              </w:rPr>
            </w:pPr>
            <w:hyperlink r:id="rId226">
              <w:r>
                <w:rPr>
                  <w:rFonts w:ascii="Arial" w:cs="Arial" w:eastAsia="Arial" w:hAnsi="Arial"/>
                  <w:sz w:val="18"/>
                  <w:szCs w:val="18"/>
                  <w:color w:val="0000FF"/>
                  <w:w w:val="92"/>
                </w:rPr>
                <w:t>Incorporated by reference to Exhibit 10.28 to Quarterly Report on Form 10-Q filed on May 9, 2023 (File No. 001-38942).</w:t>
              </w:r>
            </w:hyperlink>
          </w:p>
        </w:tc>
        <w:tc>
          <w:tcPr>
            <w:tcW w:w="1100" w:type="dxa"/>
            <w:vAlign w:val="bottom"/>
            <w:gridSpan w:val="23"/>
          </w:tcPr>
          <w:p>
            <w:pPr>
              <w:spacing w:after="0"/>
              <w:rPr>
                <w:sz w:val="17"/>
                <w:szCs w:val="17"/>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8"/>
                <w:szCs w:val="18"/>
                <w:color w:val="auto"/>
              </w:rPr>
              <w:t>10.29**</w:t>
            </w:r>
          </w:p>
        </w:tc>
        <w:tc>
          <w:tcPr>
            <w:tcW w:w="9500" w:type="dxa"/>
            <w:vAlign w:val="bottom"/>
            <w:tcBorders>
              <w:bottom w:val="single" w:sz="8" w:color="0000FF"/>
            </w:tcBorders>
            <w:gridSpan w:val="23"/>
          </w:tcPr>
          <w:p>
            <w:pPr>
              <w:spacing w:after="0"/>
              <w:rPr>
                <w:rFonts w:ascii="Arial" w:cs="Arial" w:eastAsia="Arial" w:hAnsi="Arial"/>
                <w:sz w:val="18"/>
                <w:szCs w:val="18"/>
                <w:color w:val="0000FF"/>
                <w:w w:val="91"/>
              </w:rPr>
            </w:pPr>
            <w:hyperlink r:id="rId227">
              <w:r>
                <w:rPr>
                  <w:rFonts w:ascii="Arial" w:cs="Arial" w:eastAsia="Arial" w:hAnsi="Arial"/>
                  <w:sz w:val="18"/>
                  <w:szCs w:val="18"/>
                  <w:color w:val="0000FF"/>
                  <w:w w:val="91"/>
                </w:rPr>
                <w:t>Security Agreement dated April 21, 2023, by and between Arcturus Therapeutics, Inc. and Wells Fargo Bank, National Association.</w:t>
              </w:r>
            </w:hyperlink>
          </w:p>
        </w:tc>
        <w:tc>
          <w:tcPr>
            <w:tcW w:w="420" w:type="dxa"/>
            <w:vAlign w:val="bottom"/>
            <w:gridSpan w:val="1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8820" w:type="dxa"/>
            <w:vAlign w:val="bottom"/>
            <w:tcBorders>
              <w:bottom w:val="single" w:sz="8" w:color="0000EE"/>
            </w:tcBorders>
            <w:gridSpan w:val="15"/>
          </w:tcPr>
          <w:p>
            <w:pPr>
              <w:spacing w:after="0" w:line="196" w:lineRule="exact"/>
              <w:rPr>
                <w:rFonts w:ascii="Arial" w:cs="Arial" w:eastAsia="Arial" w:hAnsi="Arial"/>
                <w:sz w:val="18"/>
                <w:szCs w:val="18"/>
                <w:color w:val="0000FF"/>
                <w:w w:val="92"/>
              </w:rPr>
            </w:pPr>
            <w:hyperlink r:id="rId227">
              <w:r>
                <w:rPr>
                  <w:rFonts w:ascii="Arial" w:cs="Arial" w:eastAsia="Arial" w:hAnsi="Arial"/>
                  <w:sz w:val="18"/>
                  <w:szCs w:val="18"/>
                  <w:color w:val="0000FF"/>
                  <w:w w:val="92"/>
                </w:rPr>
                <w:t>Incorporated by reference to Exhibit 10.29 to Quarterly Report on Form 10-Q filed on May 9, 2023 (File No. 001-38942).</w:t>
              </w:r>
            </w:hyperlink>
          </w:p>
        </w:tc>
        <w:tc>
          <w:tcPr>
            <w:tcW w:w="1100" w:type="dxa"/>
            <w:vAlign w:val="bottom"/>
            <w:gridSpan w:val="23"/>
          </w:tcPr>
          <w:p>
            <w:pPr>
              <w:spacing w:after="0"/>
              <w:rPr>
                <w:sz w:val="17"/>
                <w:szCs w:val="17"/>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8"/>
                <w:szCs w:val="18"/>
                <w:color w:val="auto"/>
              </w:rPr>
              <w:t>10.30**</w:t>
            </w:r>
          </w:p>
        </w:tc>
        <w:tc>
          <w:tcPr>
            <w:tcW w:w="9340" w:type="dxa"/>
            <w:vAlign w:val="bottom"/>
            <w:tcBorders>
              <w:bottom w:val="single" w:sz="8" w:color="0000FF"/>
            </w:tcBorders>
            <w:gridSpan w:val="19"/>
          </w:tcPr>
          <w:p>
            <w:pPr>
              <w:spacing w:after="0"/>
              <w:rPr>
                <w:rFonts w:ascii="Arial" w:cs="Arial" w:eastAsia="Arial" w:hAnsi="Arial"/>
                <w:sz w:val="18"/>
                <w:szCs w:val="18"/>
                <w:color w:val="0000FF"/>
                <w:w w:val="91"/>
              </w:rPr>
            </w:pPr>
            <w:hyperlink r:id="rId228">
              <w:r>
                <w:rPr>
                  <w:rFonts w:ascii="Arial" w:cs="Arial" w:eastAsia="Arial" w:hAnsi="Arial"/>
                  <w:sz w:val="18"/>
                  <w:szCs w:val="18"/>
                  <w:color w:val="0000FF"/>
                  <w:w w:val="91"/>
                </w:rPr>
                <w:t>Revolving Line of Credit Note dated April 21, 2023, by and between Arcturus Therapeutics, Inc. and Wells Fargo Bank, National</w:t>
              </w:r>
            </w:hyperlink>
          </w:p>
        </w:tc>
        <w:tc>
          <w:tcPr>
            <w:tcW w:w="580" w:type="dxa"/>
            <w:vAlign w:val="bottom"/>
            <w:gridSpan w:val="19"/>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760" w:type="dxa"/>
            <w:vAlign w:val="bottom"/>
            <w:tcBorders>
              <w:bottom w:val="single" w:sz="8" w:color="0000EE"/>
            </w:tcBorders>
            <w:gridSpan w:val="30"/>
          </w:tcPr>
          <w:p>
            <w:pPr>
              <w:spacing w:after="0" w:line="196" w:lineRule="exact"/>
              <w:rPr>
                <w:rFonts w:ascii="Arial" w:cs="Arial" w:eastAsia="Arial" w:hAnsi="Arial"/>
                <w:sz w:val="18"/>
                <w:szCs w:val="18"/>
                <w:color w:val="0000FF"/>
                <w:w w:val="92"/>
              </w:rPr>
            </w:pPr>
            <w:hyperlink r:id="rId228">
              <w:r>
                <w:rPr>
                  <w:rFonts w:ascii="Arial" w:cs="Arial" w:eastAsia="Arial" w:hAnsi="Arial"/>
                  <w:sz w:val="18"/>
                  <w:szCs w:val="18"/>
                  <w:color w:val="0000FF"/>
                  <w:w w:val="92"/>
                </w:rPr>
                <w:t>Association. Incorporated by reference to Exhibit 10.30 to Quarterly Report on Form 10-Q filed on May 9, 2023 (File No. 001-38942).</w:t>
              </w:r>
            </w:hyperlink>
          </w:p>
        </w:tc>
        <w:tc>
          <w:tcPr>
            <w:tcW w:w="160" w:type="dxa"/>
            <w:vAlign w:val="bottom"/>
            <w:gridSpan w:val="8"/>
          </w:tcPr>
          <w:p>
            <w:pPr>
              <w:spacing w:after="0"/>
              <w:rPr>
                <w:sz w:val="17"/>
                <w:szCs w:val="17"/>
                <w:color w:val="auto"/>
              </w:rPr>
            </w:pPr>
          </w:p>
        </w:tc>
      </w:tr>
      <w:tr>
        <w:trPr>
          <w:trHeight w:val="372"/>
        </w:trPr>
        <w:tc>
          <w:tcPr>
            <w:tcW w:w="1320" w:type="dxa"/>
            <w:vAlign w:val="bottom"/>
          </w:tcPr>
          <w:p>
            <w:pPr>
              <w:ind w:left="20"/>
              <w:spacing w:after="0"/>
              <w:rPr>
                <w:sz w:val="20"/>
                <w:szCs w:val="20"/>
                <w:color w:val="auto"/>
              </w:rPr>
            </w:pPr>
            <w:r>
              <w:rPr>
                <w:rFonts w:ascii="Arial" w:cs="Arial" w:eastAsia="Arial" w:hAnsi="Arial"/>
                <w:sz w:val="18"/>
                <w:szCs w:val="18"/>
                <w:color w:val="auto"/>
              </w:rPr>
              <w:t>31.1*</w:t>
            </w:r>
          </w:p>
        </w:tc>
        <w:tc>
          <w:tcPr>
            <w:tcW w:w="94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1"/>
              </w:rPr>
              <w:t>Certification of Principal Executive Officer Pursuant to Rule 13a-14(a) or 15d-14(a) under the Securities Exchange Act of 1934, as</w:t>
            </w:r>
          </w:p>
        </w:tc>
        <w:tc>
          <w:tcPr>
            <w:tcW w:w="460" w:type="dxa"/>
            <w:vAlign w:val="bottom"/>
            <w:gridSpan w:val="1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920" w:type="dxa"/>
            <w:vAlign w:val="bottom"/>
            <w:gridSpan w:val="38"/>
          </w:tcPr>
          <w:p>
            <w:pPr>
              <w:spacing w:after="0" w:line="196" w:lineRule="exact"/>
              <w:rPr>
                <w:sz w:val="20"/>
                <w:szCs w:val="20"/>
                <w:color w:val="auto"/>
              </w:rPr>
            </w:pPr>
            <w:r>
              <w:rPr>
                <w:rFonts w:ascii="Arial" w:cs="Arial" w:eastAsia="Arial" w:hAnsi="Arial"/>
                <w:sz w:val="18"/>
                <w:szCs w:val="18"/>
                <w:color w:val="0000FF"/>
              </w:rPr>
              <w:t>amended.</w:t>
            </w:r>
          </w:p>
        </w:tc>
      </w:tr>
      <w:tr>
        <w:trPr>
          <w:trHeight w:val="615"/>
        </w:trPr>
        <w:tc>
          <w:tcPr>
            <w:tcW w:w="1320" w:type="dxa"/>
            <w:vAlign w:val="bottom"/>
          </w:tcPr>
          <w:p>
            <w:pPr>
              <w:spacing w:after="0"/>
              <w:rPr>
                <w:sz w:val="24"/>
                <w:szCs w:val="24"/>
                <w:color w:val="auto"/>
              </w:rPr>
            </w:pPr>
          </w:p>
        </w:tc>
        <w:tc>
          <w:tcPr>
            <w:tcW w:w="680" w:type="dxa"/>
            <w:vAlign w:val="bottom"/>
            <w:tcBorders>
              <w:top w:val="single" w:sz="8" w:color="0000FF"/>
            </w:tcBorders>
            <w:gridSpan w:val="2"/>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80" w:type="dxa"/>
            <w:vAlign w:val="bottom"/>
            <w:gridSpan w:val="7"/>
          </w:tcPr>
          <w:p>
            <w:pPr>
              <w:jc w:val="right"/>
              <w:ind w:right="42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31.2*</w:t>
            </w:r>
          </w:p>
        </w:tc>
        <w:tc>
          <w:tcPr>
            <w:tcW w:w="94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by Principal Financial Officer pursuant to Rule 13a-14(a) or 15d-14(a) under the Securities Exchange Act of 1934, as</w:t>
            </w:r>
          </w:p>
        </w:tc>
        <w:tc>
          <w:tcPr>
            <w:tcW w:w="1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9600" w:type="dxa"/>
            <w:vAlign w:val="bottom"/>
            <w:gridSpan w:val="5"/>
          </w:tcPr>
          <w:p>
            <w:pPr>
              <w:spacing w:after="0" w:line="196" w:lineRule="exact"/>
              <w:rPr>
                <w:sz w:val="20"/>
                <w:szCs w:val="20"/>
                <w:color w:val="auto"/>
              </w:rPr>
            </w:pPr>
            <w:r>
              <w:rPr>
                <w:rFonts w:ascii="Arial" w:cs="Arial" w:eastAsia="Arial" w:hAnsi="Arial"/>
                <w:sz w:val="18"/>
                <w:szCs w:val="18"/>
                <w:color w:val="0000FF"/>
              </w:rPr>
              <w:t>amended.</w:t>
            </w: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300" w:type="dxa"/>
            <w:vAlign w:val="bottom"/>
          </w:tcPr>
          <w:p>
            <w:pPr>
              <w:spacing w:after="0"/>
              <w:rPr>
                <w:sz w:val="20"/>
                <w:szCs w:val="20"/>
                <w:color w:val="auto"/>
              </w:rPr>
            </w:pPr>
            <w:r>
              <w:rPr>
                <w:rFonts w:ascii="Arial" w:cs="Arial" w:eastAsia="Arial" w:hAnsi="Arial"/>
                <w:sz w:val="18"/>
                <w:szCs w:val="18"/>
                <w:color w:val="auto"/>
              </w:rPr>
              <w:t>32.1*</w:t>
            </w:r>
          </w:p>
        </w:tc>
        <w:tc>
          <w:tcPr>
            <w:tcW w:w="9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w:t>
            </w:r>
          </w:p>
        </w:tc>
      </w:tr>
      <w:tr>
        <w:trPr>
          <w:trHeight w:val="196"/>
        </w:trPr>
        <w:tc>
          <w:tcPr>
            <w:tcW w:w="130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FF"/>
                <w:w w:val="95"/>
              </w:rPr>
              <w:t>Oxley Act of 2002.</w:t>
            </w:r>
          </w:p>
        </w:tc>
        <w:tc>
          <w:tcPr>
            <w:tcW w:w="8180" w:type="dxa"/>
            <w:vAlign w:val="bottom"/>
            <w:gridSpan w:val="3"/>
          </w:tcPr>
          <w:p>
            <w:pPr>
              <w:spacing w:after="0"/>
              <w:rPr>
                <w:sz w:val="17"/>
                <w:szCs w:val="17"/>
                <w:color w:val="auto"/>
              </w:rPr>
            </w:pPr>
          </w:p>
        </w:tc>
      </w:tr>
      <w:tr>
        <w:trPr>
          <w:trHeight w:val="372"/>
        </w:trPr>
        <w:tc>
          <w:tcPr>
            <w:tcW w:w="1300" w:type="dxa"/>
            <w:vAlign w:val="bottom"/>
          </w:tcPr>
          <w:p>
            <w:pPr>
              <w:spacing w:after="0"/>
              <w:rPr>
                <w:sz w:val="20"/>
                <w:szCs w:val="20"/>
                <w:color w:val="auto"/>
              </w:rPr>
            </w:pPr>
            <w:r>
              <w:rPr>
                <w:rFonts w:ascii="Arial" w:cs="Arial" w:eastAsia="Arial" w:hAnsi="Arial"/>
                <w:sz w:val="18"/>
                <w:szCs w:val="18"/>
                <w:color w:val="auto"/>
              </w:rPr>
              <w:t>32.2*</w:t>
            </w:r>
          </w:p>
        </w:tc>
        <w:tc>
          <w:tcPr>
            <w:tcW w:w="9600" w:type="dxa"/>
            <w:vAlign w:val="bottom"/>
            <w:gridSpan w:val="5"/>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w:t>
            </w:r>
          </w:p>
        </w:tc>
      </w:tr>
      <w:tr>
        <w:trPr>
          <w:trHeight w:val="196"/>
        </w:trPr>
        <w:tc>
          <w:tcPr>
            <w:tcW w:w="1300" w:type="dxa"/>
            <w:vAlign w:val="bottom"/>
          </w:tcPr>
          <w:p>
            <w:pPr>
              <w:spacing w:after="0"/>
              <w:rPr>
                <w:sz w:val="17"/>
                <w:szCs w:val="17"/>
                <w:color w:val="auto"/>
              </w:rPr>
            </w:pPr>
          </w:p>
        </w:tc>
        <w:tc>
          <w:tcPr>
            <w:tcW w:w="1420" w:type="dxa"/>
            <w:vAlign w:val="bottom"/>
            <w:tcBorders>
              <w:top w:val="single" w:sz="8" w:color="0000FF"/>
              <w:bottom w:val="single" w:sz="8" w:color="0000EE"/>
            </w:tcBorders>
            <w:gridSpan w:val="2"/>
          </w:tcPr>
          <w:p>
            <w:pPr>
              <w:spacing w:after="0" w:line="196" w:lineRule="exact"/>
              <w:rPr>
                <w:sz w:val="20"/>
                <w:szCs w:val="20"/>
                <w:color w:val="auto"/>
              </w:rPr>
            </w:pPr>
            <w:r>
              <w:rPr>
                <w:rFonts w:ascii="Arial" w:cs="Arial" w:eastAsia="Arial" w:hAnsi="Arial"/>
                <w:sz w:val="18"/>
                <w:szCs w:val="18"/>
                <w:color w:val="0000FF"/>
                <w:w w:val="95"/>
              </w:rPr>
              <w:t>Oxley Act of 2002.</w:t>
            </w:r>
          </w:p>
        </w:tc>
        <w:tc>
          <w:tcPr>
            <w:tcW w:w="8120" w:type="dxa"/>
            <w:vAlign w:val="bottom"/>
            <w:tcBorders>
              <w:top w:val="single" w:sz="8" w:color="0000FF"/>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398"/>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9600" w:type="dxa"/>
            <w:vAlign w:val="bottom"/>
            <w:gridSpan w:val="5"/>
          </w:tcPr>
          <w:p>
            <w:pPr>
              <w:spacing w:after="0"/>
              <w:rPr>
                <w:sz w:val="20"/>
                <w:szCs w:val="20"/>
                <w:color w:val="auto"/>
              </w:rPr>
            </w:pPr>
            <w:r>
              <w:rPr>
                <w:rFonts w:ascii="Arial" w:cs="Arial" w:eastAsia="Arial" w:hAnsi="Arial"/>
                <w:sz w:val="18"/>
                <w:szCs w:val="18"/>
                <w:color w:val="auto"/>
                <w:w w:val="93"/>
              </w:rPr>
              <w:t>The following financial statements and footnotes from the Registrant’s Quarterly Report on Form 10-Q for the fiscal quarter ended</w:t>
            </w:r>
          </w:p>
        </w:tc>
      </w:tr>
      <w:tr>
        <w:trPr>
          <w:trHeight w:val="230"/>
        </w:trPr>
        <w:tc>
          <w:tcPr>
            <w:tcW w:w="1300" w:type="dxa"/>
            <w:vAlign w:val="bottom"/>
          </w:tcPr>
          <w:p>
            <w:pPr>
              <w:spacing w:after="0"/>
              <w:rPr>
                <w:sz w:val="20"/>
                <w:szCs w:val="20"/>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rPr>
              <w:t>March 31, 2023 formatted in Inline Extensible Business Reporting Language (Inline XBRL):</w:t>
            </w:r>
          </w:p>
        </w:tc>
      </w:tr>
    </w:tbl>
    <w:p>
      <w:pPr>
        <w:spacing w:after="0" w:line="13" w:lineRule="exact"/>
        <w:rPr>
          <w:sz w:val="20"/>
          <w:szCs w:val="20"/>
          <w:color w:val="auto"/>
        </w:rPr>
      </w:pPr>
    </w:p>
    <w:p>
      <w:pPr>
        <w:ind w:left="1320"/>
        <w:spacing w:after="0" w:line="266" w:lineRule="auto"/>
        <w:rPr>
          <w:sz w:val="20"/>
          <w:szCs w:val="20"/>
          <w:color w:val="auto"/>
        </w:rPr>
      </w:pPr>
      <w:r>
        <w:rPr>
          <w:rFonts w:ascii="Arial" w:cs="Arial" w:eastAsia="Arial" w:hAnsi="Arial"/>
          <w:sz w:val="18"/>
          <w:szCs w:val="18"/>
          <w:color w:val="auto"/>
        </w:rPr>
        <w:t>101.INS Inline XBRL Instance Document - the instance document does not appear in the Interactive Data File because its XBRL tags are embedded within the Inline XBRL document</w:t>
      </w:r>
    </w:p>
    <w:p>
      <w:pPr>
        <w:ind w:left="1320"/>
        <w:spacing w:after="0"/>
        <w:rPr>
          <w:sz w:val="20"/>
          <w:szCs w:val="20"/>
          <w:color w:val="auto"/>
        </w:rPr>
      </w:pPr>
      <w:r>
        <w:rPr>
          <w:rFonts w:ascii="Arial" w:cs="Arial" w:eastAsia="Arial" w:hAnsi="Arial"/>
          <w:sz w:val="18"/>
          <w:szCs w:val="18"/>
          <w:color w:val="auto"/>
        </w:rPr>
        <w:t>101.SCH Inline XBRL Taxonomy Extension Schema</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101.CAL Inline XBRL Taxonomy Extension Calculation Linkbase</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101.DEF Inline XBRL Taxonomy Extension Definition Linkbase</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101.LAB Inline XBRL Taxonomy Extension Label Linkbase</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101.PRE Inline XBRL Taxonomy Extension Presentation Linkbase</w:t>
      </w:r>
    </w:p>
    <w:p>
      <w:pPr>
        <w:spacing w:after="0" w:line="36" w:lineRule="exact"/>
        <w:rPr>
          <w:sz w:val="20"/>
          <w:szCs w:val="20"/>
          <w:color w:val="auto"/>
        </w:rPr>
      </w:pPr>
    </w:p>
    <w:p>
      <w:pPr>
        <w:ind w:left="1320" w:hanging="1299"/>
        <w:spacing w:after="0"/>
        <w:tabs>
          <w:tab w:leader="none" w:pos="13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6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49" w:lineRule="exact"/>
        <w:rPr>
          <w:rFonts w:ascii="Arial" w:cs="Arial" w:eastAsia="Arial" w:hAnsi="Arial"/>
          <w:sz w:val="18"/>
          <w:szCs w:val="18"/>
          <w:color w:val="auto"/>
        </w:rPr>
      </w:pPr>
    </w:p>
    <w:p>
      <w:pPr>
        <w:ind w:right="420" w:firstLine="8"/>
        <w:spacing w:after="0" w:line="266"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rPr>
          <w:rFonts w:ascii="Arial" w:cs="Arial" w:eastAsia="Arial" w:hAnsi="Arial"/>
          <w:sz w:val="18"/>
          <w:szCs w:val="18"/>
          <w:color w:val="auto"/>
        </w:rPr>
      </w:pPr>
      <w:r>
        <w:rPr>
          <w:rFonts w:ascii="Arial" w:cs="Arial" w:eastAsia="Arial" w:hAnsi="Arial"/>
          <w:sz w:val="18"/>
          <w:szCs w:val="18"/>
          <w:color w:val="auto"/>
        </w:rPr>
        <w:t>† Management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9512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5" w:right="379" w:bottom="1440" w:gutter="0" w:footer="0" w:header="0"/>
        </w:sectPr>
      </w:pPr>
    </w:p>
    <w:bookmarkStart w:id="33" w:name="page34"/>
    <w:bookmarkEnd w:id="33"/>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83" w:lineRule="exact"/>
        <w:rPr>
          <w:sz w:val="20"/>
          <w:szCs w:val="20"/>
          <w:color w:val="auto"/>
        </w:rPr>
      </w:pPr>
    </w:p>
    <w:p>
      <w:pPr>
        <w:ind w:left="20"/>
        <w:spacing w:after="0"/>
        <w:tabs>
          <w:tab w:leader="none" w:pos="66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7"/>
          <w:szCs w:val="17"/>
          <w:color w:val="auto"/>
        </w:rPr>
        <w:t>By: /s/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23495</wp:posOffset>
            </wp:positionV>
            <wp:extent cx="27006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3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Andy Sassine</w:t>
      </w:r>
    </w:p>
    <w:p>
      <w:pPr>
        <w:spacing w:after="0" w:line="3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ind w:left="340"/>
        <w:spacing w:after="0" w:line="332"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55" w:lineRule="exact"/>
        <w:rPr>
          <w:sz w:val="20"/>
          <w:szCs w:val="20"/>
          <w:color w:val="auto"/>
        </w:rPr>
      </w:pPr>
    </w:p>
    <w:p>
      <w:pPr>
        <w:ind w:left="9900"/>
        <w:spacing w:after="0"/>
        <w:rPr>
          <w:sz w:val="20"/>
          <w:szCs w:val="20"/>
          <w:color w:val="auto"/>
        </w:rPr>
      </w:pPr>
      <w:r>
        <w:rPr>
          <w:rFonts w:ascii="Arial" w:cs="Arial" w:eastAsia="Arial" w:hAnsi="Arial"/>
          <w:sz w:val="19"/>
          <w:szCs w:val="19"/>
          <w:b w:val="1"/>
          <w:bCs w:val="1"/>
          <w:color w:val="auto"/>
        </w:rPr>
        <w:t>EXHIBIT 10.28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200" w:lineRule="exact"/>
        <w:rPr>
          <w:sz w:val="20"/>
          <w:szCs w:val="20"/>
          <w:color w:val="auto"/>
        </w:rPr>
      </w:pPr>
    </w:p>
    <w:p>
      <w:pPr>
        <w:spacing w:after="0" w:line="340" w:lineRule="exact"/>
        <w:rPr>
          <w:sz w:val="20"/>
          <w:szCs w:val="20"/>
          <w:color w:val="auto"/>
        </w:rPr>
      </w:pPr>
    </w:p>
    <w:p>
      <w:pPr>
        <w:ind w:firstLine="418"/>
        <w:spacing w:after="0" w:line="274" w:lineRule="auto"/>
        <w:rPr>
          <w:sz w:val="20"/>
          <w:szCs w:val="20"/>
          <w:color w:val="auto"/>
        </w:rPr>
      </w:pPr>
      <w:r>
        <w:rPr>
          <w:rFonts w:ascii="Arial" w:cs="Arial" w:eastAsia="Arial" w:hAnsi="Arial"/>
          <w:sz w:val="20"/>
          <w:szCs w:val="20"/>
          <w:color w:val="auto"/>
        </w:rPr>
        <w:t>THIS CREDIT AGREEMENT dated April 21, 2023, is by and between ARCTURUS THERAPEUTICS, INC., a Delaware corporaton (“Borrower”), and WELLS FARGO BANK, NATIONAL ASSOCIATION (“Bank”).</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00" w:lineRule="exact"/>
        <w:rPr>
          <w:sz w:val="20"/>
          <w:szCs w:val="20"/>
          <w:color w:val="auto"/>
        </w:rPr>
      </w:pPr>
    </w:p>
    <w:p>
      <w:pPr>
        <w:spacing w:after="0" w:line="340" w:lineRule="exact"/>
        <w:rPr>
          <w:sz w:val="20"/>
          <w:szCs w:val="20"/>
          <w:color w:val="auto"/>
        </w:rPr>
      </w:pPr>
    </w:p>
    <w:p>
      <w:pPr>
        <w:ind w:firstLine="363"/>
        <w:spacing w:after="0" w:line="274" w:lineRule="auto"/>
        <w:rPr>
          <w:sz w:val="20"/>
          <w:szCs w:val="20"/>
          <w:color w:val="auto"/>
        </w:rPr>
      </w:pPr>
      <w:r>
        <w:rPr>
          <w:rFonts w:ascii="Arial" w:cs="Arial" w:eastAsia="Arial" w:hAnsi="Arial"/>
          <w:sz w:val="20"/>
          <w:szCs w:val="20"/>
          <w:color w:val="auto"/>
        </w:rPr>
        <w:t>Borrower has requested that Bank extend or contnue revolving loans to Borrower as described below, and Bank has agreed to provide such revolving loans to Borrower on the terms and conditons contained herein.</w:t>
      </w:r>
    </w:p>
    <w:p>
      <w:pPr>
        <w:spacing w:after="0" w:line="200" w:lineRule="exact"/>
        <w:rPr>
          <w:sz w:val="20"/>
          <w:szCs w:val="20"/>
          <w:color w:val="auto"/>
        </w:rPr>
      </w:pPr>
    </w:p>
    <w:p>
      <w:pPr>
        <w:spacing w:after="0" w:line="287" w:lineRule="exact"/>
        <w:rPr>
          <w:sz w:val="20"/>
          <w:szCs w:val="20"/>
          <w:color w:val="auto"/>
        </w:rPr>
      </w:pPr>
    </w:p>
    <w:p>
      <w:pPr>
        <w:ind w:firstLine="390"/>
        <w:spacing w:after="0" w:line="274" w:lineRule="auto"/>
        <w:rPr>
          <w:sz w:val="20"/>
          <w:szCs w:val="20"/>
          <w:color w:val="auto"/>
        </w:rPr>
      </w:pPr>
      <w:r>
        <w:rPr>
          <w:rFonts w:ascii="Arial" w:cs="Arial" w:eastAsia="Arial" w:hAnsi="Arial"/>
          <w:sz w:val="20"/>
          <w:szCs w:val="20"/>
          <w:color w:val="auto"/>
        </w:rPr>
        <w:t>NOW, THEREFORE, for valuable consideraton, the receipt and sufciency of which are hereby acknowledged, Bank and Borrower hereby agree as follows: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 AND ACCOUNTING TERMS</w:t>
      </w: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1.1. DEFINITIONS. As used in this Agreement, the following terms shall have the meanings set forth below:</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“AAA” has the meaning specifed in Secton 8.13(b).</w:t>
      </w:r>
    </w:p>
    <w:p>
      <w:pPr>
        <w:spacing w:after="0" w:line="200" w:lineRule="exact"/>
        <w:rPr>
          <w:sz w:val="20"/>
          <w:szCs w:val="20"/>
          <w:color w:val="auto"/>
        </w:rPr>
      </w:pPr>
    </w:p>
    <w:p>
      <w:pPr>
        <w:spacing w:after="0" w:line="340" w:lineRule="exact"/>
        <w:rPr>
          <w:sz w:val="20"/>
          <w:szCs w:val="20"/>
          <w:color w:val="auto"/>
        </w:rPr>
      </w:pPr>
    </w:p>
    <w:p>
      <w:pPr>
        <w:ind w:firstLine="376"/>
        <w:spacing w:after="0" w:line="274" w:lineRule="auto"/>
        <w:rPr>
          <w:sz w:val="20"/>
          <w:szCs w:val="20"/>
          <w:color w:val="auto"/>
        </w:rPr>
      </w:pPr>
      <w:r>
        <w:rPr>
          <w:rFonts w:ascii="Arial" w:cs="Arial" w:eastAsia="Arial" w:hAnsi="Arial"/>
          <w:sz w:val="20"/>
          <w:szCs w:val="20"/>
          <w:color w:val="auto"/>
        </w:rPr>
        <w:t>“Afliate” means, with respect to a specifed Person, another Person that directly, or indirectly through one or more intermediaries, Controls or is Controlled by or is under common Control with the Person specifed.</w:t>
      </w:r>
    </w:p>
    <w:p>
      <w:pPr>
        <w:spacing w:after="0" w:line="200" w:lineRule="exact"/>
        <w:rPr>
          <w:sz w:val="20"/>
          <w:szCs w:val="20"/>
          <w:color w:val="auto"/>
        </w:rPr>
      </w:pPr>
    </w:p>
    <w:p>
      <w:pPr>
        <w:spacing w:after="0" w:line="287" w:lineRule="exact"/>
        <w:rPr>
          <w:sz w:val="20"/>
          <w:szCs w:val="20"/>
          <w:color w:val="auto"/>
        </w:rPr>
      </w:pPr>
    </w:p>
    <w:p>
      <w:pPr>
        <w:ind w:firstLine="376"/>
        <w:spacing w:after="0" w:line="274" w:lineRule="auto"/>
        <w:rPr>
          <w:sz w:val="20"/>
          <w:szCs w:val="20"/>
          <w:color w:val="auto"/>
        </w:rPr>
      </w:pPr>
      <w:r>
        <w:rPr>
          <w:rFonts w:ascii="Arial" w:cs="Arial" w:eastAsia="Arial" w:hAnsi="Arial"/>
          <w:sz w:val="20"/>
          <w:szCs w:val="20"/>
          <w:color w:val="auto"/>
        </w:rPr>
        <w:t>“Agreement” means this Credit Agreement, as amended, amended and restated, supplemented or otherwise modifed from tme to tme.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4879-4479-2151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5701982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6" w:name="page37"/>
    <w:bookmarkEnd w:id="36"/>
    <w:p>
      <w:pPr>
        <w:jc w:val="both"/>
        <w:ind w:firstLine="394"/>
        <w:spacing w:after="0" w:line="264" w:lineRule="auto"/>
        <w:rPr>
          <w:sz w:val="20"/>
          <w:szCs w:val="20"/>
          <w:color w:val="auto"/>
        </w:rPr>
      </w:pPr>
      <w:r>
        <w:rPr>
          <w:rFonts w:ascii="Arial" w:cs="Arial" w:eastAsia="Arial" w:hAnsi="Arial"/>
          <w:sz w:val="20"/>
          <w:szCs w:val="20"/>
          <w:color w:val="auto"/>
        </w:rPr>
        <w:t>“Ant-Corrupton Laws” means: (i) the U.S. Foreign Corrupt Practces Act of 1977, as amended; (ii) the U.K. Bribery Act 2010, as amended; and (iii) any other ant-bribery or ant-corrupton laws, regulatons or ordinances in any jurisdicton in which the Borrower or any member of the Borrowing Group is located or doing business.</w:t>
      </w:r>
    </w:p>
    <w:p>
      <w:pPr>
        <w:spacing w:after="0" w:line="200" w:lineRule="exact"/>
        <w:rPr>
          <w:sz w:val="20"/>
          <w:szCs w:val="20"/>
          <w:color w:val="auto"/>
        </w:rPr>
      </w:pPr>
    </w:p>
    <w:p>
      <w:pPr>
        <w:spacing w:after="0" w:line="297" w:lineRule="exact"/>
        <w:rPr>
          <w:sz w:val="20"/>
          <w:szCs w:val="20"/>
          <w:color w:val="auto"/>
        </w:rPr>
      </w:pPr>
    </w:p>
    <w:p>
      <w:pPr>
        <w:jc w:val="both"/>
        <w:ind w:firstLine="373"/>
        <w:spacing w:after="0" w:line="264" w:lineRule="auto"/>
        <w:rPr>
          <w:sz w:val="20"/>
          <w:szCs w:val="20"/>
          <w:color w:val="auto"/>
        </w:rPr>
      </w:pPr>
      <w:r>
        <w:rPr>
          <w:rFonts w:ascii="Arial" w:cs="Arial" w:eastAsia="Arial" w:hAnsi="Arial"/>
          <w:sz w:val="20"/>
          <w:szCs w:val="20"/>
          <w:color w:val="auto"/>
        </w:rPr>
        <w:t>“Ant-Money Laundering Laws” means applicable laws or regulatons in any jurisdicton in which the Borrower or any member of the Borrowing Group is located or doing business that relates to money laundering, any predicate crime to money laundering, or any fnancial record keeping and reportng requirements related thereto.</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“Atributable Indebtedness” means, on any date, (a) [***], and (b) [***].</w:t>
      </w: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“Bank” has the meaning specifed in the introductory paragraph hereto.</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“Bankruptcy Code” means the Bankruptcy Reform Act, Title 11 of the United States Code, as amended or recodifed from tme to tme.</w:t>
      </w: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“Borrower” has the meaning specifed in the introductory paragraph hereto.</w:t>
      </w:r>
    </w:p>
    <w:p>
      <w:pPr>
        <w:spacing w:after="0" w:line="200" w:lineRule="exact"/>
        <w:rPr>
          <w:sz w:val="20"/>
          <w:szCs w:val="20"/>
          <w:color w:val="auto"/>
        </w:rPr>
      </w:pPr>
    </w:p>
    <w:p>
      <w:pPr>
        <w:spacing w:after="0" w:line="353"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9"/>
          <w:szCs w:val="19"/>
          <w:color w:val="auto"/>
        </w:rPr>
        <w:t>“Borrowing Group” means: (a) Borrower, (b) any direct or indirect parent of Borrower, (c) any Afliate or Subsidiary of Borrower, (d) each other member of the Consolidated Group, and (e) any ofcer, director or agent actng on behalf of any of the partes referred to in items (a) through and including (d) with respect to the Obligatons hereunder, this Agreement or any of the other Loan Documents.</w:t>
      </w:r>
    </w:p>
    <w:p>
      <w:pPr>
        <w:spacing w:after="0" w:line="200" w:lineRule="exact"/>
        <w:rPr>
          <w:sz w:val="20"/>
          <w:szCs w:val="20"/>
          <w:color w:val="auto"/>
        </w:rPr>
      </w:pPr>
    </w:p>
    <w:p>
      <w:pPr>
        <w:spacing w:after="0" w:line="280" w:lineRule="exact"/>
        <w:rPr>
          <w:sz w:val="20"/>
          <w:szCs w:val="20"/>
          <w:color w:val="auto"/>
        </w:rPr>
      </w:pPr>
    </w:p>
    <w:p>
      <w:pPr>
        <w:jc w:val="both"/>
        <w:ind w:firstLine="363"/>
        <w:spacing w:after="0" w:line="274" w:lineRule="auto"/>
        <w:rPr>
          <w:sz w:val="20"/>
          <w:szCs w:val="20"/>
          <w:color w:val="auto"/>
        </w:rPr>
      </w:pPr>
      <w:r>
        <w:rPr>
          <w:rFonts w:ascii="Arial" w:cs="Arial" w:eastAsia="Arial" w:hAnsi="Arial"/>
          <w:sz w:val="20"/>
          <w:szCs w:val="20"/>
          <w:color w:val="auto"/>
        </w:rPr>
        <w:t>“Business Day” means any day that (a) is not a Saturday, Sunday or other day on which the Federal Reserve Bank of New York is closed and (b) is not a day on which commercial banks in New York, New York are closed.</w:t>
      </w: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“Capitalized Leases” means all leases that have been or should be, in accordance with GAAP, recorded as capitalized leases.</w:t>
      </w: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“Cash Equivalents” means, collectvely, (a) [***], (b) [***], (c) [***], (d) [***], or (e) [***].</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00" w:type="dxa"/>
            <w:vAlign w:val="bottom"/>
          </w:tcPr>
          <w:p>
            <w:pPr>
              <w:jc w:val="right"/>
              <w:ind w:right="5628"/>
              <w:spacing w:after="0"/>
              <w:rPr>
                <w:sz w:val="20"/>
                <w:szCs w:val="20"/>
                <w:color w:val="auto"/>
              </w:rPr>
            </w:pPr>
            <w:r>
              <w:rPr>
                <w:rFonts w:ascii="Arial" w:cs="Arial" w:eastAsia="Arial" w:hAnsi="Arial"/>
                <w:sz w:val="14"/>
                <w:szCs w:val="14"/>
                <w:color w:val="auto"/>
              </w:rPr>
              <w:t>-2-</w:t>
            </w:r>
          </w:p>
        </w:tc>
      </w:tr>
      <w:tr>
        <w:trPr>
          <w:trHeight w:val="565"/>
        </w:trPr>
        <w:tc>
          <w:tcPr>
            <w:tcW w:w="37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7" w:name="page38"/>
    <w:bookmarkEnd w:id="37"/>
    <w:p>
      <w:pPr>
        <w:ind w:left="360"/>
        <w:spacing w:after="0"/>
        <w:rPr>
          <w:sz w:val="20"/>
          <w:szCs w:val="20"/>
          <w:color w:val="auto"/>
        </w:rPr>
      </w:pPr>
      <w:r>
        <w:rPr>
          <w:rFonts w:ascii="Arial" w:cs="Arial" w:eastAsia="Arial" w:hAnsi="Arial"/>
          <w:sz w:val="20"/>
          <w:szCs w:val="20"/>
          <w:color w:val="auto"/>
        </w:rPr>
        <w:t>“Change of Control” means an event or series of events by which:</w:t>
      </w:r>
    </w:p>
    <w:p>
      <w:pPr>
        <w:spacing w:after="0" w:line="200" w:lineRule="exact"/>
        <w:rPr>
          <w:sz w:val="20"/>
          <w:szCs w:val="20"/>
          <w:color w:val="auto"/>
        </w:rPr>
      </w:pPr>
    </w:p>
    <w:p>
      <w:pPr>
        <w:spacing w:after="0" w:line="340" w:lineRule="exact"/>
        <w:rPr>
          <w:sz w:val="20"/>
          <w:szCs w:val="20"/>
          <w:color w:val="auto"/>
        </w:rPr>
      </w:pPr>
    </w:p>
    <w:p>
      <w:pPr>
        <w:jc w:val="both"/>
        <w:ind w:firstLine="1114"/>
        <w:spacing w:after="0" w:line="257" w:lineRule="auto"/>
        <w:tabs>
          <w:tab w:leader="none" w:pos="1397"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Sectons 13(d) and 14(d) of the Exchange Act, but excluding any employee beneft plan of such person or its Subsidiaries, and any person or entty actng in its capacity as trustee, agent or other fduciary or administrator of any such plan) becomes the “benefcial owner” (as defned in Rules 13d-3 and 13d-5 under the Exchange Act, except that a “person” or “group” shall be deemed to have “benefcial ownership” of all Equity Interests that such “person” or “group” has the right to acquire, whether such right is exercisable immediately or only afer the passage of tme (such right, an “opton right”)), directly or indirectly, of more than [***] of the Equity Interests of Holdings enttled to vote in the electon of members of the board of directors (or equivalent governing body) of Holdings; or</w:t>
      </w:r>
    </w:p>
    <w:p>
      <w:pPr>
        <w:spacing w:after="0" w:line="200" w:lineRule="exact"/>
        <w:rPr>
          <w:rFonts w:ascii="Arial" w:cs="Arial" w:eastAsia="Arial" w:hAnsi="Arial"/>
          <w:sz w:val="20"/>
          <w:szCs w:val="20"/>
          <w:color w:val="auto"/>
        </w:rPr>
      </w:pPr>
    </w:p>
    <w:p>
      <w:pPr>
        <w:spacing w:after="0" w:line="303" w:lineRule="exact"/>
        <w:rPr>
          <w:rFonts w:ascii="Arial" w:cs="Arial" w:eastAsia="Arial" w:hAnsi="Arial"/>
          <w:sz w:val="20"/>
          <w:szCs w:val="20"/>
          <w:color w:val="auto"/>
        </w:rPr>
      </w:pPr>
    </w:p>
    <w:p>
      <w:pPr>
        <w:jc w:val="both"/>
        <w:ind w:firstLine="1116"/>
        <w:spacing w:after="0" w:line="257" w:lineRule="auto"/>
        <w:tabs>
          <w:tab w:leader="none" w:pos="1411" w:val="left"/>
        </w:tabs>
        <w:numPr>
          <w:ilvl w:val="0"/>
          <w:numId w:val="10"/>
        </w:numPr>
        <w:rPr>
          <w:rFonts w:ascii="Arial" w:cs="Arial" w:eastAsia="Arial" w:hAnsi="Arial"/>
          <w:sz w:val="20"/>
          <w:szCs w:val="20"/>
          <w:color w:val="auto"/>
        </w:rPr>
      </w:pPr>
      <w:r>
        <w:rPr>
          <w:rFonts w:ascii="Arial" w:cs="Arial" w:eastAsia="Arial" w:hAnsi="Arial"/>
          <w:sz w:val="20"/>
          <w:szCs w:val="20"/>
          <w:color w:val="auto"/>
        </w:rPr>
        <w:t>during any period of twelve (12) consecutve months, a majority of the members of the board of directors or other equivalent governing body of Holdings cease to be composed of individuals (i) who were members of that board or equivalent governing body on the frst day of such period, (ii) whose electon or nominaton to that board or equivalent governing body was approved by individuals referred to in clause (i) above consttutng at the tme of such electon or nominaton at least a majority of that board or equivalent governing body or (iii) whose electon or nominaton to that board or other equivalent governing body was approved by individuals referred to in clauses (i) and (ii) above consttutng at the tme of such electon or nominaton at least a majority of that board or equivalent governing body; or</w:t>
      </w:r>
    </w:p>
    <w:p>
      <w:pPr>
        <w:spacing w:after="0" w:line="200" w:lineRule="exact"/>
        <w:rPr>
          <w:sz w:val="20"/>
          <w:szCs w:val="20"/>
          <w:color w:val="auto"/>
        </w:rPr>
      </w:pPr>
    </w:p>
    <w:p>
      <w:pPr>
        <w:spacing w:after="0" w:line="317" w:lineRule="exact"/>
        <w:rPr>
          <w:sz w:val="20"/>
          <w:szCs w:val="20"/>
          <w:color w:val="auto"/>
        </w:rPr>
      </w:pPr>
    </w:p>
    <w:p>
      <w:pPr>
        <w:ind w:left="1460" w:hanging="366"/>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Holdings shall cease to own and control, of record and benefcially, directly or indirectly, 100% of the Equity Interests of</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Borrower.</w:t>
      </w: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“Closing Date” has the meaning specifed in Secton 4.1.</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“Collateral” has the meaning assigned to such term in the Security Agreement.</w:t>
      </w:r>
    </w:p>
    <w:p>
      <w:pPr>
        <w:spacing w:after="0" w:line="200" w:lineRule="exact"/>
        <w:rPr>
          <w:sz w:val="20"/>
          <w:szCs w:val="20"/>
          <w:color w:val="auto"/>
        </w:rPr>
      </w:pPr>
    </w:p>
    <w:p>
      <w:pPr>
        <w:spacing w:after="0" w:line="353" w:lineRule="exact"/>
        <w:rPr>
          <w:sz w:val="20"/>
          <w:szCs w:val="20"/>
          <w:color w:val="auto"/>
        </w:rPr>
      </w:pPr>
    </w:p>
    <w:p>
      <w:pPr>
        <w:ind w:firstLine="369"/>
        <w:spacing w:after="0" w:line="274" w:lineRule="auto"/>
        <w:rPr>
          <w:sz w:val="20"/>
          <w:szCs w:val="20"/>
          <w:color w:val="auto"/>
        </w:rPr>
      </w:pPr>
      <w:r>
        <w:rPr>
          <w:rFonts w:ascii="Arial" w:cs="Arial" w:eastAsia="Arial" w:hAnsi="Arial"/>
          <w:sz w:val="20"/>
          <w:szCs w:val="20"/>
          <w:color w:val="auto"/>
        </w:rPr>
        <w:t>“Collateral Documents” means, collectvely, the Security Agreement, the Securites Account Control Agreement and each of the other agreements, instruments or documents that creates or purports to create a Lien on any Collateral in favor of Bank.</w:t>
      </w: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“Consolidated Group” means Holdings and its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00" w:type="dxa"/>
            <w:vAlign w:val="bottom"/>
          </w:tcPr>
          <w:p>
            <w:pPr>
              <w:jc w:val="right"/>
              <w:ind w:right="5628"/>
              <w:spacing w:after="0"/>
              <w:rPr>
                <w:sz w:val="20"/>
                <w:szCs w:val="20"/>
                <w:color w:val="auto"/>
              </w:rPr>
            </w:pPr>
            <w:r>
              <w:rPr>
                <w:rFonts w:ascii="Arial" w:cs="Arial" w:eastAsia="Arial" w:hAnsi="Arial"/>
                <w:sz w:val="14"/>
                <w:szCs w:val="14"/>
                <w:color w:val="auto"/>
              </w:rPr>
              <w:t>-3-</w:t>
            </w:r>
          </w:p>
        </w:tc>
      </w:tr>
      <w:tr>
        <w:trPr>
          <w:trHeight w:val="565"/>
        </w:trPr>
        <w:tc>
          <w:tcPr>
            <w:tcW w:w="37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8" w:name="page39"/>
    <w:bookmarkEnd w:id="38"/>
    <w:p>
      <w:pPr>
        <w:jc w:val="both"/>
        <w:ind w:firstLine="363"/>
        <w:spacing w:after="0" w:line="264" w:lineRule="auto"/>
        <w:rPr>
          <w:sz w:val="20"/>
          <w:szCs w:val="20"/>
          <w:color w:val="auto"/>
        </w:rPr>
      </w:pPr>
      <w:r>
        <w:rPr>
          <w:rFonts w:ascii="Arial" w:cs="Arial" w:eastAsia="Arial" w:hAnsi="Arial"/>
          <w:sz w:val="20"/>
          <w:szCs w:val="20"/>
          <w:color w:val="auto"/>
        </w:rPr>
        <w:t>“Control” means the possession, directly or indirectly, of the power to direct or cause the directon of the management or policies of a Person, whether through the ability to exercise votng power, by contract or otherwise. “Controlling” and “Controlled” have meanings correlatve thereto.</w:t>
      </w:r>
    </w:p>
    <w:p>
      <w:pPr>
        <w:spacing w:after="0" w:line="200" w:lineRule="exact"/>
        <w:rPr>
          <w:sz w:val="20"/>
          <w:szCs w:val="20"/>
          <w:color w:val="auto"/>
        </w:rPr>
      </w:pPr>
    </w:p>
    <w:p>
      <w:pPr>
        <w:spacing w:after="0" w:line="297" w:lineRule="exact"/>
        <w:rPr>
          <w:sz w:val="20"/>
          <w:szCs w:val="20"/>
          <w:color w:val="auto"/>
        </w:rPr>
      </w:pPr>
    </w:p>
    <w:p>
      <w:pPr>
        <w:jc w:val="both"/>
        <w:ind w:firstLine="364"/>
        <w:spacing w:after="0" w:line="264" w:lineRule="auto"/>
        <w:rPr>
          <w:sz w:val="20"/>
          <w:szCs w:val="20"/>
          <w:color w:val="auto"/>
        </w:rPr>
      </w:pPr>
      <w:r>
        <w:rPr>
          <w:rFonts w:ascii="Arial" w:cs="Arial" w:eastAsia="Arial" w:hAnsi="Arial"/>
          <w:sz w:val="20"/>
          <w:szCs w:val="20"/>
          <w:color w:val="auto"/>
        </w:rPr>
        <w:t>“Debtor Relief Laws” means the Bankruptcy Code, and all other liquidaton, conservatorship, bankruptcy, assignment for the beneft of creditors, moratorium, rearrangement, receivership, insolvency, reorganizaton, or similar debtor relief Laws of the United States or other applicable jurisdictons from tme to tme in efect.</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“Designated Account” has the meaning specifed in Secton 2.3.</w:t>
      </w:r>
    </w:p>
    <w:p>
      <w:pPr>
        <w:spacing w:after="0" w:line="200" w:lineRule="exact"/>
        <w:rPr>
          <w:sz w:val="20"/>
          <w:szCs w:val="20"/>
          <w:color w:val="auto"/>
        </w:rPr>
      </w:pPr>
    </w:p>
    <w:p>
      <w:pPr>
        <w:spacing w:after="0" w:line="353" w:lineRule="exact"/>
        <w:rPr>
          <w:sz w:val="20"/>
          <w:szCs w:val="20"/>
          <w:color w:val="auto"/>
        </w:rPr>
      </w:pPr>
    </w:p>
    <w:p>
      <w:pPr>
        <w:jc w:val="both"/>
        <w:ind w:firstLine="367"/>
        <w:spacing w:after="0" w:line="264" w:lineRule="auto"/>
        <w:rPr>
          <w:sz w:val="20"/>
          <w:szCs w:val="20"/>
          <w:color w:val="auto"/>
        </w:rPr>
      </w:pPr>
      <w:r>
        <w:rPr>
          <w:rFonts w:ascii="Arial" w:cs="Arial" w:eastAsia="Arial" w:hAnsi="Arial"/>
          <w:sz w:val="20"/>
          <w:szCs w:val="20"/>
          <w:color w:val="auto"/>
        </w:rPr>
        <w:t>“Disqualifed Equity Interests” means any Equity Interests that, by their terms (or by the terms of any security or other Equity Interest into which they are convertble or for which they are exchangeable) or upon the happening of any event or conditon, (a) [***], (b) [***], (c) [***] or (d) [***], in each case under any of clauses (a) through (d), prior to the date that is [***].</w:t>
      </w:r>
    </w:p>
    <w:p>
      <w:pPr>
        <w:spacing w:after="0" w:line="200" w:lineRule="exact"/>
        <w:rPr>
          <w:sz w:val="20"/>
          <w:szCs w:val="20"/>
          <w:color w:val="auto"/>
        </w:rPr>
      </w:pPr>
    </w:p>
    <w:p>
      <w:pPr>
        <w:spacing w:after="0" w:line="297" w:lineRule="exact"/>
        <w:rPr>
          <w:sz w:val="20"/>
          <w:szCs w:val="20"/>
          <w:color w:val="auto"/>
        </w:rPr>
      </w:pPr>
    </w:p>
    <w:p>
      <w:pPr>
        <w:jc w:val="both"/>
        <w:ind w:firstLine="361"/>
        <w:spacing w:after="0" w:line="257" w:lineRule="auto"/>
        <w:rPr>
          <w:sz w:val="20"/>
          <w:szCs w:val="20"/>
          <w:color w:val="auto"/>
        </w:rPr>
      </w:pPr>
      <w:r>
        <w:rPr>
          <w:rFonts w:ascii="Arial" w:cs="Arial" w:eastAsia="Arial" w:hAnsi="Arial"/>
          <w:sz w:val="20"/>
          <w:szCs w:val="20"/>
          <w:color w:val="auto"/>
        </w:rPr>
        <w:t>“Equity Interests” means, with respect to any Person, all of the shares of capital stock of (or other ownership or proft interests in) such Person, all of the warrants, optons or other rights for the purchase or acquisiton from such Person of shares of capital stock of (or other ownership or proft interests in) such Person, all of the securites convertble into or exchangeable for shares of capital stock of (or other ownership or proft interests in) such Person or warrants, rights or optons for the purchase or acquisiton from such Person of such shares (or such other interests), and all of the other ownership or proft interests in such Person (including partnership, member or trust interests therein), whether votng or nonvotng, and whether or not such shares, warrants, optons, rights or other interests are outstanding on any date of determinaton.</w:t>
      </w: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“ERISA” means the Employee Retrement Income Security Act of 1974, as amended or recodifed from tme to tme.</w:t>
      </w: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“Event of Default” has the meaning specifed in Secton 7.1.</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“Exchange Act” means the Securites Exchange Act of 1934, as amended from tme to tme.</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“FRB” means the Board of Governors of the Federal Reserve System of the United States.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00" w:type="dxa"/>
            <w:vAlign w:val="bottom"/>
          </w:tcPr>
          <w:p>
            <w:pPr>
              <w:jc w:val="right"/>
              <w:ind w:right="5628"/>
              <w:spacing w:after="0"/>
              <w:rPr>
                <w:sz w:val="20"/>
                <w:szCs w:val="20"/>
                <w:color w:val="auto"/>
              </w:rPr>
            </w:pPr>
            <w:r>
              <w:rPr>
                <w:rFonts w:ascii="Arial" w:cs="Arial" w:eastAsia="Arial" w:hAnsi="Arial"/>
                <w:sz w:val="14"/>
                <w:szCs w:val="14"/>
                <w:color w:val="auto"/>
              </w:rPr>
              <w:t>-4-</w:t>
            </w:r>
          </w:p>
        </w:tc>
      </w:tr>
      <w:tr>
        <w:trPr>
          <w:trHeight w:val="565"/>
        </w:trPr>
        <w:tc>
          <w:tcPr>
            <w:tcW w:w="37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9" w:name="page40"/>
    <w:bookmarkEnd w:id="39"/>
    <w:p>
      <w:pPr>
        <w:jc w:val="both"/>
        <w:ind w:firstLine="406"/>
        <w:spacing w:after="0" w:line="258" w:lineRule="auto"/>
        <w:rPr>
          <w:sz w:val="20"/>
          <w:szCs w:val="20"/>
          <w:color w:val="auto"/>
        </w:rPr>
      </w:pPr>
      <w:r>
        <w:rPr>
          <w:rFonts w:ascii="Arial" w:cs="Arial" w:eastAsia="Arial" w:hAnsi="Arial"/>
          <w:sz w:val="20"/>
          <w:szCs w:val="20"/>
          <w:color w:val="auto"/>
        </w:rPr>
        <w:t>“GAAP” means generally accepted accountng principles in the United States set forth from tme to tme in the opinions and pronouncements of the Accountng Principles Board and the American Insttute of Certfed Public Accountants and statements and pronouncements of the Financial Accountng Standards Board (or agencies with similar functons of comparable stature and authority within the accountng profession) including, without limitaton, the FASB ASC, that are applicable to the circumstances as of the date of determinaton, consistently applied.</w:t>
      </w:r>
    </w:p>
    <w:p>
      <w:pPr>
        <w:spacing w:after="0" w:line="200" w:lineRule="exact"/>
        <w:rPr>
          <w:sz w:val="20"/>
          <w:szCs w:val="20"/>
          <w:color w:val="auto"/>
        </w:rPr>
      </w:pPr>
    </w:p>
    <w:p>
      <w:pPr>
        <w:spacing w:after="0" w:line="319" w:lineRule="exact"/>
        <w:rPr>
          <w:sz w:val="20"/>
          <w:szCs w:val="20"/>
          <w:color w:val="auto"/>
        </w:rPr>
      </w:pPr>
    </w:p>
    <w:p>
      <w:pPr>
        <w:jc w:val="both"/>
        <w:ind w:firstLine="384"/>
        <w:spacing w:after="0" w:line="260" w:lineRule="auto"/>
        <w:rPr>
          <w:sz w:val="20"/>
          <w:szCs w:val="20"/>
          <w:color w:val="auto"/>
        </w:rPr>
      </w:pPr>
      <w:r>
        <w:rPr>
          <w:rFonts w:ascii="Arial" w:cs="Arial" w:eastAsia="Arial" w:hAnsi="Arial"/>
          <w:sz w:val="20"/>
          <w:szCs w:val="20"/>
          <w:color w:val="auto"/>
        </w:rPr>
        <w:t>“Governmental Authority” means the government of the United States or any other naton, or of any politcal subdivision thereof, whether state or local, and any agency, authority, instrumentality, regulatory body, court, central bank or other entty exercising executve, legislatve, judicial, taxing, regulatory or administratve powers or functons of or pertaining to government (including, without limitaton, any supra-natonal bodies such as the European Union or the European Central Bank).</w:t>
      </w:r>
    </w:p>
    <w:p>
      <w:pPr>
        <w:spacing w:after="0" w:line="200" w:lineRule="exact"/>
        <w:rPr>
          <w:sz w:val="20"/>
          <w:szCs w:val="20"/>
          <w:color w:val="auto"/>
        </w:rPr>
      </w:pPr>
    </w:p>
    <w:p>
      <w:pPr>
        <w:spacing w:after="0" w:line="302" w:lineRule="exact"/>
        <w:rPr>
          <w:sz w:val="20"/>
          <w:szCs w:val="20"/>
          <w:color w:val="auto"/>
        </w:rPr>
      </w:pPr>
    </w:p>
    <w:p>
      <w:pPr>
        <w:jc w:val="both"/>
        <w:ind w:firstLine="362"/>
        <w:spacing w:after="0" w:line="285" w:lineRule="auto"/>
        <w:rPr>
          <w:sz w:val="20"/>
          <w:szCs w:val="20"/>
          <w:color w:val="auto"/>
        </w:rPr>
      </w:pPr>
      <w:r>
        <w:rPr>
          <w:rFonts w:ascii="Arial" w:cs="Arial" w:eastAsia="Arial" w:hAnsi="Arial"/>
          <w:sz w:val="18"/>
          <w:szCs w:val="18"/>
          <w:color w:val="auto"/>
        </w:rPr>
        <w:t>“Guarantee” means, as to any Person, (a) any obligaton, contngent or otherwise, of such Person guaranteeing or having the economic efect of guaranteeing any Indebtedness of the kind described in clauses (a) through (g) of the defniton thereof or other obligaton payable or performable by another Person (the “primary obligor”) in any manner, whether directly or indirectly, and including any obligaton of such Person, direct or indirect, (i) to purchase or pay (or advance or supply funds for the purchase or payment of) such Indebtedness or other obligaton, (ii) to purchase or lease property, securites or services for the purpose of assuring the obligee in respect of such Indebtedness or other obligaton of the payment or performance of such Indebtedness or other obligaton, (iii) to maintain working capital, equity capital or any other fnancial statement conditon or liquidity or level of income or cash fow of the primary obligor so as to enable the primary obligor to pay such Indebtedness or other obligaton, or (iv) entered into for the purpose of assuring in any other manner the obligee in respect of such Indebtedness or other obligaton of the payment or performance thereof or to protect such obligee against loss in respect thereof (in whole or in part), or (b) any Lien on any assets of such Person securing any Indebtedness of the kind described in clauses (a) through (g) of the defniton thereof or other obligaton of any other Person, whether or not such Indebtedness or other obligaton is assumed or expressly undertaken by such Person (or any right, contngent or otherwise, of any holder of such Indebtedness to obtain any such Lien). The amount of any Guarantee shall be deemed to be an amount equal to the stated or determinable amount of the related primary obligaton, or porton thereof, in respect of which such Guarantee is made or, if not stated or determinable, the maximum reasonably antcipated liability in respect thereof as determined by the guaranteeing Person in good faith. The term “Guarantee” as a verb has a corresponding meaning.</w:t>
      </w:r>
    </w:p>
    <w:p>
      <w:pPr>
        <w:spacing w:after="0" w:line="200" w:lineRule="exact"/>
        <w:rPr>
          <w:sz w:val="20"/>
          <w:szCs w:val="20"/>
          <w:color w:val="auto"/>
        </w:rPr>
      </w:pPr>
    </w:p>
    <w:p>
      <w:pPr>
        <w:spacing w:after="0" w:line="28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“Holdings” means Arcturus Therapeutcs Holdings Inc., a Delaware corporaton.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00" w:type="dxa"/>
            <w:vAlign w:val="bottom"/>
          </w:tcPr>
          <w:p>
            <w:pPr>
              <w:jc w:val="right"/>
              <w:ind w:right="5628"/>
              <w:spacing w:after="0"/>
              <w:rPr>
                <w:sz w:val="20"/>
                <w:szCs w:val="20"/>
                <w:color w:val="auto"/>
              </w:rPr>
            </w:pPr>
            <w:r>
              <w:rPr>
                <w:rFonts w:ascii="Arial" w:cs="Arial" w:eastAsia="Arial" w:hAnsi="Arial"/>
                <w:sz w:val="14"/>
                <w:szCs w:val="14"/>
                <w:color w:val="auto"/>
              </w:rPr>
              <w:t>-5-</w:t>
            </w:r>
          </w:p>
        </w:tc>
      </w:tr>
      <w:tr>
        <w:trPr>
          <w:trHeight w:val="565"/>
        </w:trPr>
        <w:tc>
          <w:tcPr>
            <w:tcW w:w="37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40" w:name="page41"/>
    <w:bookmarkEnd w:id="40"/>
    <w:p>
      <w:pPr>
        <w:ind w:firstLine="384"/>
        <w:spacing w:after="0" w:line="274" w:lineRule="auto"/>
        <w:rPr>
          <w:sz w:val="20"/>
          <w:szCs w:val="20"/>
          <w:color w:val="auto"/>
        </w:rPr>
      </w:pPr>
      <w:r>
        <w:rPr>
          <w:rFonts w:ascii="Arial" w:cs="Arial" w:eastAsia="Arial" w:hAnsi="Arial"/>
          <w:sz w:val="20"/>
          <w:szCs w:val="20"/>
          <w:color w:val="auto"/>
        </w:rPr>
        <w:t>“Indebtedness” means, as to any Person at a partcular tme, without duplicaton, all of the following, whether or not included as indebtedness or liabilites in accordance with GAAP:</w:t>
      </w:r>
    </w:p>
    <w:p>
      <w:pPr>
        <w:spacing w:after="0" w:line="200" w:lineRule="exact"/>
        <w:rPr>
          <w:sz w:val="20"/>
          <w:szCs w:val="20"/>
          <w:color w:val="auto"/>
        </w:rPr>
      </w:pPr>
    </w:p>
    <w:p>
      <w:pPr>
        <w:spacing w:after="0" w:line="287" w:lineRule="exact"/>
        <w:rPr>
          <w:sz w:val="20"/>
          <w:szCs w:val="20"/>
          <w:color w:val="auto"/>
        </w:rPr>
      </w:pPr>
    </w:p>
    <w:p>
      <w:pPr>
        <w:ind w:firstLine="757"/>
        <w:spacing w:after="0" w:line="274" w:lineRule="auto"/>
        <w:tabs>
          <w:tab w:leader="none" w:pos="1082"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obligatons of such Person for borrowed money and all obligatons of such Person evidenced by bonds, debentures, notes, loan agreements or other similar instruments;</w:t>
      </w:r>
    </w:p>
    <w:p>
      <w:pPr>
        <w:spacing w:after="0" w:line="200" w:lineRule="exact"/>
        <w:rPr>
          <w:rFonts w:ascii="Arial" w:cs="Arial" w:eastAsia="Arial" w:hAnsi="Arial"/>
          <w:sz w:val="20"/>
          <w:szCs w:val="20"/>
          <w:color w:val="auto"/>
        </w:rPr>
      </w:pPr>
    </w:p>
    <w:p>
      <w:pPr>
        <w:spacing w:after="0" w:line="287" w:lineRule="exact"/>
        <w:rPr>
          <w:rFonts w:ascii="Arial" w:cs="Arial" w:eastAsia="Arial" w:hAnsi="Arial"/>
          <w:sz w:val="20"/>
          <w:szCs w:val="20"/>
          <w:color w:val="auto"/>
        </w:rPr>
      </w:pPr>
    </w:p>
    <w:p>
      <w:pPr>
        <w:ind w:firstLine="757"/>
        <w:spacing w:after="0" w:line="274" w:lineRule="auto"/>
        <w:tabs>
          <w:tab w:leader="none" w:pos="1083"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direct or contngent obligatons of such Person arising under leters of credit (including standby and commercial), bankers’ acceptances, bank guarantes, surety bonds and similar instruments;</w:t>
      </w:r>
    </w:p>
    <w:p>
      <w:pPr>
        <w:spacing w:after="0" w:line="200" w:lineRule="exact"/>
        <w:rPr>
          <w:rFonts w:ascii="Arial" w:cs="Arial" w:eastAsia="Arial" w:hAnsi="Arial"/>
          <w:sz w:val="20"/>
          <w:szCs w:val="20"/>
          <w:color w:val="auto"/>
        </w:rPr>
      </w:pPr>
    </w:p>
    <w:p>
      <w:pPr>
        <w:spacing w:after="0" w:line="300" w:lineRule="exact"/>
        <w:rPr>
          <w:rFonts w:ascii="Arial" w:cs="Arial" w:eastAsia="Arial" w:hAnsi="Arial"/>
          <w:sz w:val="20"/>
          <w:szCs w:val="20"/>
          <w:color w:val="auto"/>
        </w:rPr>
      </w:pPr>
    </w:p>
    <w:p>
      <w:pPr>
        <w:ind w:left="1080" w:hanging="323"/>
        <w:spacing w:after="0"/>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net obligatons of such Person under any Swap Contract;</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jc w:val="both"/>
        <w:ind w:firstLine="757"/>
        <w:spacing w:after="0" w:line="258" w:lineRule="auto"/>
        <w:tabs>
          <w:tab w:leader="none" w:pos="1116"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obligatons (including, without limitaton, earnout obligatons) of such Person to pay the deferred purchase price of property or services (other than trade accounts payable in the ordinary course of business and not past due for more than one hundred twenty (120) days afer the date on which such trade account payable was created (unless being contested in good faith as to which adequate reserves required by GAAP have been established and are being maintained and as to which no encumbrance has been placed on any property of such Person));</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jc w:val="both"/>
        <w:ind w:firstLine="757"/>
        <w:spacing w:after="0" w:line="264" w:lineRule="auto"/>
        <w:tabs>
          <w:tab w:leader="none" w:pos="109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conditonal sales or other ttle retenton agreements), whether or not such indebtedness shall have been assumed by such Person or is limited in recourse;</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ind w:left="1080" w:hanging="323"/>
        <w:spacing w:after="0"/>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Atributable Indebtedness in respect of Capitalized Leases and Synthetc Lease Obligatons of such Person;</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ind w:left="1080" w:hanging="323"/>
        <w:spacing w:after="0"/>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obligatons of such Person in respect of Disqualifed Equity Interests; and</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ind w:left="1080" w:hanging="323"/>
        <w:spacing w:after="0"/>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00" w:type="dxa"/>
            <w:vAlign w:val="bottom"/>
          </w:tcPr>
          <w:p>
            <w:pPr>
              <w:jc w:val="right"/>
              <w:ind w:right="5628"/>
              <w:spacing w:after="0"/>
              <w:rPr>
                <w:sz w:val="20"/>
                <w:szCs w:val="20"/>
                <w:color w:val="auto"/>
              </w:rPr>
            </w:pPr>
            <w:r>
              <w:rPr>
                <w:rFonts w:ascii="Arial" w:cs="Arial" w:eastAsia="Arial" w:hAnsi="Arial"/>
                <w:sz w:val="14"/>
                <w:szCs w:val="14"/>
                <w:color w:val="auto"/>
              </w:rPr>
              <w:t>-6-</w:t>
            </w:r>
          </w:p>
        </w:tc>
      </w:tr>
      <w:tr>
        <w:trPr>
          <w:trHeight w:val="579"/>
        </w:trPr>
        <w:tc>
          <w:tcPr>
            <w:tcW w:w="37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41" w:name="page42"/>
    <w:bookmarkEnd w:id="41"/>
    <w:p>
      <w:pPr>
        <w:jc w:val="both"/>
        <w:spacing w:after="0" w:line="294"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corporaton or limited liability company) in which such Person is a general partner or a joint venturer, unless such Indebtedness is expressly made non-recourse to such Person. The amount of any net obligaton under any Swap Contract on any date shall be deemed to be the Swap Terminaton Value thereof as of such date. The amount of any Capitalized Lease or Synthetc Lease Obligaton as of any date shall be deemed to be the amount of Atributable Indebtedness in respect thereof as of such date.</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“Indemnitees” has the meaning specifed in Secton 8.3(b).</w:t>
      </w:r>
    </w:p>
    <w:p>
      <w:pPr>
        <w:spacing w:after="0" w:line="200" w:lineRule="exact"/>
        <w:rPr>
          <w:sz w:val="20"/>
          <w:szCs w:val="20"/>
          <w:color w:val="auto"/>
        </w:rPr>
      </w:pPr>
    </w:p>
    <w:p>
      <w:pPr>
        <w:spacing w:after="0" w:line="340"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“Laws” means, collectvely, all internatonal, foreign, federal, state and local statutes, treates, rules, guidelines, regulatons, ordinances, codes and administratve or judicial precedents or authorites, including the interpretaton or administraton thereof by any Governmental Authority charged with the enforcement, interpretaton or administraton thereof, and all applicable administratve orders, directed dutes, requests, licenses, authorizatons and permits of, and agreements with, any Governmental Authority, in each case whether or not having the force of law.</w:t>
      </w:r>
    </w:p>
    <w:p>
      <w:pPr>
        <w:spacing w:after="0" w:line="200" w:lineRule="exact"/>
        <w:rPr>
          <w:sz w:val="20"/>
          <w:szCs w:val="20"/>
          <w:color w:val="auto"/>
        </w:rPr>
      </w:pPr>
    </w:p>
    <w:p>
      <w:pPr>
        <w:spacing w:after="0" w:line="319" w:lineRule="exact"/>
        <w:rPr>
          <w:sz w:val="20"/>
          <w:szCs w:val="20"/>
          <w:color w:val="auto"/>
        </w:rPr>
      </w:pPr>
    </w:p>
    <w:p>
      <w:pPr>
        <w:jc w:val="both"/>
        <w:ind w:firstLine="385"/>
        <w:spacing w:after="0" w:line="278" w:lineRule="auto"/>
        <w:rPr>
          <w:sz w:val="20"/>
          <w:szCs w:val="20"/>
          <w:color w:val="auto"/>
        </w:rPr>
      </w:pPr>
      <w:r>
        <w:rPr>
          <w:rFonts w:ascii="Arial" w:cs="Arial" w:eastAsia="Arial" w:hAnsi="Arial"/>
          <w:sz w:val="19"/>
          <w:szCs w:val="19"/>
          <w:color w:val="auto"/>
        </w:rPr>
        <w:t>“Lien” means any mortgage, pledge, hypothecaton, assignment, deposit arrangement, encumbrance, lien (statutory or otherwise), charge, or preference, priority or other security interest or preferental arrangement in the nature of a security interest of any kind or nature whatsoever (including any conditonal sale or other ttle retenton agreement, any easement, right of way or other encumbrance on ttle to real property and any fnancing lease having substantally the same economic efect as any of the foregoing).</w:t>
      </w:r>
    </w:p>
    <w:p>
      <w:pPr>
        <w:spacing w:after="0" w:line="200" w:lineRule="exact"/>
        <w:rPr>
          <w:sz w:val="20"/>
          <w:szCs w:val="20"/>
          <w:color w:val="auto"/>
        </w:rPr>
      </w:pPr>
    </w:p>
    <w:p>
      <w:pPr>
        <w:spacing w:after="0" w:line="28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“Line of Credit” has the meaning specifed in Secton 2.1(a).</w:t>
      </w:r>
    </w:p>
    <w:p>
      <w:pPr>
        <w:spacing w:after="0" w:line="200" w:lineRule="exact"/>
        <w:rPr>
          <w:sz w:val="20"/>
          <w:szCs w:val="20"/>
          <w:color w:val="auto"/>
        </w:rPr>
      </w:pPr>
    </w:p>
    <w:p>
      <w:pPr>
        <w:spacing w:after="0" w:line="340"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20"/>
          <w:szCs w:val="20"/>
          <w:color w:val="auto"/>
        </w:rPr>
        <w:t>“Liquidity” means, as of any date of determinaton, unrestricted and unencumbered (other than, with respect to the amounts held in the [***], in [***]) cash and Cash Equivalents of the Consolidated Group as of such date, and including, for the avoidance of doubt, amounts held in [***].</w:t>
      </w:r>
    </w:p>
    <w:p>
      <w:pPr>
        <w:spacing w:after="0" w:line="200" w:lineRule="exact"/>
        <w:rPr>
          <w:sz w:val="20"/>
          <w:szCs w:val="20"/>
          <w:color w:val="auto"/>
        </w:rPr>
      </w:pPr>
    </w:p>
    <w:p>
      <w:pPr>
        <w:spacing w:after="0" w:line="31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“Loan Documents” means, collectvely, (a) this Agreement, (b) the Note, and (c) the Collateral Documents.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00" w:type="dxa"/>
            <w:vAlign w:val="bottom"/>
          </w:tcPr>
          <w:p>
            <w:pPr>
              <w:jc w:val="right"/>
              <w:ind w:right="5628"/>
              <w:spacing w:after="0"/>
              <w:rPr>
                <w:sz w:val="20"/>
                <w:szCs w:val="20"/>
                <w:color w:val="auto"/>
              </w:rPr>
            </w:pPr>
            <w:r>
              <w:rPr>
                <w:rFonts w:ascii="Arial" w:cs="Arial" w:eastAsia="Arial" w:hAnsi="Arial"/>
                <w:sz w:val="14"/>
                <w:szCs w:val="14"/>
                <w:color w:val="auto"/>
              </w:rPr>
              <w:t>-7-</w:t>
            </w:r>
          </w:p>
        </w:tc>
      </w:tr>
      <w:tr>
        <w:trPr>
          <w:trHeight w:val="565"/>
        </w:trPr>
        <w:tc>
          <w:tcPr>
            <w:tcW w:w="37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42" w:name="page43"/>
    <w:bookmarkEnd w:id="42"/>
    <w:p>
      <w:pPr>
        <w:jc w:val="both"/>
        <w:ind w:firstLine="363"/>
        <w:spacing w:after="0" w:line="278" w:lineRule="auto"/>
        <w:rPr>
          <w:sz w:val="20"/>
          <w:szCs w:val="20"/>
          <w:color w:val="auto"/>
        </w:rPr>
      </w:pPr>
      <w:r>
        <w:rPr>
          <w:rFonts w:ascii="Arial" w:cs="Arial" w:eastAsia="Arial" w:hAnsi="Arial"/>
          <w:sz w:val="19"/>
          <w:szCs w:val="19"/>
          <w:color w:val="auto"/>
        </w:rPr>
        <w:t>“Material Adverse Efect” means (a) a material adverse change in, or a material adverse efect on, the operatons, business, propertes, liabilites (actual or contngent), or fnancial conditon of the Borrower; (b) a material impairment of the rights and remedies of the Bank under any Loan Document, or of the ability of the Borrower to perform its obligatons under the Loan Documents; or (c) a material adverse efect upon the legality, validity, binding efect or enforceability against the Borrower of any Loan Document.</w:t>
      </w:r>
    </w:p>
    <w:p>
      <w:pPr>
        <w:spacing w:after="0" w:line="200" w:lineRule="exact"/>
        <w:rPr>
          <w:sz w:val="20"/>
          <w:szCs w:val="20"/>
          <w:color w:val="auto"/>
        </w:rPr>
      </w:pPr>
    </w:p>
    <w:p>
      <w:pPr>
        <w:spacing w:after="0" w:line="286"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20"/>
          <w:szCs w:val="20"/>
          <w:color w:val="auto"/>
        </w:rPr>
        <w:t>“Maturity Date” means April 21, 2025; provided, however, that if such date is not a Business Day, the Maturity Date shall be the immediately preceding Business Day.</w:t>
      </w: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“Note” has the meaning specifed in Secton 2.1(a).</w:t>
      </w:r>
    </w:p>
    <w:p>
      <w:pPr>
        <w:spacing w:after="0" w:line="200" w:lineRule="exact"/>
        <w:rPr>
          <w:sz w:val="20"/>
          <w:szCs w:val="20"/>
          <w:color w:val="auto"/>
        </w:rPr>
      </w:pPr>
    </w:p>
    <w:p>
      <w:pPr>
        <w:spacing w:after="0" w:line="353"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20"/>
          <w:szCs w:val="20"/>
          <w:color w:val="auto"/>
        </w:rPr>
        <w:t xml:space="preserve">“Notce of Account Designaton” means a writen notce substantally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such other form as may be approved by Bank, appropriately completed and signed by a responsible ofcer of Borrower.</w:t>
      </w:r>
    </w:p>
    <w:p>
      <w:pPr>
        <w:spacing w:after="0" w:line="200" w:lineRule="exact"/>
        <w:rPr>
          <w:sz w:val="20"/>
          <w:szCs w:val="20"/>
          <w:color w:val="auto"/>
        </w:rPr>
      </w:pPr>
    </w:p>
    <w:p>
      <w:pPr>
        <w:spacing w:after="0" w:line="287" w:lineRule="exact"/>
        <w:rPr>
          <w:sz w:val="20"/>
          <w:szCs w:val="20"/>
          <w:color w:val="auto"/>
        </w:rPr>
      </w:pPr>
    </w:p>
    <w:p>
      <w:pPr>
        <w:jc w:val="both"/>
        <w:ind w:firstLine="373"/>
        <w:spacing w:after="0" w:line="264" w:lineRule="auto"/>
        <w:rPr>
          <w:sz w:val="20"/>
          <w:szCs w:val="20"/>
          <w:color w:val="auto"/>
        </w:rPr>
      </w:pPr>
      <w:r>
        <w:rPr>
          <w:rFonts w:ascii="Arial" w:cs="Arial" w:eastAsia="Arial" w:hAnsi="Arial"/>
          <w:sz w:val="20"/>
          <w:szCs w:val="20"/>
          <w:color w:val="auto"/>
        </w:rPr>
        <w:t xml:space="preserve">“Notce of Borrowing” means a writen notce substantally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as may be approved by Bank (including any form on an electronic platorm or electronic transmission system as shall be approved by Bank), appropriately completed and signed by a responsible ofcer of Borrower.</w:t>
      </w:r>
    </w:p>
    <w:p>
      <w:pPr>
        <w:spacing w:after="0" w:line="200" w:lineRule="exact"/>
        <w:rPr>
          <w:sz w:val="20"/>
          <w:szCs w:val="20"/>
          <w:color w:val="auto"/>
        </w:rPr>
      </w:pPr>
    </w:p>
    <w:p>
      <w:pPr>
        <w:spacing w:after="0" w:line="297" w:lineRule="exact"/>
        <w:rPr>
          <w:sz w:val="20"/>
          <w:szCs w:val="20"/>
          <w:color w:val="auto"/>
        </w:rPr>
      </w:pPr>
    </w:p>
    <w:p>
      <w:pPr>
        <w:jc w:val="both"/>
        <w:ind w:firstLine="361"/>
        <w:spacing w:after="0" w:line="291" w:lineRule="auto"/>
        <w:rPr>
          <w:sz w:val="20"/>
          <w:szCs w:val="20"/>
          <w:color w:val="auto"/>
        </w:rPr>
      </w:pPr>
      <w:r>
        <w:rPr>
          <w:rFonts w:ascii="Arial" w:cs="Arial" w:eastAsia="Arial" w:hAnsi="Arial"/>
          <w:sz w:val="18"/>
          <w:szCs w:val="18"/>
          <w:color w:val="auto"/>
        </w:rPr>
        <w:t>“Obligatons” means (a) all advances to, and debts, liabilites, obligatons, covenants and dutes of, the Borrower arising under any Loan Document or otherwise with respect to the Line of Credit and (b) all costs and expenses incurred in connecton with enforcement and collecton of the foregoing, including the fees, charges and disbursements of counsel, in each case whether direct or indirect (including those acquired by assumpton), absolute or contngent, due or to become due, now existng or hereafer arising and including interest and fees that accrue afer the commencement by or against the Borrower pursuant to any proceeding under any Debtor Relief Laws naming such Person as the debtor in such proceeding, regardless of whether such interest and fees are allowed claims in such proceeding.</w:t>
      </w:r>
    </w:p>
    <w:p>
      <w:pPr>
        <w:spacing w:after="0" w:line="200" w:lineRule="exact"/>
        <w:rPr>
          <w:sz w:val="20"/>
          <w:szCs w:val="20"/>
          <w:color w:val="auto"/>
        </w:rPr>
      </w:pPr>
    </w:p>
    <w:p>
      <w:pPr>
        <w:spacing w:after="0" w:line="29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“Organizatonal Documents” means, with respect to the Borrower, its certfcate of incorporaton and its bylaws.</w:t>
      </w:r>
    </w:p>
    <w:p>
      <w:pPr>
        <w:spacing w:after="0" w:line="200" w:lineRule="exact"/>
        <w:rPr>
          <w:sz w:val="20"/>
          <w:szCs w:val="20"/>
          <w:color w:val="auto"/>
        </w:rPr>
      </w:pPr>
    </w:p>
    <w:p>
      <w:pPr>
        <w:spacing w:after="0" w:line="340" w:lineRule="exact"/>
        <w:rPr>
          <w:sz w:val="20"/>
          <w:szCs w:val="20"/>
          <w:color w:val="auto"/>
        </w:rPr>
      </w:pPr>
    </w:p>
    <w:p>
      <w:pPr>
        <w:jc w:val="both"/>
        <w:ind w:firstLine="390"/>
        <w:spacing w:after="0" w:line="274" w:lineRule="auto"/>
        <w:rPr>
          <w:sz w:val="20"/>
          <w:szCs w:val="20"/>
          <w:color w:val="auto"/>
        </w:rPr>
      </w:pPr>
      <w:r>
        <w:rPr>
          <w:rFonts w:ascii="Arial" w:cs="Arial" w:eastAsia="Arial" w:hAnsi="Arial"/>
          <w:sz w:val="20"/>
          <w:szCs w:val="20"/>
          <w:color w:val="auto"/>
        </w:rPr>
        <w:t>“Person” means any natural person, corporaton, limited liability company, trust, joint venture, associaton, company, partnership, Governmental Authority or other entty.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00" w:type="dxa"/>
            <w:vAlign w:val="bottom"/>
          </w:tcPr>
          <w:p>
            <w:pPr>
              <w:jc w:val="right"/>
              <w:ind w:right="5628"/>
              <w:spacing w:after="0"/>
              <w:rPr>
                <w:sz w:val="20"/>
                <w:szCs w:val="20"/>
                <w:color w:val="auto"/>
              </w:rPr>
            </w:pPr>
            <w:r>
              <w:rPr>
                <w:rFonts w:ascii="Arial" w:cs="Arial" w:eastAsia="Arial" w:hAnsi="Arial"/>
                <w:sz w:val="14"/>
                <w:szCs w:val="14"/>
                <w:color w:val="auto"/>
              </w:rPr>
              <w:t>-8-</w:t>
            </w:r>
          </w:p>
        </w:tc>
      </w:tr>
      <w:tr>
        <w:trPr>
          <w:trHeight w:val="565"/>
        </w:trPr>
        <w:tc>
          <w:tcPr>
            <w:tcW w:w="37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43" w:name="page44"/>
    <w:bookmarkEnd w:id="43"/>
    <w:p>
      <w:pPr>
        <w:ind w:left="360"/>
        <w:spacing w:after="0"/>
        <w:rPr>
          <w:sz w:val="20"/>
          <w:szCs w:val="20"/>
          <w:color w:val="auto"/>
        </w:rPr>
      </w:pPr>
      <w:r>
        <w:rPr>
          <w:rFonts w:ascii="Arial" w:cs="Arial" w:eastAsia="Arial" w:hAnsi="Arial"/>
          <w:sz w:val="20"/>
          <w:szCs w:val="20"/>
          <w:color w:val="auto"/>
        </w:rPr>
        <w:t>“Plan” has the meaning specifed in Secton 3.9.</w:t>
      </w: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 has the meaning specifed in [***].</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“Qualifed Equity Interests” means any Equity Interests that are not Disqualifed Equity Interests.</w:t>
      </w:r>
    </w:p>
    <w:p>
      <w:pPr>
        <w:spacing w:after="0" w:line="200" w:lineRule="exact"/>
        <w:rPr>
          <w:sz w:val="20"/>
          <w:szCs w:val="20"/>
          <w:color w:val="auto"/>
        </w:rPr>
      </w:pPr>
    </w:p>
    <w:p>
      <w:pPr>
        <w:spacing w:after="0" w:line="340" w:lineRule="exact"/>
        <w:rPr>
          <w:sz w:val="20"/>
          <w:szCs w:val="20"/>
          <w:color w:val="auto"/>
        </w:rPr>
      </w:pPr>
    </w:p>
    <w:p>
      <w:pPr>
        <w:jc w:val="both"/>
        <w:ind w:firstLine="374"/>
        <w:spacing w:after="0" w:line="274" w:lineRule="auto"/>
        <w:rPr>
          <w:sz w:val="20"/>
          <w:szCs w:val="20"/>
          <w:color w:val="auto"/>
        </w:rPr>
      </w:pPr>
      <w:r>
        <w:rPr>
          <w:rFonts w:ascii="Arial" w:cs="Arial" w:eastAsia="Arial" w:hAnsi="Arial"/>
          <w:sz w:val="20"/>
          <w:szCs w:val="20"/>
          <w:color w:val="auto"/>
        </w:rPr>
        <w:t>“Related Partes” means, with respect to any Person, such Person’s Afliates and the partners, directors, ofcers, employees, agents, trustees, administrators, managers, advisors and representatves of such Person and of such Person’s Afliates.</w:t>
      </w: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“Rules” has the meaning specifed in Secton 8.13(b).</w:t>
      </w:r>
    </w:p>
    <w:p>
      <w:pPr>
        <w:spacing w:after="0" w:line="200" w:lineRule="exact"/>
        <w:rPr>
          <w:sz w:val="20"/>
          <w:szCs w:val="20"/>
          <w:color w:val="auto"/>
        </w:rPr>
      </w:pPr>
    </w:p>
    <w:p>
      <w:pPr>
        <w:spacing w:after="0" w:line="340" w:lineRule="exact"/>
        <w:rPr>
          <w:sz w:val="20"/>
          <w:szCs w:val="20"/>
          <w:color w:val="auto"/>
        </w:rPr>
      </w:pPr>
    </w:p>
    <w:p>
      <w:pPr>
        <w:jc w:val="both"/>
        <w:ind w:firstLine="366"/>
        <w:spacing w:after="0" w:line="260" w:lineRule="auto"/>
        <w:rPr>
          <w:sz w:val="20"/>
          <w:szCs w:val="20"/>
          <w:color w:val="auto"/>
        </w:rPr>
      </w:pPr>
      <w:r>
        <w:rPr>
          <w:rFonts w:ascii="Arial" w:cs="Arial" w:eastAsia="Arial" w:hAnsi="Arial"/>
          <w:sz w:val="20"/>
          <w:szCs w:val="20"/>
          <w:color w:val="auto"/>
        </w:rPr>
        <w:t>“Sanctoned Target” means any target of Sanctons, including (i) persons on any list of targets identfed or designated pursuant to any Sanctons, (ii) persons, countries, or territories that are the target of any territorial or country-based Sanctons program, (iii) persons that are a target of Sanctons due to their ownership or control by any Sanctoned Target(s), or (iv) persons otherwise a target of Sanctons, including vessels and aircraf, that are designated under any Sanctons program.</w:t>
      </w:r>
    </w:p>
    <w:p>
      <w:pPr>
        <w:spacing w:after="0" w:line="200" w:lineRule="exact"/>
        <w:rPr>
          <w:sz w:val="20"/>
          <w:szCs w:val="20"/>
          <w:color w:val="auto"/>
        </w:rPr>
      </w:pPr>
    </w:p>
    <w:p>
      <w:pPr>
        <w:spacing w:after="0" w:line="3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“Sanctons” has the meaning specifed in Secton 3.1.</w:t>
      </w: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 means the Securites and Exchange Commission.</w:t>
      </w:r>
    </w:p>
    <w:p>
      <w:pPr>
        <w:spacing w:after="0" w:line="200" w:lineRule="exact"/>
        <w:rPr>
          <w:sz w:val="20"/>
          <w:szCs w:val="20"/>
          <w:color w:val="auto"/>
        </w:rPr>
      </w:pPr>
    </w:p>
    <w:p>
      <w:pPr>
        <w:spacing w:after="0" w:line="340" w:lineRule="exact"/>
        <w:rPr>
          <w:sz w:val="20"/>
          <w:szCs w:val="20"/>
          <w:color w:val="auto"/>
        </w:rPr>
      </w:pPr>
    </w:p>
    <w:p>
      <w:pPr>
        <w:jc w:val="both"/>
        <w:ind w:firstLine="362"/>
        <w:spacing w:after="0" w:line="264" w:lineRule="auto"/>
        <w:rPr>
          <w:sz w:val="20"/>
          <w:szCs w:val="20"/>
          <w:color w:val="auto"/>
        </w:rPr>
      </w:pPr>
      <w:r>
        <w:rPr>
          <w:rFonts w:ascii="Arial" w:cs="Arial" w:eastAsia="Arial" w:hAnsi="Arial"/>
          <w:sz w:val="20"/>
          <w:szCs w:val="20"/>
          <w:color w:val="auto"/>
        </w:rPr>
        <w:t>“Securites Account Control Agreement” means the Securites Account Control Agreement, dated as of the Closing Date, by and among Borrower, Bank, and Wells Fargo Securites, LLC, as amended, restated, supplemented or otherwise modifed from tme to tme, which provides Bank with “control” (as such term is used in Artcle 9 of the UCC) over the [***].</w:t>
      </w:r>
    </w:p>
    <w:p>
      <w:pPr>
        <w:spacing w:after="0" w:line="200" w:lineRule="exact"/>
        <w:rPr>
          <w:sz w:val="20"/>
          <w:szCs w:val="20"/>
          <w:color w:val="auto"/>
        </w:rPr>
      </w:pPr>
    </w:p>
    <w:p>
      <w:pPr>
        <w:spacing w:after="0" w:line="297" w:lineRule="exact"/>
        <w:rPr>
          <w:sz w:val="20"/>
          <w:szCs w:val="20"/>
          <w:color w:val="auto"/>
        </w:rPr>
      </w:pPr>
    </w:p>
    <w:p>
      <w:pPr>
        <w:jc w:val="both"/>
        <w:ind w:firstLine="370"/>
        <w:spacing w:after="0" w:line="274" w:lineRule="auto"/>
        <w:rPr>
          <w:sz w:val="20"/>
          <w:szCs w:val="20"/>
          <w:color w:val="auto"/>
        </w:rPr>
      </w:pPr>
      <w:r>
        <w:rPr>
          <w:rFonts w:ascii="Arial" w:cs="Arial" w:eastAsia="Arial" w:hAnsi="Arial"/>
          <w:sz w:val="20"/>
          <w:szCs w:val="20"/>
          <w:color w:val="auto"/>
        </w:rPr>
        <w:t>“Security Agreement” means the Security Agreement (Securites Account), dated as of the Closing Date, by and among Borrower and Bank, as amended, restated, supplemented or otherwise modifed from tme to tme.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00" w:type="dxa"/>
            <w:vAlign w:val="bottom"/>
          </w:tcPr>
          <w:p>
            <w:pPr>
              <w:jc w:val="right"/>
              <w:ind w:right="5628"/>
              <w:spacing w:after="0"/>
              <w:rPr>
                <w:sz w:val="20"/>
                <w:szCs w:val="20"/>
                <w:color w:val="auto"/>
              </w:rPr>
            </w:pPr>
            <w:r>
              <w:rPr>
                <w:rFonts w:ascii="Arial" w:cs="Arial" w:eastAsia="Arial" w:hAnsi="Arial"/>
                <w:sz w:val="14"/>
                <w:szCs w:val="14"/>
                <w:color w:val="auto"/>
              </w:rPr>
              <w:t>-9-</w:t>
            </w:r>
          </w:p>
        </w:tc>
      </w:tr>
      <w:tr>
        <w:trPr>
          <w:trHeight w:val="579"/>
        </w:trPr>
        <w:tc>
          <w:tcPr>
            <w:tcW w:w="37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44" w:name="page45"/>
    <w:bookmarkEnd w:id="44"/>
    <w:p>
      <w:pPr>
        <w:ind w:left="360"/>
        <w:spacing w:after="0"/>
        <w:rPr>
          <w:sz w:val="20"/>
          <w:szCs w:val="20"/>
          <w:color w:val="auto"/>
        </w:rPr>
      </w:pPr>
      <w:r>
        <w:rPr>
          <w:rFonts w:ascii="Arial" w:cs="Arial" w:eastAsia="Arial" w:hAnsi="Arial"/>
          <w:sz w:val="20"/>
          <w:szCs w:val="20"/>
          <w:color w:val="auto"/>
        </w:rPr>
        <w:t>“State” has the meaning specifed in Secton 8.10.</w:t>
      </w:r>
    </w:p>
    <w:p>
      <w:pPr>
        <w:spacing w:after="0" w:line="200" w:lineRule="exact"/>
        <w:rPr>
          <w:sz w:val="20"/>
          <w:szCs w:val="20"/>
          <w:color w:val="auto"/>
        </w:rPr>
      </w:pPr>
    </w:p>
    <w:p>
      <w:pPr>
        <w:spacing w:after="0" w:line="340" w:lineRule="exact"/>
        <w:rPr>
          <w:sz w:val="20"/>
          <w:szCs w:val="20"/>
          <w:color w:val="auto"/>
        </w:rPr>
      </w:pPr>
    </w:p>
    <w:p>
      <w:pPr>
        <w:jc w:val="both"/>
        <w:ind w:firstLine="368"/>
        <w:spacing w:after="0" w:line="260" w:lineRule="auto"/>
        <w:rPr>
          <w:sz w:val="20"/>
          <w:szCs w:val="20"/>
          <w:color w:val="auto"/>
        </w:rPr>
      </w:pPr>
      <w:r>
        <w:rPr>
          <w:rFonts w:ascii="Arial" w:cs="Arial" w:eastAsia="Arial" w:hAnsi="Arial"/>
          <w:sz w:val="20"/>
          <w:szCs w:val="20"/>
          <w:color w:val="auto"/>
        </w:rPr>
        <w:t>“Subsidiary” of a Person means a corporaton, partnership, joint venture, limited liability company or other business entty of which a majority of the shares of Votng Stock is at the tme benefcially owned, or the management of which is otherwise controlled, directly, or indirectly through one or more intermediaries, or both, by such Person. Unless otherwise specifed, all references herein to a “Subsidiary” or to “Subsidiaries” shall refer to a Subsidiary or Subsidiaries of the Borrower.</w:t>
      </w:r>
    </w:p>
    <w:p>
      <w:pPr>
        <w:spacing w:after="0" w:line="200" w:lineRule="exact"/>
        <w:rPr>
          <w:sz w:val="20"/>
          <w:szCs w:val="20"/>
          <w:color w:val="auto"/>
        </w:rPr>
      </w:pPr>
    </w:p>
    <w:p>
      <w:pPr>
        <w:spacing w:after="0" w:line="302"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9"/>
          <w:szCs w:val="19"/>
          <w:color w:val="auto"/>
        </w:rPr>
        <w:t>“Swap Contract” means (a) any and all rate swap transactons, basis swaps, credit derivatve transactons, forward rate transactons, commodity swaps, commodity optons, forward commodity contracts, equity or equity index swaps or optons, bond or bond price or bond index swaps or optons or forward bond or forward bond price or forward bond index transactons, interest rate optons, forward foreign exchange transactons, cap transactons, foor transactons, collar transactons, currency swap transactons, cross-currency rate swap transactons, currency optons, spot contracts, or any other similar transactons or any combinaton of any of the foregoing (including any optons to enter into any of the foregoing), whether or not any such transacton is governed by or subject to any master agreement, and (b) any and all transactons of any kind, and the related confrmatons, which are subject to the terms and conditons of, or governed by, any form of master agreement published by the Internatonal Swaps and Derivatves Associaton, Inc., any Internatonal Foreign Exchange Master Agreement, or any other master agreement (any such master agreement, together with any related schedules, a “Master Agreement”), including any such obligatons or liabilites under any Master Agreement.</w:t>
      </w:r>
    </w:p>
    <w:p>
      <w:pPr>
        <w:spacing w:after="0" w:line="200" w:lineRule="exact"/>
        <w:rPr>
          <w:sz w:val="20"/>
          <w:szCs w:val="20"/>
          <w:color w:val="auto"/>
        </w:rPr>
      </w:pPr>
    </w:p>
    <w:p>
      <w:pPr>
        <w:spacing w:after="0" w:line="312" w:lineRule="exact"/>
        <w:rPr>
          <w:sz w:val="20"/>
          <w:szCs w:val="20"/>
          <w:color w:val="auto"/>
        </w:rPr>
      </w:pPr>
    </w:p>
    <w:p>
      <w:pPr>
        <w:jc w:val="both"/>
        <w:ind w:firstLine="381"/>
        <w:spacing w:after="0" w:line="257" w:lineRule="auto"/>
        <w:rPr>
          <w:sz w:val="20"/>
          <w:szCs w:val="20"/>
          <w:color w:val="auto"/>
        </w:rPr>
      </w:pPr>
      <w:r>
        <w:rPr>
          <w:rFonts w:ascii="Arial" w:cs="Arial" w:eastAsia="Arial" w:hAnsi="Arial"/>
          <w:sz w:val="20"/>
          <w:szCs w:val="20"/>
          <w:color w:val="auto"/>
        </w:rPr>
        <w:t>“Swap Terminaton Value” means, in respect of any one or more Swap Contracts, afer taking into account the efect of any legally enforceable netng agreement relatng to such Swap Contracts, (a) for any date on or afer the date such Swap Contracts have been closed out and terminaton value(s) determined in accordance therewith, such terminaton value(s), and (b) for any date prior to the date referenced in clause (a), the amount(s) determined as the mark-to-market value(s) for such Swap Contracts, as determined based upon one or more mid-market or other readily available quotatons provided by any recognized dealer in such Swap Contracts (which may include Bank or any Afliate of Bank).</w:t>
      </w:r>
    </w:p>
    <w:p>
      <w:pPr>
        <w:spacing w:after="0" w:line="200" w:lineRule="exact"/>
        <w:rPr>
          <w:sz w:val="20"/>
          <w:szCs w:val="20"/>
          <w:color w:val="auto"/>
        </w:rPr>
      </w:pPr>
    </w:p>
    <w:p>
      <w:pPr>
        <w:spacing w:after="0" w:line="307"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20"/>
          <w:szCs w:val="20"/>
          <w:color w:val="auto"/>
        </w:rPr>
        <w:t>“Synthetc Lease Obligaton” means the monetary obligaton of a Person under (a) a so-called synthetc, of-balance sheet or tax retenton lease, or (b) an agreement for the use or possession of property, in each case, creatng obligatons that do not appear on the balance sheet of such Person but which, upon the applicaton of any Debtor Relief Laws to such Person, would be characterized as the indebtedness of such Person (without regard to accountng treatment).</w:t>
      </w:r>
    </w:p>
    <w:p>
      <w:pPr>
        <w:spacing w:after="0" w:line="200" w:lineRule="exact"/>
        <w:rPr>
          <w:sz w:val="20"/>
          <w:szCs w:val="20"/>
          <w:color w:val="auto"/>
        </w:rPr>
      </w:pPr>
    </w:p>
    <w:p>
      <w:pPr>
        <w:spacing w:after="0" w:line="3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“Threshold Amount” means $[***].</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-10-</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45" w:name="page46"/>
    <w:bookmarkEnd w:id="45"/>
    <w:p>
      <w:pPr>
        <w:jc w:val="both"/>
        <w:ind w:firstLine="360"/>
        <w:spacing w:after="0" w:line="278" w:lineRule="auto"/>
        <w:rPr>
          <w:sz w:val="20"/>
          <w:szCs w:val="20"/>
          <w:color w:val="auto"/>
        </w:rPr>
      </w:pPr>
      <w:r>
        <w:rPr>
          <w:rFonts w:ascii="Arial" w:cs="Arial" w:eastAsia="Arial" w:hAnsi="Arial"/>
          <w:sz w:val="19"/>
          <w:szCs w:val="19"/>
          <w:color w:val="auto"/>
        </w:rPr>
        <w:t>“UCC” means the Uniform Commercial Code as in efect in the State of New York; provided that, if perfecton or the efect of perfecton or non-perfecton or the priority of any security interest in any Collateral is governed by the Uniform Commercial Code as in efect in a jurisdicton other than the State of New York, “UCC” means the Uniform Commercial Code as in efect from tme to tme in such other jurisdicton for purposes of the provisions hereof relatng to such perfecton, efect of perfecton or non-perfecton or priority.</w:t>
      </w:r>
    </w:p>
    <w:p>
      <w:pPr>
        <w:spacing w:after="0" w:line="200" w:lineRule="exact"/>
        <w:rPr>
          <w:sz w:val="20"/>
          <w:szCs w:val="20"/>
          <w:color w:val="auto"/>
        </w:rPr>
      </w:pPr>
    </w:p>
    <w:p>
      <w:pPr>
        <w:spacing w:after="0" w:line="300" w:lineRule="exact"/>
        <w:rPr>
          <w:sz w:val="20"/>
          <w:szCs w:val="20"/>
          <w:color w:val="auto"/>
        </w:rPr>
      </w:pPr>
    </w:p>
    <w:p>
      <w:pPr>
        <w:jc w:val="both"/>
        <w:ind w:firstLine="377"/>
        <w:spacing w:after="0" w:line="264" w:lineRule="auto"/>
        <w:rPr>
          <w:sz w:val="20"/>
          <w:szCs w:val="20"/>
          <w:color w:val="auto"/>
        </w:rPr>
      </w:pPr>
      <w:r>
        <w:rPr>
          <w:rFonts w:ascii="Arial" w:cs="Arial" w:eastAsia="Arial" w:hAnsi="Arial"/>
          <w:sz w:val="20"/>
          <w:szCs w:val="20"/>
          <w:color w:val="auto"/>
        </w:rPr>
        <w:t>“Votng Stock” means, with respect to any Person, Equity Interests issued by such Person the holders of which are ordinarily, in the absence of contngencies, enttled to vote for the electon of directors (or other governing body performing similar functons) of such Person, even though the right to so vote has been suspended by the happening of such contngency.</w:t>
      </w:r>
    </w:p>
    <w:p>
      <w:pPr>
        <w:spacing w:after="0" w:line="200" w:lineRule="exact"/>
        <w:rPr>
          <w:sz w:val="20"/>
          <w:szCs w:val="20"/>
          <w:color w:val="auto"/>
        </w:rPr>
      </w:pPr>
    </w:p>
    <w:p>
      <w:pPr>
        <w:spacing w:after="0" w:line="297" w:lineRule="exact"/>
        <w:rPr>
          <w:sz w:val="20"/>
          <w:szCs w:val="20"/>
          <w:color w:val="auto"/>
        </w:rPr>
      </w:pPr>
    </w:p>
    <w:p>
      <w:pPr>
        <w:jc w:val="both"/>
        <w:ind w:firstLine="368"/>
        <w:spacing w:after="0" w:line="274" w:lineRule="auto"/>
        <w:rPr>
          <w:sz w:val="20"/>
          <w:szCs w:val="20"/>
          <w:color w:val="auto"/>
        </w:rPr>
      </w:pPr>
      <w:r>
        <w:rPr>
          <w:rFonts w:ascii="Arial" w:cs="Arial" w:eastAsia="Arial" w:hAnsi="Arial"/>
          <w:sz w:val="20"/>
          <w:szCs w:val="20"/>
          <w:color w:val="auto"/>
        </w:rPr>
        <w:t>SECTION 1.2. OTHER INTERPRETIVE PROVISIONS. With reference to this Agreement and each other Loan Document, unless otherwise specifed herein or in such other Loan Document:</w:t>
      </w:r>
    </w:p>
    <w:p>
      <w:pPr>
        <w:spacing w:after="0" w:line="200" w:lineRule="exact"/>
        <w:rPr>
          <w:sz w:val="20"/>
          <w:szCs w:val="20"/>
          <w:color w:val="auto"/>
        </w:rPr>
      </w:pPr>
    </w:p>
    <w:p>
      <w:pPr>
        <w:spacing w:after="0" w:line="287" w:lineRule="exact"/>
        <w:rPr>
          <w:sz w:val="20"/>
          <w:szCs w:val="20"/>
          <w:color w:val="auto"/>
        </w:rPr>
      </w:pPr>
    </w:p>
    <w:p>
      <w:pPr>
        <w:jc w:val="both"/>
        <w:ind w:firstLine="383"/>
        <w:spacing w:after="0" w:line="285" w:lineRule="auto"/>
        <w:tabs>
          <w:tab w:leader="none" w:pos="7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defnitons of terms herein shall apply equally to the singular and plural forms of the terms defned. Whenever the context may require, any pronoun shall include the corresponding masculine, feminine and neuter forms. The words “include,” “includes” and “including” shall be deemed to be followed by the phrase “without limitaton.” The word “will” shall be construed to have the same meaning and efect as the word “shall.” Unless the context requires otherwise, (i) any defniton of or reference to any agreement, instrument or other document (including the Loan Documents and any Organizatonal Document) shall be construed as referring to such agreement, instrument or other document as from tme to tme amended, amended and restated, modifed, extended, restated, replaced or supplemented from tme to tme (subject to any restrictons on such amendments, restatements, supplements, extensions or modifcatons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entrety and not to any partcular provision thereof, (iv) all references in a Loan Document to Artcles, Sectons, Exhibits and Schedules shall be construed to refer to Artcles and Sectons of, and Exhibits and Schedules to, the Loan Document in which such references appear, (v) any reference to any law shall include all statutory and regulatory rules, regulatons, orders and provisions consolidatng, amending, replacing or interpretng such law and any reference to any law or regulaton shall, unless otherwise specifed, refer to such law or regulaton as amended, modifed, extended, restated, replaced or supplemented from tme to tme, and (vi) the words “asset” and “property” shall be construed to have the same meaning and efect and to refer to any and all tangible and intangible assets and propertes, including cash, securites,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-11-</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46" w:name="page47"/>
    <w:bookmarkEnd w:id="46"/>
    <w:p>
      <w:pPr>
        <w:ind w:firstLine="368"/>
        <w:spacing w:after="0" w:line="274" w:lineRule="auto"/>
        <w:tabs>
          <w:tab w:leader="none" w:pos="7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 the computaton of periods of tme from a specifed date to a later specifed date, the word “from” means “from and including;” the words “to” and “untl” each mean “to but excluding;” and the word “through” means “to and including.”</w:t>
      </w:r>
    </w:p>
    <w:p>
      <w:pPr>
        <w:spacing w:after="0" w:line="200" w:lineRule="exact"/>
        <w:rPr>
          <w:rFonts w:ascii="Arial" w:cs="Arial" w:eastAsia="Arial" w:hAnsi="Arial"/>
          <w:sz w:val="20"/>
          <w:szCs w:val="20"/>
          <w:color w:val="auto"/>
        </w:rPr>
      </w:pPr>
    </w:p>
    <w:p>
      <w:pPr>
        <w:spacing w:after="0" w:line="287" w:lineRule="exact"/>
        <w:rPr>
          <w:rFonts w:ascii="Arial" w:cs="Arial" w:eastAsia="Arial" w:hAnsi="Arial"/>
          <w:sz w:val="20"/>
          <w:szCs w:val="20"/>
          <w:color w:val="auto"/>
        </w:rPr>
      </w:pPr>
    </w:p>
    <w:p>
      <w:pPr>
        <w:ind w:firstLine="375"/>
        <w:spacing w:after="0" w:line="274" w:lineRule="auto"/>
        <w:tabs>
          <w:tab w:leader="none" w:pos="734"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Secton headings herein and in the other Loan Documents are included for convenience of reference only and shall not afect the interpretaton of this Agreement or any other Loan Document.</w:t>
      </w:r>
    </w:p>
    <w:p>
      <w:pPr>
        <w:spacing w:after="0" w:line="200" w:lineRule="exact"/>
        <w:rPr>
          <w:sz w:val="20"/>
          <w:szCs w:val="20"/>
          <w:color w:val="auto"/>
        </w:rPr>
      </w:pPr>
    </w:p>
    <w:p>
      <w:pPr>
        <w:spacing w:after="0" w:line="287" w:lineRule="exact"/>
        <w:rPr>
          <w:sz w:val="20"/>
          <w:szCs w:val="20"/>
          <w:color w:val="auto"/>
        </w:rPr>
      </w:pPr>
    </w:p>
    <w:p>
      <w:pPr>
        <w:jc w:val="both"/>
        <w:ind w:firstLine="362"/>
        <w:spacing w:after="0" w:line="258" w:lineRule="auto"/>
        <w:rPr>
          <w:sz w:val="20"/>
          <w:szCs w:val="20"/>
          <w:color w:val="auto"/>
        </w:rPr>
      </w:pPr>
      <w:r>
        <w:rPr>
          <w:rFonts w:ascii="Arial" w:cs="Arial" w:eastAsia="Arial" w:hAnsi="Arial"/>
          <w:sz w:val="20"/>
          <w:szCs w:val="20"/>
          <w:color w:val="auto"/>
        </w:rPr>
        <w:t>SECTION 1.3. ACCOUNTING TERMS. All accountng terms not specifcally or completely defned herein shall be construed in conformity with, and all fnancial data (including fnancial ratos and other fnancial calculatons) required to be submited pursuant to this Agreement shall be prepared in conformity with, GAAP applied on a consistent basis, as in efect from tme to tme, applied in a manner consistent with that used in preparing the audited fnancial statements of the Consolidated Group for the fscal year ended December 31, 2022, except as otherwise specifcally prescribed herein.</w:t>
      </w:r>
    </w:p>
    <w:p>
      <w:pPr>
        <w:spacing w:after="0" w:line="200" w:lineRule="exact"/>
        <w:rPr>
          <w:sz w:val="20"/>
          <w:szCs w:val="20"/>
          <w:color w:val="auto"/>
        </w:rPr>
      </w:pPr>
    </w:p>
    <w:p>
      <w:pPr>
        <w:spacing w:after="0" w:line="319"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20"/>
          <w:szCs w:val="20"/>
          <w:color w:val="auto"/>
        </w:rPr>
        <w:t>SECTION 1.4. UCC Terms. Terms defned in the UCC in efect on the Closing Date and not otherwise defned herein shall, unless the context otherwise indicates, have the meanings provided by those defnitons. Subject to the foregoing, the term “UCC” refers, as of any date of determinaton, to the UCC then in efect.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CREDIT TERMS</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2.1. LINE OF CREDIT.</w:t>
      </w:r>
    </w:p>
    <w:p>
      <w:pPr>
        <w:spacing w:after="0" w:line="200" w:lineRule="exact"/>
        <w:rPr>
          <w:sz w:val="20"/>
          <w:szCs w:val="20"/>
          <w:color w:val="auto"/>
        </w:rPr>
      </w:pPr>
    </w:p>
    <w:p>
      <w:pPr>
        <w:spacing w:after="0" w:line="340" w:lineRule="exact"/>
        <w:rPr>
          <w:sz w:val="20"/>
          <w:szCs w:val="20"/>
          <w:color w:val="auto"/>
        </w:rPr>
      </w:pPr>
    </w:p>
    <w:p>
      <w:pPr>
        <w:jc w:val="both"/>
        <w:ind w:firstLine="367"/>
        <w:spacing w:after="0" w:line="258" w:lineRule="auto"/>
        <w:tabs>
          <w:tab w:leader="none" w:pos="717"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Line of Credit</w:t>
      </w:r>
      <w:r>
        <w:rPr>
          <w:rFonts w:ascii="Arial" w:cs="Arial" w:eastAsia="Arial" w:hAnsi="Arial"/>
          <w:sz w:val="20"/>
          <w:szCs w:val="20"/>
          <w:color w:val="auto"/>
        </w:rPr>
        <w:t>. Subject to the terms and conditons of this Agreement, Bank hereby agrees to make revolving advances to Borrower from tme to tme up to and including Maturity Date, not to exceed at any tme the aggregate principal amount of Fify Million Dollars ($50,000,000.00) (“Line of Credit”), the proceeds of which shall be used to refnance certain existng Indebtedness and for general corporate purposes. Borrower’s obligaton to repay revolving advances under the Line of Credit shall be evidenced by a promissory note dated as of the Closing Date (as modifed from tme to tme, “Note”).</w:t>
      </w:r>
    </w:p>
    <w:p>
      <w:pPr>
        <w:spacing w:after="0" w:line="200" w:lineRule="exact"/>
        <w:rPr>
          <w:rFonts w:ascii="Arial" w:cs="Arial" w:eastAsia="Arial" w:hAnsi="Arial"/>
          <w:sz w:val="20"/>
          <w:szCs w:val="20"/>
          <w:color w:val="auto"/>
        </w:rPr>
      </w:pPr>
    </w:p>
    <w:p>
      <w:pPr>
        <w:spacing w:after="0" w:line="318" w:lineRule="exact"/>
        <w:rPr>
          <w:rFonts w:ascii="Arial" w:cs="Arial" w:eastAsia="Arial" w:hAnsi="Arial"/>
          <w:sz w:val="20"/>
          <w:szCs w:val="20"/>
          <w:color w:val="auto"/>
        </w:rPr>
      </w:pPr>
    </w:p>
    <w:p>
      <w:pPr>
        <w:jc w:val="both"/>
        <w:ind w:firstLine="367"/>
        <w:spacing w:after="0" w:line="264" w:lineRule="auto"/>
        <w:tabs>
          <w:tab w:leader="none" w:pos="718"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Borrowing and Repayment</w:t>
      </w:r>
      <w:r>
        <w:rPr>
          <w:rFonts w:ascii="Arial" w:cs="Arial" w:eastAsia="Arial" w:hAnsi="Arial"/>
          <w:sz w:val="20"/>
          <w:szCs w:val="20"/>
          <w:color w:val="auto"/>
        </w:rPr>
        <w:t>. Borrower may from tme to tme during the term of the Line of Credit borrow, partally or wholly repay its outstanding borrowings, and reborrow, subject to all of the limitatons, terms and conditons contained herein or in the Note; provided however, that the total</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-12-</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47" w:name="page48"/>
    <w:bookmarkEnd w:id="47"/>
    <w:p>
      <w:pPr>
        <w:spacing w:after="0" w:line="274" w:lineRule="auto"/>
        <w:rPr>
          <w:sz w:val="20"/>
          <w:szCs w:val="20"/>
          <w:color w:val="auto"/>
        </w:rPr>
      </w:pPr>
      <w:r>
        <w:rPr>
          <w:rFonts w:ascii="Arial" w:cs="Arial" w:eastAsia="Arial" w:hAnsi="Arial"/>
          <w:sz w:val="20"/>
          <w:szCs w:val="20"/>
          <w:color w:val="auto"/>
        </w:rPr>
        <w:t>outstanding borrowings under the Line of Credit together with all amounts reserved thereunder shall not at any tme exceed the maximum principal amount available of the Line of Credit, as set forth herein.</w:t>
      </w: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2.2. INTEREST/FEES.</w:t>
      </w:r>
    </w:p>
    <w:p>
      <w:pPr>
        <w:spacing w:after="0" w:line="200" w:lineRule="exact"/>
        <w:rPr>
          <w:sz w:val="20"/>
          <w:szCs w:val="20"/>
          <w:color w:val="auto"/>
        </w:rPr>
      </w:pPr>
    </w:p>
    <w:p>
      <w:pPr>
        <w:spacing w:after="0" w:line="340" w:lineRule="exact"/>
        <w:rPr>
          <w:sz w:val="20"/>
          <w:szCs w:val="20"/>
          <w:color w:val="auto"/>
        </w:rPr>
      </w:pPr>
    </w:p>
    <w:p>
      <w:pPr>
        <w:jc w:val="both"/>
        <w:ind w:firstLine="375"/>
        <w:spacing w:after="0" w:line="294" w:lineRule="auto"/>
        <w:tabs>
          <w:tab w:leader="none" w:pos="73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The outstanding principal balance of each revolving advance subject hereto shall bear interest at the rate of interest set forth in the Note. The promissory notes or other instruments or documents executed in connecton with the revolving advances subject to this Agreement may calculate interest at a rate equal to the sum of an index rate of interest plus a margin rate of interest. In the event any index rate of interest would be less than zero percent (0.0%), then the index rate of interest shall be deemed to be zero percent (0.0%) and the applicable promissory note or other instrument or document shall bear interest at a rate equal to the margin rate of interest.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jc w:val="both"/>
        <w:ind w:firstLine="389"/>
        <w:spacing w:after="0" w:line="264" w:lineRule="auto"/>
        <w:tabs>
          <w:tab w:leader="none" w:pos="763"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Computaton and Payment</w:t>
      </w:r>
      <w:r>
        <w:rPr>
          <w:rFonts w:ascii="Arial" w:cs="Arial" w:eastAsia="Arial" w:hAnsi="Arial"/>
          <w:sz w:val="20"/>
          <w:szCs w:val="20"/>
          <w:color w:val="auto"/>
        </w:rPr>
        <w:t>. Interest shall be computed on the basis set forth in each promissory note or other instrument or document required hereby. Interest shall be payable at the tmes and place set forth in each promissory note or other instrument or document required hereby.</w:t>
      </w:r>
    </w:p>
    <w:p>
      <w:pPr>
        <w:spacing w:after="0" w:line="200" w:lineRule="exact"/>
        <w:rPr>
          <w:sz w:val="20"/>
          <w:szCs w:val="20"/>
          <w:color w:val="auto"/>
        </w:rPr>
      </w:pPr>
    </w:p>
    <w:p>
      <w:pPr>
        <w:spacing w:after="0" w:line="297" w:lineRule="exact"/>
        <w:rPr>
          <w:sz w:val="20"/>
          <w:szCs w:val="20"/>
          <w:color w:val="auto"/>
        </w:rPr>
      </w:pPr>
    </w:p>
    <w:p>
      <w:pPr>
        <w:ind w:firstLine="378"/>
        <w:spacing w:after="0" w:line="274" w:lineRule="auto"/>
        <w:tabs>
          <w:tab w:leader="none" w:pos="74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Commitment Fee</w:t>
      </w:r>
      <w:r>
        <w:rPr>
          <w:rFonts w:ascii="Arial" w:cs="Arial" w:eastAsia="Arial" w:hAnsi="Arial"/>
          <w:sz w:val="20"/>
          <w:szCs w:val="20"/>
          <w:color w:val="auto"/>
        </w:rPr>
        <w:t>. Borrower shall pay to Bank a non-refundable commitment fee for the Line of Credit equal to [***], which fee shall be due and payable in full on the Closing Date.</w:t>
      </w:r>
    </w:p>
    <w:p>
      <w:pPr>
        <w:spacing w:after="0" w:line="200" w:lineRule="exact"/>
        <w:rPr>
          <w:rFonts w:ascii="Arial" w:cs="Arial" w:eastAsia="Arial" w:hAnsi="Arial"/>
          <w:sz w:val="20"/>
          <w:szCs w:val="20"/>
          <w:color w:val="auto"/>
        </w:rPr>
      </w:pPr>
    </w:p>
    <w:p>
      <w:pPr>
        <w:spacing w:after="0" w:line="287" w:lineRule="exact"/>
        <w:rPr>
          <w:rFonts w:ascii="Arial" w:cs="Arial" w:eastAsia="Arial" w:hAnsi="Arial"/>
          <w:sz w:val="20"/>
          <w:szCs w:val="20"/>
          <w:color w:val="auto"/>
        </w:rPr>
      </w:pPr>
    </w:p>
    <w:p>
      <w:pPr>
        <w:jc w:val="both"/>
        <w:ind w:firstLine="393"/>
        <w:spacing w:after="0" w:line="275" w:lineRule="auto"/>
        <w:tabs>
          <w:tab w:leader="none" w:pos="769"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Extension Commitment Fee</w:t>
      </w:r>
      <w:r>
        <w:rPr>
          <w:rFonts w:ascii="Arial" w:cs="Arial" w:eastAsia="Arial" w:hAnsi="Arial"/>
          <w:sz w:val="19"/>
          <w:szCs w:val="19"/>
          <w:color w:val="auto"/>
        </w:rPr>
        <w:t>. In connecton with each amendment to this Agreement that extends the Maturity Date (if any), Borrower shall pay to Bank a non-refundable commitment fee in an amount equal to 0.25% of the maximum principal amount of the Line of Credit at such tme, which fee shall be due and payable in full on the efectve date of each such amendment. It is agreed that this Secton 2.2(d) shall not consttute a commitment by Bank to provide any such amendment extending the Maturity Date, and any such commitment would be evidenced by an additonal agreement between Bank and Borrower.</w:t>
      </w:r>
    </w:p>
    <w:p>
      <w:pPr>
        <w:spacing w:after="0" w:line="200" w:lineRule="exact"/>
        <w:rPr>
          <w:sz w:val="20"/>
          <w:szCs w:val="20"/>
          <w:color w:val="auto"/>
        </w:rPr>
      </w:pPr>
    </w:p>
    <w:p>
      <w:pPr>
        <w:spacing w:after="0" w:line="303" w:lineRule="exact"/>
        <w:rPr>
          <w:sz w:val="20"/>
          <w:szCs w:val="20"/>
          <w:color w:val="auto"/>
        </w:rPr>
      </w:pPr>
    </w:p>
    <w:p>
      <w:pPr>
        <w:jc w:val="both"/>
        <w:ind w:firstLine="366"/>
        <w:spacing w:after="0" w:line="272" w:lineRule="auto"/>
        <w:rPr>
          <w:sz w:val="20"/>
          <w:szCs w:val="20"/>
          <w:color w:val="auto"/>
        </w:rPr>
      </w:pPr>
      <w:r>
        <w:rPr>
          <w:rFonts w:ascii="Arial" w:cs="Arial" w:eastAsia="Arial" w:hAnsi="Arial"/>
          <w:sz w:val="19"/>
          <w:szCs w:val="19"/>
          <w:color w:val="auto"/>
        </w:rPr>
        <w:t>SECTION 2.3. COLLECTION OF PAYMENTS. Except to the extent expressly specifed otherwise in any Loan Document other than this Agreement, Borrower authorizes Bank to collect all amounts due to Bank from Borrower under this Agreement or any other Loan Document (whether for principal, interest or fees, or as reimbursement of drafs paid or other payments made by Bank under any credit subject to this Agreement) by debitng a deposit account owned by and in the name of the Borrower and as designated in writng by the Borrower pursuant to the most recent Notce of Account Designaton (the “Designated Account”) for the full amount thereof. Should there be insufcient funds in the Designated Account to pay all such sums when due, or if any such payment is collected but is subsequently reversed or rendered inefectve, or Bank is required to turn over, restore, or otherwise return any such paid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-13-</w:t>
            </w:r>
          </w:p>
        </w:tc>
      </w:tr>
      <w:tr>
        <w:trPr>
          <w:trHeight w:val="578"/>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20"/>
          <w:szCs w:val="20"/>
          <w:color w:val="auto"/>
        </w:rPr>
        <w:t>amount to Borrower, a trustee-in-bankruptcy, or anyone else, due to a bankruptcy or for any other reason, the full amount of such defciency, or the full amount reversed, rendered inefectve, turned over, restored or otherwise returned, as applicable, shall be immediately due and payable by Borrower. The determinaton of whether any such payment must be turned over, restored or otherwise returned shall be made by Bank in its sole discreton; provided however, that if Bank chooses (but in no event shall Bank be obligated) to contest any such mater at the request of Borrower, Borrower agrees to indemnify and hold Bank harmless from and against all costs and expenses, including reasonable atorneys’ fees, expended or incurred by Bank in connecton therewith, including without limitaton, in any litgaton with respect thereto.</w:t>
      </w:r>
    </w:p>
    <w:p>
      <w:pPr>
        <w:spacing w:after="0" w:line="200" w:lineRule="exact"/>
        <w:rPr>
          <w:sz w:val="20"/>
          <w:szCs w:val="20"/>
          <w:color w:val="auto"/>
        </w:rPr>
      </w:pPr>
    </w:p>
    <w:p>
      <w:pPr>
        <w:spacing w:after="0" w:line="304" w:lineRule="exact"/>
        <w:rPr>
          <w:sz w:val="20"/>
          <w:szCs w:val="20"/>
          <w:color w:val="auto"/>
        </w:rPr>
      </w:pPr>
    </w:p>
    <w:p>
      <w:pPr>
        <w:jc w:val="both"/>
        <w:ind w:firstLine="360"/>
        <w:spacing w:after="0" w:line="306" w:lineRule="auto"/>
        <w:rPr>
          <w:sz w:val="20"/>
          <w:szCs w:val="20"/>
          <w:color w:val="auto"/>
        </w:rPr>
      </w:pPr>
      <w:r>
        <w:rPr>
          <w:rFonts w:ascii="Arial" w:cs="Arial" w:eastAsia="Arial" w:hAnsi="Arial"/>
          <w:sz w:val="18"/>
          <w:szCs w:val="18"/>
          <w:color w:val="auto"/>
        </w:rPr>
        <w:t>The foregoing authorizaton shall remain in full force and efect untl writen revocaton from Borrower has been received by Bank at its address for notces set forth in Secton 8.2. hereof. In order to commence applicaton of said cancellaton with respect to a payment due date or payof of a loan, Bank must be notfed of said cancellaton at least three (3) Business Days prior to such payment due date or payof.</w:t>
      </w:r>
    </w:p>
    <w:p>
      <w:pPr>
        <w:spacing w:after="0" w:line="200" w:lineRule="exact"/>
        <w:rPr>
          <w:sz w:val="20"/>
          <w:szCs w:val="20"/>
          <w:color w:val="auto"/>
        </w:rPr>
      </w:pPr>
    </w:p>
    <w:p>
      <w:pPr>
        <w:spacing w:after="0" w:line="26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2.4. COLLATERAL.</w:t>
      </w:r>
    </w:p>
    <w:p>
      <w:pPr>
        <w:spacing w:after="0" w:line="200" w:lineRule="exact"/>
        <w:rPr>
          <w:sz w:val="20"/>
          <w:szCs w:val="20"/>
          <w:color w:val="auto"/>
        </w:rPr>
      </w:pPr>
    </w:p>
    <w:p>
      <w:pPr>
        <w:spacing w:after="0" w:line="353" w:lineRule="exact"/>
        <w:rPr>
          <w:sz w:val="20"/>
          <w:szCs w:val="20"/>
          <w:color w:val="auto"/>
        </w:rPr>
      </w:pPr>
    </w:p>
    <w:p>
      <w:pPr>
        <w:jc w:val="both"/>
        <w:ind w:firstLine="363"/>
        <w:spacing w:after="0" w:line="264" w:lineRule="auto"/>
        <w:rPr>
          <w:sz w:val="20"/>
          <w:szCs w:val="20"/>
          <w:color w:val="auto"/>
        </w:rPr>
      </w:pPr>
      <w:r>
        <w:rPr>
          <w:rFonts w:ascii="Arial" w:cs="Arial" w:eastAsia="Arial" w:hAnsi="Arial"/>
          <w:sz w:val="20"/>
          <w:szCs w:val="20"/>
          <w:color w:val="auto"/>
        </w:rPr>
        <w:t>As security for the Obligatons, Borrower shall grant to Bank a frst-priority security interest in Borrower’s securites account with Wells Fargo Securites, LLC, with account number [***] (the “[***]”), and all amounts and items deposited or otherwise held therein from tme to tme.</w:t>
      </w:r>
    </w:p>
    <w:p>
      <w:pPr>
        <w:spacing w:after="0" w:line="200" w:lineRule="exact"/>
        <w:rPr>
          <w:sz w:val="20"/>
          <w:szCs w:val="20"/>
          <w:color w:val="auto"/>
        </w:rPr>
      </w:pPr>
    </w:p>
    <w:p>
      <w:pPr>
        <w:spacing w:after="0" w:line="297" w:lineRule="exact"/>
        <w:rPr>
          <w:sz w:val="20"/>
          <w:szCs w:val="20"/>
          <w:color w:val="auto"/>
        </w:rPr>
      </w:pPr>
    </w:p>
    <w:p>
      <w:pPr>
        <w:jc w:val="both"/>
        <w:ind w:firstLine="389"/>
        <w:spacing w:after="0" w:line="258" w:lineRule="auto"/>
        <w:rPr>
          <w:sz w:val="20"/>
          <w:szCs w:val="20"/>
          <w:color w:val="auto"/>
        </w:rPr>
      </w:pPr>
      <w:r>
        <w:rPr>
          <w:rFonts w:ascii="Arial" w:cs="Arial" w:eastAsia="Arial" w:hAnsi="Arial"/>
          <w:sz w:val="20"/>
          <w:szCs w:val="20"/>
          <w:color w:val="auto"/>
        </w:rPr>
        <w:t>All of the foregoing shall be evidenced by and subject to the terms of such security agreements, fnancing statements and other documents as Bank shall reasonably require, all in form and substance satsfactory to Bank. Borrower shall pay to Bank immediately upon demand the full amount of all charges, costs and expenses (to include fees paid to third partes and all allocated costs of Bank personnel), expended or incurred by Bank in connecton with any of the foregoing security, including without limitaton, fling and recording fees and costs of appraisals, audits and ttle insurance.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w:t>
      </w:r>
    </w:p>
    <w:p>
      <w:pPr>
        <w:spacing w:after="0" w:line="200" w:lineRule="exact"/>
        <w:rPr>
          <w:sz w:val="20"/>
          <w:szCs w:val="20"/>
          <w:color w:val="auto"/>
        </w:rPr>
      </w:pPr>
    </w:p>
    <w:p>
      <w:pPr>
        <w:spacing w:after="0" w:line="34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20"/>
          <w:szCs w:val="20"/>
          <w:color w:val="auto"/>
        </w:rPr>
        <w:t>Borrower makes the following representatons and warrantes to Bank, on the Closing Date, and on the date of each subsequent request for any extension of credit hereunder (including, without limitaton, the issuance of any product under any subfeature contained herein, to the extent applicable).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-14-</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49" w:name="page50"/>
    <w:bookmarkEnd w:id="49"/>
    <w:p>
      <w:pPr>
        <w:jc w:val="both"/>
        <w:ind w:firstLine="358"/>
        <w:spacing w:after="0" w:line="290" w:lineRule="auto"/>
        <w:rPr>
          <w:sz w:val="20"/>
          <w:szCs w:val="20"/>
          <w:color w:val="auto"/>
        </w:rPr>
      </w:pPr>
      <w:r>
        <w:rPr>
          <w:rFonts w:ascii="Arial" w:cs="Arial" w:eastAsia="Arial" w:hAnsi="Arial"/>
          <w:sz w:val="18"/>
          <w:szCs w:val="18"/>
          <w:color w:val="auto"/>
        </w:rPr>
        <w:t>SECTION 3.1. LEGAL STATUS. (a) Borrower is a corporaton, duly organized and existng and in good standing under the Laws of the state of Delaware, and is qualifed or licensed to do business (and is in good standing as a foreign corporaton, if applicable) in all jurisdictons in which such qualifcaton or licensing is required or in which the failure to so qualify or to be so licensed could have a Material Adverse Efect on Borrower; and (b) no member of the Borrowing Group is a Sanctoned Target of economic or fnancial sanctons, sectoral sanctons, secondary sanctons, trade embargoes or restrictons and ant-terrorism laws imposed, administered or enforced from tme to tme by the United States of America, the United Natons Security Council, the European Union, the United Kingdom, any other Governmental Authority with jurisdicton over Borrower or any member of the Borrowing Group (collectvely, “Sanctons”).</w:t>
      </w:r>
    </w:p>
    <w:p>
      <w:pPr>
        <w:spacing w:after="0" w:line="200" w:lineRule="exact"/>
        <w:rPr>
          <w:sz w:val="20"/>
          <w:szCs w:val="20"/>
          <w:color w:val="auto"/>
        </w:rPr>
      </w:pPr>
    </w:p>
    <w:p>
      <w:pPr>
        <w:spacing w:after="0" w:line="290"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9"/>
          <w:szCs w:val="19"/>
          <w:color w:val="auto"/>
        </w:rPr>
        <w:t>SECTION 3.2. AUTHORIZATION AND VALIDITY. This Agreement and each other Loan Document have been duly authorized, and upon their executon and delivery in accordance with the provisions hereof will consttute legal, valid and binding agreements and obligatons of Borrower or the party which executes the same, enforceable in accordance with their respectve terms.</w:t>
      </w:r>
    </w:p>
    <w:p>
      <w:pPr>
        <w:spacing w:after="0" w:line="200" w:lineRule="exact"/>
        <w:rPr>
          <w:sz w:val="20"/>
          <w:szCs w:val="20"/>
          <w:color w:val="auto"/>
        </w:rPr>
      </w:pPr>
    </w:p>
    <w:p>
      <w:pPr>
        <w:spacing w:after="0" w:line="280"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8"/>
          <w:szCs w:val="18"/>
          <w:color w:val="auto"/>
        </w:rPr>
        <w:t>SECTION 3.3. NO VIOLATION. The executon, delivery and performance by Borrower of each of the Loan Documents do not (a) violate any Law, (b) contravene any provision of the Organizatonal Documents, or (c) result in any breach of or default under any contract, obligaton, indenture or other instrument to which Borrower is a party or by which Borrower may be bound, except in each case referred to in clauses (a) or (c) above, to the extent that such violaton or breach could not reasonably be expected to have a Material Adverse Efect.</w:t>
      </w:r>
    </w:p>
    <w:p>
      <w:pPr>
        <w:spacing w:after="0" w:line="200" w:lineRule="exact"/>
        <w:rPr>
          <w:sz w:val="20"/>
          <w:szCs w:val="20"/>
          <w:color w:val="auto"/>
        </w:rPr>
      </w:pPr>
    </w:p>
    <w:p>
      <w:pPr>
        <w:spacing w:after="0" w:line="270"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20"/>
          <w:szCs w:val="20"/>
          <w:color w:val="auto"/>
        </w:rPr>
        <w:t>SECTION 3.4. LITIGATION. There are no pending, or to Borrower’s knowledge threatened, actons, claims, investgatons, suits or proceedings by or before any Governmental Authority, arbitrator, court or administratve agency that could, either individually or in the aggregate, reasonably be expected to have a Material Adverse Efect.</w:t>
      </w:r>
    </w:p>
    <w:p>
      <w:pPr>
        <w:spacing w:after="0" w:line="200" w:lineRule="exact"/>
        <w:rPr>
          <w:sz w:val="20"/>
          <w:szCs w:val="20"/>
          <w:color w:val="auto"/>
        </w:rPr>
      </w:pPr>
    </w:p>
    <w:p>
      <w:pPr>
        <w:spacing w:after="0" w:line="310" w:lineRule="exact"/>
        <w:rPr>
          <w:sz w:val="20"/>
          <w:szCs w:val="20"/>
          <w:color w:val="auto"/>
        </w:rPr>
      </w:pPr>
    </w:p>
    <w:p>
      <w:pPr>
        <w:jc w:val="both"/>
        <w:ind w:firstLine="375"/>
        <w:spacing w:after="0" w:line="272" w:lineRule="auto"/>
        <w:rPr>
          <w:sz w:val="20"/>
          <w:szCs w:val="20"/>
          <w:color w:val="auto"/>
        </w:rPr>
      </w:pPr>
      <w:r>
        <w:rPr>
          <w:rFonts w:ascii="Arial" w:cs="Arial" w:eastAsia="Arial" w:hAnsi="Arial"/>
          <w:sz w:val="19"/>
          <w:szCs w:val="19"/>
          <w:color w:val="auto"/>
        </w:rPr>
        <w:t>SECTION 3.5. CORRECTNESS OF FINANCIAL STATEMENT AND OTHER INFORMATION. The annual consolidated fnancial statements of the Consolidated Group dated December 31, 2022, and all interim fnancial statements delivered to Bank since said date, true copies of which have been delivered by Borrower to Bank prior to the date hereof, (a) are complete and correct and present fairly in all material respects the fnancial conditon of the Consolidated Group, (b) disclose all material liabilites of the Consolidated Group that are required to be refected or reserved against under GAAP, whether liquidated or unliquidated, fxed or contngent, and (c) have been prepared in accordance with GAAP consistently applied. Since the dates of such fnancial statements there has been no Material Adverse Efect, nor has Borrower granted a Lien on any of the Collateral except in favor of Bank. All informaton provided from</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-15-</w:t>
            </w:r>
          </w:p>
        </w:tc>
      </w:tr>
      <w:tr>
        <w:trPr>
          <w:trHeight w:val="579"/>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0" w:name="page51"/>
    <w:bookmarkEnd w:id="50"/>
    <w:p>
      <w:pPr>
        <w:jc w:val="both"/>
        <w:spacing w:after="0" w:line="306" w:lineRule="auto"/>
        <w:rPr>
          <w:sz w:val="20"/>
          <w:szCs w:val="20"/>
          <w:color w:val="auto"/>
        </w:rPr>
      </w:pPr>
      <w:r>
        <w:rPr>
          <w:rFonts w:ascii="Arial" w:cs="Arial" w:eastAsia="Arial" w:hAnsi="Arial"/>
          <w:sz w:val="18"/>
          <w:szCs w:val="18"/>
          <w:color w:val="auto"/>
        </w:rPr>
        <w:t>tme to tme by Borrower or any other member of the Consolidated Group to Bank for the purpose of enabling Bank to fulfll its regulatory and compliance requirements, standards and processes was complete and correct in all material respects at the tme such informaton was provided and, except as specifcally identfed to Bank in a subsequent writng, remains complete and correct in all material respects today.</w:t>
      </w:r>
    </w:p>
    <w:p>
      <w:pPr>
        <w:spacing w:after="0" w:line="200" w:lineRule="exact"/>
        <w:rPr>
          <w:sz w:val="20"/>
          <w:szCs w:val="20"/>
          <w:color w:val="auto"/>
        </w:rPr>
      </w:pPr>
    </w:p>
    <w:p>
      <w:pPr>
        <w:spacing w:after="0" w:line="264"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20"/>
          <w:szCs w:val="20"/>
          <w:color w:val="auto"/>
        </w:rPr>
        <w:t>SECTION 3.6. INCOME TAX RETURNS. Borrower has no knowledge of any pending assessments or adjustments of its income tax payable with respect to any year.</w:t>
      </w:r>
    </w:p>
    <w:p>
      <w:pPr>
        <w:spacing w:after="0" w:line="200" w:lineRule="exact"/>
        <w:rPr>
          <w:sz w:val="20"/>
          <w:szCs w:val="20"/>
          <w:color w:val="auto"/>
        </w:rPr>
      </w:pPr>
    </w:p>
    <w:p>
      <w:pPr>
        <w:spacing w:after="0" w:line="287" w:lineRule="exact"/>
        <w:rPr>
          <w:sz w:val="20"/>
          <w:szCs w:val="20"/>
          <w:color w:val="auto"/>
        </w:rPr>
      </w:pPr>
    </w:p>
    <w:p>
      <w:pPr>
        <w:jc w:val="both"/>
        <w:ind w:firstLine="363"/>
        <w:spacing w:after="0" w:line="332" w:lineRule="auto"/>
        <w:rPr>
          <w:sz w:val="20"/>
          <w:szCs w:val="20"/>
          <w:color w:val="auto"/>
        </w:rPr>
      </w:pPr>
      <w:r>
        <w:rPr>
          <w:rFonts w:ascii="Arial" w:cs="Arial" w:eastAsia="Arial" w:hAnsi="Arial"/>
          <w:sz w:val="18"/>
          <w:szCs w:val="18"/>
          <w:color w:val="auto"/>
        </w:rPr>
        <w:t>SECTION 3.7. NO SUBORDINATION. There is no agreement, indenture, contract or instrument to which Borrower is a party or by which Borrower may be bound that requires the subordinaton in right of payment of any of the Obligatons to any other obligaton of Borrower.</w:t>
      </w:r>
    </w:p>
    <w:p>
      <w:pPr>
        <w:spacing w:after="0" w:line="200" w:lineRule="exact"/>
        <w:rPr>
          <w:sz w:val="20"/>
          <w:szCs w:val="20"/>
          <w:color w:val="auto"/>
        </w:rPr>
      </w:pPr>
    </w:p>
    <w:p>
      <w:pPr>
        <w:spacing w:after="0" w:line="253"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20"/>
          <w:szCs w:val="20"/>
          <w:color w:val="auto"/>
        </w:rPr>
        <w:t>SECTION 3.8. PERMITS, FRANCHISES. Borrower possesses all permits, consents, approvals, franchises and licenses required and rights to all trademarks, trade names, patents, and fcttous names, if any, reasonably necessary to enable it to conduct the business in which it is now engaged in compliance in all material respects with applicable Law.</w:t>
      </w:r>
    </w:p>
    <w:p>
      <w:pPr>
        <w:spacing w:after="0" w:line="200" w:lineRule="exact"/>
        <w:rPr>
          <w:sz w:val="20"/>
          <w:szCs w:val="20"/>
          <w:color w:val="auto"/>
        </w:rPr>
      </w:pPr>
    </w:p>
    <w:p>
      <w:pPr>
        <w:spacing w:after="0" w:line="297" w:lineRule="exact"/>
        <w:rPr>
          <w:sz w:val="20"/>
          <w:szCs w:val="20"/>
          <w:color w:val="auto"/>
        </w:rPr>
      </w:pPr>
    </w:p>
    <w:p>
      <w:pPr>
        <w:jc w:val="both"/>
        <w:ind w:firstLine="359"/>
        <w:spacing w:after="0" w:line="294" w:lineRule="auto"/>
        <w:rPr>
          <w:sz w:val="20"/>
          <w:szCs w:val="20"/>
          <w:color w:val="auto"/>
        </w:rPr>
      </w:pPr>
      <w:r>
        <w:rPr>
          <w:rFonts w:ascii="Arial" w:cs="Arial" w:eastAsia="Arial" w:hAnsi="Arial"/>
          <w:sz w:val="18"/>
          <w:szCs w:val="18"/>
          <w:color w:val="auto"/>
        </w:rPr>
        <w:t>SECTION 3.9. ERISA. Borrower is in compliance in all material respects with all applicable provisions of ERISA; Borrower has not violated any provision of any defned employee pension beneft plan (as defned in ERISA) maintained or contributed to by Borrower (each, a “Plan”); no Reportable Event as defned in ERISA has occurred and is contnuing with respect to any Plan initated by Borrower; Borrower has met its minimum funding requirements under ERISA with respect to each Plan; and each Plan will be able to fulfll its beneft obligatons as they come due in accordance with the Plan documents and under generally accepted accountng principles.</w:t>
      </w:r>
    </w:p>
    <w:p>
      <w:pPr>
        <w:spacing w:after="0" w:line="200" w:lineRule="exact"/>
        <w:rPr>
          <w:sz w:val="20"/>
          <w:szCs w:val="20"/>
          <w:color w:val="auto"/>
        </w:rPr>
      </w:pPr>
    </w:p>
    <w:p>
      <w:pPr>
        <w:spacing w:after="0" w:line="274" w:lineRule="exact"/>
        <w:rPr>
          <w:sz w:val="20"/>
          <w:szCs w:val="20"/>
          <w:color w:val="auto"/>
        </w:rPr>
      </w:pPr>
    </w:p>
    <w:p>
      <w:pPr>
        <w:jc w:val="both"/>
        <w:ind w:firstLine="394"/>
        <w:spacing w:after="0" w:line="264" w:lineRule="auto"/>
        <w:rPr>
          <w:sz w:val="20"/>
          <w:szCs w:val="20"/>
          <w:color w:val="auto"/>
        </w:rPr>
      </w:pPr>
      <w:r>
        <w:rPr>
          <w:rFonts w:ascii="Arial" w:cs="Arial" w:eastAsia="Arial" w:hAnsi="Arial"/>
          <w:sz w:val="20"/>
          <w:szCs w:val="20"/>
          <w:color w:val="auto"/>
        </w:rPr>
        <w:t>SECTION 3.10. OTHER OBLIGATIONS. Borrower is not in default on any obligaton for borrowed money, any purchase money obligaton or any other material lease, commitment, contract, instrument or obligaton that could, either individually or in the aggregate, reasonably be expected to have a Material Adverse Efect.</w:t>
      </w:r>
    </w:p>
    <w:p>
      <w:pPr>
        <w:spacing w:after="0" w:line="200" w:lineRule="exact"/>
        <w:rPr>
          <w:sz w:val="20"/>
          <w:szCs w:val="20"/>
          <w:color w:val="auto"/>
        </w:rPr>
      </w:pPr>
    </w:p>
    <w:p>
      <w:pPr>
        <w:spacing w:after="0" w:line="310" w:lineRule="exact"/>
        <w:rPr>
          <w:sz w:val="20"/>
          <w:szCs w:val="20"/>
          <w:color w:val="auto"/>
        </w:rPr>
      </w:pPr>
    </w:p>
    <w:p>
      <w:pPr>
        <w:jc w:val="both"/>
        <w:ind w:firstLine="363"/>
        <w:spacing w:after="0" w:line="258" w:lineRule="auto"/>
        <w:rPr>
          <w:sz w:val="20"/>
          <w:szCs w:val="20"/>
          <w:color w:val="auto"/>
        </w:rPr>
      </w:pPr>
      <w:r>
        <w:rPr>
          <w:rFonts w:ascii="Arial" w:cs="Arial" w:eastAsia="Arial" w:hAnsi="Arial"/>
          <w:sz w:val="20"/>
          <w:szCs w:val="20"/>
          <w:color w:val="auto"/>
        </w:rPr>
        <w:t>SECTION 3.11. ENVIRONMENTAL MATTERS. Except as disclosed by Borrower to Bank in writng prior to the date hereof, Borrower is in compliance in all material respects with all applicable federal or state environmental, hazardous waste, health and safety statutes, and any rules or regulatons adopted pursuant thereto, which govern or afect any of Borrower’s operatons and/or propertes, including without limitaton, the Comprehensive Environmental Response, Compensaton and Liability Act of 1980, the Superfund Amendments and Reauthorizaton Act of 1986, the Federal Resource Conservaton and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-16-</w:t>
            </w:r>
          </w:p>
        </w:tc>
      </w:tr>
      <w:tr>
        <w:trPr>
          <w:trHeight w:val="578"/>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51" w:name="page52"/>
    <w:bookmarkEnd w:id="51"/>
    <w:p>
      <w:pPr>
        <w:jc w:val="both"/>
        <w:spacing w:after="0" w:line="258" w:lineRule="auto"/>
        <w:rPr>
          <w:sz w:val="20"/>
          <w:szCs w:val="20"/>
          <w:color w:val="auto"/>
        </w:rPr>
      </w:pPr>
      <w:r>
        <w:rPr>
          <w:rFonts w:ascii="Arial" w:cs="Arial" w:eastAsia="Arial" w:hAnsi="Arial"/>
          <w:sz w:val="20"/>
          <w:szCs w:val="20"/>
          <w:color w:val="auto"/>
        </w:rPr>
        <w:t>Recovery Act of 1976, and the Federal Toxic Substances Control Act, as any of the same may be amended, modifed or supplemented from tme to tme. None of the operatons of Borrower is the subject of any federal or state investgaton evaluatng whether any remedial acton involving a material expenditure is needed to respond to a release of any toxic or hazardous waste or substance into the environment. Borrower has no material contngent liability in connecton with any release of any toxic or hazardous waste or substance into the environment.</w:t>
      </w:r>
    </w:p>
    <w:p>
      <w:pPr>
        <w:spacing w:after="0" w:line="200" w:lineRule="exact"/>
        <w:rPr>
          <w:sz w:val="20"/>
          <w:szCs w:val="20"/>
          <w:color w:val="auto"/>
        </w:rPr>
      </w:pPr>
    </w:p>
    <w:p>
      <w:pPr>
        <w:spacing w:after="0" w:line="30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SECTION 3.12 SANCTIONS, ANTI-MONEY LAUNDERING AND ANTI-CORRUPTION LAWS. (a) each member of the Borrowing Group has insttuted, maintains and complies with policies, procedures and controls reasonably designed to assure compliance with Ant-Money Laundering Laws, Ant-Corrupton Laws and Sanctons; and (b) to the best of Borrower’s knowledge, afer due care and inquiry, no member of the Borrowing Group is under investgaton for an alleged violaton of any Sanctons, Ant-Money Laundering Laws or Ant-Corrupton Laws by a Governmental Authority that enforces such laws.</w:t>
      </w:r>
    </w:p>
    <w:p>
      <w:pPr>
        <w:spacing w:after="0" w:line="200" w:lineRule="exact"/>
        <w:rPr>
          <w:sz w:val="20"/>
          <w:szCs w:val="20"/>
          <w:color w:val="auto"/>
        </w:rPr>
      </w:pPr>
    </w:p>
    <w:p>
      <w:pPr>
        <w:spacing w:after="0" w:line="305"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20"/>
          <w:szCs w:val="20"/>
          <w:color w:val="auto"/>
        </w:rPr>
        <w:t xml:space="preserve">SECTION 3.13. INVESTMENT COMPANY. Neither the Borrower nor any member of the Consolidated Group is an “investment company” or a company “controlled” by an “investment company” (as each such term is defned or used in the Investment Company Act 1940 (15 U.S.C. § 80(a)(1),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IV</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CONDITIONS</w:t>
      </w:r>
    </w:p>
    <w:p>
      <w:pPr>
        <w:spacing w:after="0" w:line="200" w:lineRule="exact"/>
        <w:rPr>
          <w:sz w:val="20"/>
          <w:szCs w:val="20"/>
          <w:color w:val="auto"/>
        </w:rPr>
      </w:pPr>
    </w:p>
    <w:p>
      <w:pPr>
        <w:spacing w:after="0" w:line="353"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8"/>
          <w:szCs w:val="18"/>
          <w:color w:val="auto"/>
        </w:rPr>
        <w:t>SECTION 4.1. CONDITIONS TO THE EFFECTIVENESS OF THIS AGREEMENT. The efectve date of this Agreement (such date, the “Closing Date”) shall be (a) the date that each of the following conditons set forth in this Secton 4.1 have been satsfed or waived, as determined by Bank, or (b) such alternatve date to which Bank and Borrower may mutually agree, in each case as evidenced by Bank’s system of record. Notwithstanding the occurrence of the Closing Date, Bank shall not be obligated to extend credit under this Agreement or any other Loan Document untl all conditons to each extension of credit set forth in Secton 4.2 have been fulflled to Bank’s satsfacton.</w:t>
      </w:r>
    </w:p>
    <w:p>
      <w:pPr>
        <w:spacing w:after="0" w:line="200" w:lineRule="exact"/>
        <w:rPr>
          <w:sz w:val="20"/>
          <w:szCs w:val="20"/>
          <w:color w:val="auto"/>
        </w:rPr>
      </w:pPr>
    </w:p>
    <w:p>
      <w:pPr>
        <w:spacing w:after="0" w:line="274" w:lineRule="exact"/>
        <w:rPr>
          <w:sz w:val="20"/>
          <w:szCs w:val="20"/>
          <w:color w:val="auto"/>
        </w:rPr>
      </w:pPr>
    </w:p>
    <w:p>
      <w:pPr>
        <w:ind w:firstLine="393"/>
        <w:spacing w:after="0" w:line="274" w:lineRule="auto"/>
        <w:tabs>
          <w:tab w:leader="none" w:pos="769"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Documentaton</w:t>
      </w:r>
      <w:r>
        <w:rPr>
          <w:rFonts w:ascii="Arial" w:cs="Arial" w:eastAsia="Arial" w:hAnsi="Arial"/>
          <w:sz w:val="20"/>
          <w:szCs w:val="20"/>
          <w:color w:val="auto"/>
        </w:rPr>
        <w:t>. Bank shall have received, in form and substance reasonably satsfactory to Bank, each of the following, duly executed by all applicable partes:</w:t>
      </w:r>
    </w:p>
    <w:p>
      <w:pPr>
        <w:spacing w:after="0" w:line="163" w:lineRule="exact"/>
        <w:rPr>
          <w:rFonts w:ascii="Arial" w:cs="Arial" w:eastAsia="Arial" w:hAnsi="Arial"/>
          <w:sz w:val="20"/>
          <w:szCs w:val="20"/>
          <w:color w:val="auto"/>
        </w:rPr>
      </w:pPr>
    </w:p>
    <w:p>
      <w:pPr>
        <w:ind w:left="1800" w:hanging="578"/>
        <w:spacing w:after="0"/>
        <w:tabs>
          <w:tab w:leader="none" w:pos="1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This Agreement, (B) the Note, (C) the Security Agreement, and (D) the Securites Account Control Agreement.</w:t>
      </w:r>
    </w:p>
    <w:p>
      <w:pPr>
        <w:spacing w:after="0" w:line="225" w:lineRule="exact"/>
        <w:rPr>
          <w:rFonts w:ascii="Arial" w:cs="Arial" w:eastAsia="Arial" w:hAnsi="Arial"/>
          <w:sz w:val="18"/>
          <w:szCs w:val="18"/>
          <w:color w:val="auto"/>
        </w:rPr>
      </w:pPr>
    </w:p>
    <w:p>
      <w:pPr>
        <w:jc w:val="both"/>
        <w:ind w:left="1800" w:hanging="578"/>
        <w:spacing w:after="0" w:line="264" w:lineRule="auto"/>
        <w:tabs>
          <w:tab w:leader="none" w:pos="18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 certfcate of the Secretary of Borrower certfying as to the Organizatonal Documents (which, to the extent fled with a Governmental Authority, shall be certfed as of a recent date by such Governmental Authority), the resolutons of the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-17-</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52" w:name="page53"/>
    <w:bookmarkEnd w:id="52"/>
    <w:p>
      <w:pPr>
        <w:ind w:left="1800"/>
        <w:spacing w:after="0" w:line="274" w:lineRule="auto"/>
        <w:rPr>
          <w:sz w:val="20"/>
          <w:szCs w:val="20"/>
          <w:color w:val="auto"/>
        </w:rPr>
      </w:pPr>
      <w:r>
        <w:rPr>
          <w:rFonts w:ascii="Arial" w:cs="Arial" w:eastAsia="Arial" w:hAnsi="Arial"/>
          <w:sz w:val="20"/>
          <w:szCs w:val="20"/>
          <w:color w:val="auto"/>
        </w:rPr>
        <w:t>governing body of the Borrower, the good standing of the Borrower and of the incumbency (including specimen signatures) of the responsible ofcers of the Borrower.</w:t>
      </w:r>
    </w:p>
    <w:p>
      <w:pPr>
        <w:spacing w:after="0" w:line="150" w:lineRule="exact"/>
        <w:rPr>
          <w:sz w:val="20"/>
          <w:szCs w:val="20"/>
          <w:color w:val="auto"/>
        </w:rPr>
      </w:pPr>
    </w:p>
    <w:p>
      <w:pPr>
        <w:ind w:left="1800" w:hanging="578"/>
        <w:spacing w:after="0"/>
        <w:tabs>
          <w:tab w:leader="none" w:pos="18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Certfcates of Liability and Property Insurance.</w:t>
      </w:r>
    </w:p>
    <w:p>
      <w:pPr>
        <w:spacing w:after="0" w:line="215" w:lineRule="exact"/>
        <w:rPr>
          <w:rFonts w:ascii="Arial" w:cs="Arial" w:eastAsia="Arial" w:hAnsi="Arial"/>
          <w:sz w:val="20"/>
          <w:szCs w:val="20"/>
          <w:color w:val="auto"/>
        </w:rPr>
      </w:pPr>
    </w:p>
    <w:p>
      <w:pPr>
        <w:ind w:left="1800" w:hanging="578"/>
        <w:spacing w:after="0" w:line="274" w:lineRule="auto"/>
        <w:tabs>
          <w:tab w:leader="none" w:pos="18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An opinion or opinions of counsel for the Borrower, addressed to Bank, and covering such maters as are reasonably requested by Bank.</w:t>
      </w:r>
    </w:p>
    <w:p>
      <w:pPr>
        <w:spacing w:after="0" w:line="163" w:lineRule="exact"/>
        <w:rPr>
          <w:rFonts w:ascii="Arial" w:cs="Arial" w:eastAsia="Arial" w:hAnsi="Arial"/>
          <w:sz w:val="20"/>
          <w:szCs w:val="20"/>
          <w:color w:val="auto"/>
        </w:rPr>
      </w:pPr>
    </w:p>
    <w:p>
      <w:pPr>
        <w:ind w:left="1800" w:hanging="578"/>
        <w:spacing w:after="0"/>
        <w:tabs>
          <w:tab w:leader="none" w:pos="18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 certfcate as to the solvency of the Borrower and the Consolidated Group.</w:t>
      </w:r>
    </w:p>
    <w:p>
      <w:pPr>
        <w:spacing w:after="0" w:line="202" w:lineRule="exact"/>
        <w:rPr>
          <w:rFonts w:ascii="Arial" w:cs="Arial" w:eastAsia="Arial" w:hAnsi="Arial"/>
          <w:sz w:val="20"/>
          <w:szCs w:val="20"/>
          <w:color w:val="auto"/>
        </w:rPr>
      </w:pPr>
    </w:p>
    <w:p>
      <w:pPr>
        <w:jc w:val="both"/>
        <w:ind w:left="1800" w:hanging="578"/>
        <w:spacing w:after="0" w:line="258" w:lineRule="auto"/>
        <w:tabs>
          <w:tab w:leader="none" w:pos="18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Results of a Lien search (including a search as to judgments, pending litgaton, bankruptcy and tax maters) made against the Borrower under the Uniform Commercial Code (or applicable judicial docket) as in efect in each jurisdicton in which flings or recordatons under the applicable Uniform Commercial Code should be made to evidence or perfect security interests in all assets of the Borrower, indicatng among other things that the assets of Borrower are free and clear of any Lien (except for Liens permited hereunder).</w:t>
      </w:r>
    </w:p>
    <w:p>
      <w:pPr>
        <w:spacing w:after="0" w:line="181" w:lineRule="exact"/>
        <w:rPr>
          <w:rFonts w:ascii="Arial" w:cs="Arial" w:eastAsia="Arial" w:hAnsi="Arial"/>
          <w:sz w:val="20"/>
          <w:szCs w:val="20"/>
          <w:color w:val="auto"/>
        </w:rPr>
      </w:pPr>
    </w:p>
    <w:p>
      <w:pPr>
        <w:ind w:left="1800" w:hanging="578"/>
        <w:spacing w:after="0" w:line="274" w:lineRule="auto"/>
        <w:tabs>
          <w:tab w:leader="none" w:pos="18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Evidence that $55,000,000 of US Government Money Market Funds and/or FDIC Insttutonal Insured Liquid Deposits have been deposited and remain in the Pledged Account.</w:t>
      </w:r>
    </w:p>
    <w:p>
      <w:pPr>
        <w:spacing w:after="0" w:line="163" w:lineRule="exact"/>
        <w:rPr>
          <w:rFonts w:ascii="Arial" w:cs="Arial" w:eastAsia="Arial" w:hAnsi="Arial"/>
          <w:sz w:val="20"/>
          <w:szCs w:val="20"/>
          <w:color w:val="auto"/>
        </w:rPr>
      </w:pPr>
    </w:p>
    <w:p>
      <w:pPr>
        <w:jc w:val="both"/>
        <w:ind w:left="1800" w:hanging="578"/>
        <w:spacing w:after="0" w:line="278" w:lineRule="auto"/>
        <w:tabs>
          <w:tab w:leader="none" w:pos="18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Evidence of the repayment in full of, and release of all security interests relatng to (A) that certain Manufacturing Support Agreement, dated as of November 7, 2020 (as amended), by and among Borrower and the Economic Development Board of the Republic of Singapore and (B) that certain Loan and Security Agreement, dated as of October 12, 2018 (as amended), by and among Borrower and Western Alliance Bank.</w:t>
      </w:r>
    </w:p>
    <w:p>
      <w:pPr>
        <w:spacing w:after="0" w:line="148" w:lineRule="exact"/>
        <w:rPr>
          <w:rFonts w:ascii="Arial" w:cs="Arial" w:eastAsia="Arial" w:hAnsi="Arial"/>
          <w:sz w:val="19"/>
          <w:szCs w:val="19"/>
          <w:color w:val="auto"/>
        </w:rPr>
      </w:pPr>
    </w:p>
    <w:p>
      <w:pPr>
        <w:ind w:left="1800" w:hanging="578"/>
        <w:spacing w:after="0"/>
        <w:tabs>
          <w:tab w:leader="none" w:pos="18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 Notce of Account Designaton.</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jc w:val="both"/>
        <w:ind w:firstLine="381"/>
        <w:spacing w:after="0" w:line="264" w:lineRule="auto"/>
        <w:tabs>
          <w:tab w:leader="none" w:pos="746"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Satsfacton of Regulatory and Compliance Requirements</w:t>
      </w:r>
      <w:r>
        <w:rPr>
          <w:rFonts w:ascii="Arial" w:cs="Arial" w:eastAsia="Arial" w:hAnsi="Arial"/>
          <w:sz w:val="20"/>
          <w:szCs w:val="20"/>
          <w:color w:val="auto"/>
        </w:rPr>
        <w:t>. In additon to any requirements set forth above, and notwithstanding Borrower’s executon or delivery of this Agreement or any other Loan Document, all regulatory and compliance requirements, standards and processes shall be completed to the reasonable satsfacton of Bank.</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jc w:val="both"/>
        <w:ind w:firstLine="380"/>
        <w:spacing w:after="0" w:line="264" w:lineRule="auto"/>
        <w:tabs>
          <w:tab w:leader="none" w:pos="744"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Payment of Fees</w:t>
      </w:r>
      <w:r>
        <w:rPr>
          <w:rFonts w:ascii="Arial" w:cs="Arial" w:eastAsia="Arial" w:hAnsi="Arial"/>
          <w:sz w:val="20"/>
          <w:szCs w:val="20"/>
          <w:color w:val="auto"/>
        </w:rPr>
        <w:t>. Bank shall have received payment in full of any fee required by any of the Loan Documents to be paid on the Closing Date, and counsel to Bank shall have received all reasonable and documented fees and out-of-pocket expenses to the extent accrued and unpaid prior to the Closing Date.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-18-</w:t>
            </w:r>
          </w:p>
        </w:tc>
      </w:tr>
      <w:tr>
        <w:trPr>
          <w:trHeight w:val="579"/>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53" w:name="page54"/>
    <w:bookmarkEnd w:id="53"/>
    <w:p>
      <w:pPr>
        <w:jc w:val="both"/>
        <w:ind w:firstLine="382"/>
        <w:spacing w:after="0" w:line="264" w:lineRule="auto"/>
        <w:rPr>
          <w:sz w:val="20"/>
          <w:szCs w:val="20"/>
          <w:color w:val="auto"/>
        </w:rPr>
      </w:pPr>
      <w:r>
        <w:rPr>
          <w:rFonts w:ascii="Arial" w:cs="Arial" w:eastAsia="Arial" w:hAnsi="Arial"/>
          <w:sz w:val="20"/>
          <w:szCs w:val="20"/>
          <w:color w:val="auto"/>
        </w:rPr>
        <w:t>SECTION 4.2. CONDITIONS OF EACH EXTENSION OF CREDIT. The obligaton of Bank to make each extension of credit requested by Borrower hereunder shall be subject to the fulfllment to Bank’s satsfacton of each of the following conditons on the Closing Date and each borrowing date:</w:t>
      </w:r>
    </w:p>
    <w:p>
      <w:pPr>
        <w:spacing w:after="0" w:line="200" w:lineRule="exact"/>
        <w:rPr>
          <w:sz w:val="20"/>
          <w:szCs w:val="20"/>
          <w:color w:val="auto"/>
        </w:rPr>
      </w:pPr>
    </w:p>
    <w:p>
      <w:pPr>
        <w:spacing w:after="0" w:line="297" w:lineRule="exact"/>
        <w:rPr>
          <w:sz w:val="20"/>
          <w:szCs w:val="20"/>
          <w:color w:val="auto"/>
        </w:rPr>
      </w:pPr>
    </w:p>
    <w:p>
      <w:pPr>
        <w:ind w:firstLine="371"/>
        <w:spacing w:after="0" w:line="274" w:lineRule="auto"/>
        <w:tabs>
          <w:tab w:leader="none" w:pos="726"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Representatons and Warrantes</w:t>
      </w:r>
      <w:r>
        <w:rPr>
          <w:rFonts w:ascii="Arial" w:cs="Arial" w:eastAsia="Arial" w:hAnsi="Arial"/>
          <w:sz w:val="20"/>
          <w:szCs w:val="20"/>
          <w:color w:val="auto"/>
        </w:rPr>
        <w:t>. The representatons and warrantes contained in this Agreement and the other Loan Documents shall be true and correct in all material respects,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except for any representaton and warranty that is qualifed by materiality or reference to Material Adverse Efect, which such representaton and warranty shall be true and correct in all respects, on and as of such date with the same efect as if made on and as of such date (except for any such representaton and warranty that by its terms is made only as of an earlier date, which representaton and warranty shall remain true and correct in all material respects as of such earlier date, except for any representaton and warranty that is qualifed by materiality or reference to Material Adverse Efect, which such representaton and warranty shall be true and correct in all respects as of such earlier date).</w:t>
      </w:r>
    </w:p>
    <w:p>
      <w:pPr>
        <w:spacing w:after="0" w:line="200" w:lineRule="exact"/>
        <w:rPr>
          <w:sz w:val="20"/>
          <w:szCs w:val="20"/>
          <w:color w:val="auto"/>
        </w:rPr>
      </w:pPr>
    </w:p>
    <w:p>
      <w:pPr>
        <w:spacing w:after="0" w:line="307" w:lineRule="exact"/>
        <w:rPr>
          <w:sz w:val="20"/>
          <w:szCs w:val="20"/>
          <w:color w:val="auto"/>
        </w:rPr>
      </w:pPr>
    </w:p>
    <w:p>
      <w:pPr>
        <w:ind w:firstLine="382"/>
        <w:spacing w:after="0" w:line="274" w:lineRule="auto"/>
        <w:tabs>
          <w:tab w:leader="none" w:pos="765"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Event of Default, and no conditon, event or act which with the giving of notce or the passage of tme or both would consttute such an Event of Default, shall have occurred and be contnuing or shall exist.</w:t>
      </w:r>
    </w:p>
    <w:p>
      <w:pPr>
        <w:spacing w:after="0" w:line="200" w:lineRule="exact"/>
        <w:rPr>
          <w:rFonts w:ascii="Arial" w:cs="Arial" w:eastAsia="Arial" w:hAnsi="Arial"/>
          <w:sz w:val="20"/>
          <w:szCs w:val="20"/>
          <w:color w:val="auto"/>
        </w:rPr>
      </w:pPr>
    </w:p>
    <w:p>
      <w:pPr>
        <w:spacing w:after="0" w:line="287" w:lineRule="exact"/>
        <w:rPr>
          <w:rFonts w:ascii="Arial" w:cs="Arial" w:eastAsia="Arial" w:hAnsi="Arial"/>
          <w:sz w:val="20"/>
          <w:szCs w:val="20"/>
          <w:color w:val="auto"/>
        </w:rPr>
      </w:pPr>
    </w:p>
    <w:p>
      <w:pPr>
        <w:ind w:left="720" w:hanging="354"/>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Documentaton</w:t>
      </w:r>
      <w:r>
        <w:rPr>
          <w:rFonts w:ascii="Arial" w:cs="Arial" w:eastAsia="Arial" w:hAnsi="Arial"/>
          <w:sz w:val="20"/>
          <w:szCs w:val="20"/>
          <w:color w:val="auto"/>
        </w:rPr>
        <w:t>. Bank shall have received a Notce of Borrowing.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AFFIRMATIVE COVENANTS</w:t>
      </w:r>
    </w:p>
    <w:p>
      <w:pPr>
        <w:spacing w:after="0" w:line="200" w:lineRule="exact"/>
        <w:rPr>
          <w:sz w:val="20"/>
          <w:szCs w:val="20"/>
          <w:color w:val="auto"/>
        </w:rPr>
      </w:pPr>
    </w:p>
    <w:p>
      <w:pPr>
        <w:spacing w:after="0" w:line="353" w:lineRule="exact"/>
        <w:rPr>
          <w:sz w:val="20"/>
          <w:szCs w:val="20"/>
          <w:color w:val="auto"/>
        </w:rPr>
      </w:pPr>
    </w:p>
    <w:p>
      <w:pPr>
        <w:jc w:val="both"/>
        <w:ind w:firstLine="400"/>
        <w:spacing w:after="0" w:line="260" w:lineRule="auto"/>
        <w:rPr>
          <w:sz w:val="20"/>
          <w:szCs w:val="20"/>
          <w:color w:val="auto"/>
        </w:rPr>
      </w:pPr>
      <w:r>
        <w:rPr>
          <w:rFonts w:ascii="Arial" w:cs="Arial" w:eastAsia="Arial" w:hAnsi="Arial"/>
          <w:sz w:val="20"/>
          <w:szCs w:val="20"/>
          <w:color w:val="auto"/>
        </w:rPr>
        <w:t>Borrower covenants that so long as Bank remains commited to make revolving advances to Borrower pursuant hereto, or any Obligatons (whether direct or contngent, liquidated or unliquidated) under any of the Loan Documents remain outstanding, and untl payment in full of all Obligatons (other than contngent indemnifcaton obligatons that have not yet arisen as of such payof), Borrower shall, unless Bank otherwise consents in writng:</w:t>
      </w:r>
    </w:p>
    <w:p>
      <w:pPr>
        <w:spacing w:after="0" w:line="200" w:lineRule="exact"/>
        <w:rPr>
          <w:sz w:val="20"/>
          <w:szCs w:val="20"/>
          <w:color w:val="auto"/>
        </w:rPr>
      </w:pPr>
    </w:p>
    <w:p>
      <w:pPr>
        <w:spacing w:after="0" w:line="3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5.1. RESERVED.</w:t>
      </w:r>
    </w:p>
    <w:p>
      <w:pPr>
        <w:spacing w:after="0" w:line="200" w:lineRule="exact"/>
        <w:rPr>
          <w:sz w:val="20"/>
          <w:szCs w:val="20"/>
          <w:color w:val="auto"/>
        </w:rPr>
      </w:pPr>
    </w:p>
    <w:p>
      <w:pPr>
        <w:spacing w:after="0" w:line="340" w:lineRule="exact"/>
        <w:rPr>
          <w:sz w:val="20"/>
          <w:szCs w:val="20"/>
          <w:color w:val="auto"/>
        </w:rPr>
      </w:pPr>
    </w:p>
    <w:p>
      <w:pPr>
        <w:jc w:val="both"/>
        <w:ind w:firstLine="365"/>
        <w:spacing w:after="0" w:line="264" w:lineRule="auto"/>
        <w:rPr>
          <w:sz w:val="20"/>
          <w:szCs w:val="20"/>
          <w:color w:val="auto"/>
        </w:rPr>
      </w:pPr>
      <w:r>
        <w:rPr>
          <w:rFonts w:ascii="Arial" w:cs="Arial" w:eastAsia="Arial" w:hAnsi="Arial"/>
          <w:sz w:val="20"/>
          <w:szCs w:val="20"/>
          <w:color w:val="auto"/>
        </w:rPr>
        <w:t>SECTION 5.2. ACCOUNTING RECORDS. Maintain, and cause each member of the Consolidated Group to maintain, adequate books and records in accordance with GAAP consistently applied, and permit any representatve of Bank, at any reasonable tme, to inspect, audit and examine such books and records,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-19-</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54" w:name="page55"/>
    <w:bookmarkEnd w:id="54"/>
    <w:p>
      <w:pPr>
        <w:jc w:val="both"/>
        <w:spacing w:after="0" w:line="271" w:lineRule="auto"/>
        <w:rPr>
          <w:sz w:val="20"/>
          <w:szCs w:val="20"/>
          <w:color w:val="auto"/>
        </w:rPr>
      </w:pPr>
      <w:r>
        <w:rPr>
          <w:rFonts w:ascii="Arial" w:cs="Arial" w:eastAsia="Arial" w:hAnsi="Arial"/>
          <w:sz w:val="19"/>
          <w:szCs w:val="19"/>
          <w:color w:val="auto"/>
        </w:rPr>
        <w:t>to make copies of the same, and to inspect the propertes of Borrower, provided that excluding any such visits and inspectons during the contnuaton of an Event of Default, Bank shall not exercise such rights more than two (2) tmes per year at Borrower’s expense. If at any tme any change in GAAP would afect the computaton of any covenant (including the computaton of any fnancial covenant) and/or pricing grid set forth in this Agreement or any other Loan Document, Borrower and Bank shall negotate in good faith to amend such covenant and/or pricing grid to preserve the original intent in light of such change; provided, that, untl so amended, (i) such covenant and/or pricing grid shall contnue to be computed in accordance with the applicaton of GAAP prior to such change and (ii) Borrower shall provide to Bank a writen reconciliaton in form and substance reasonably satsfactory to Bank, between calculatons of such covenant and/or pricing grid made before and afer giving efect to such change in GAAP.</w:t>
      </w:r>
    </w:p>
    <w:p>
      <w:pPr>
        <w:spacing w:after="0" w:line="200" w:lineRule="exact"/>
        <w:rPr>
          <w:sz w:val="20"/>
          <w:szCs w:val="20"/>
          <w:color w:val="auto"/>
        </w:rPr>
      </w:pPr>
    </w:p>
    <w:p>
      <w:pPr>
        <w:spacing w:after="0" w:line="297" w:lineRule="exact"/>
        <w:rPr>
          <w:sz w:val="20"/>
          <w:szCs w:val="20"/>
          <w:color w:val="auto"/>
        </w:rPr>
      </w:pPr>
    </w:p>
    <w:p>
      <w:pPr>
        <w:jc w:val="both"/>
        <w:ind w:firstLine="368"/>
        <w:spacing w:after="0" w:line="274" w:lineRule="auto"/>
        <w:rPr>
          <w:sz w:val="20"/>
          <w:szCs w:val="20"/>
          <w:color w:val="auto"/>
        </w:rPr>
      </w:pPr>
      <w:r>
        <w:rPr>
          <w:rFonts w:ascii="Arial" w:cs="Arial" w:eastAsia="Arial" w:hAnsi="Arial"/>
          <w:sz w:val="20"/>
          <w:szCs w:val="20"/>
          <w:color w:val="auto"/>
        </w:rPr>
        <w:t>SECTION 5.3. FINANCIAL STATEMENTS AND OTHER INFORMATION. Provide to Bank all of the following, in form and detail satsfactory to Bank:</w:t>
      </w:r>
    </w:p>
    <w:p>
      <w:pPr>
        <w:spacing w:after="0" w:line="200" w:lineRule="exact"/>
        <w:rPr>
          <w:sz w:val="20"/>
          <w:szCs w:val="20"/>
          <w:color w:val="auto"/>
        </w:rPr>
      </w:pPr>
    </w:p>
    <w:p>
      <w:pPr>
        <w:spacing w:after="0" w:line="287" w:lineRule="exact"/>
        <w:rPr>
          <w:sz w:val="20"/>
          <w:szCs w:val="20"/>
          <w:color w:val="auto"/>
        </w:rPr>
      </w:pPr>
    </w:p>
    <w:p>
      <w:pPr>
        <w:jc w:val="both"/>
        <w:ind w:firstLine="370"/>
        <w:spacing w:after="0" w:line="284" w:lineRule="auto"/>
        <w:tabs>
          <w:tab w:leader="none" w:pos="723"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not later than forty-fve (45) days afer and as of the end of each fscal quarter, (i) a fnancial statement of the Consolidated Group, on a consolidated basis, prepared by Borrower, to include balance sheet, income statement, statement of cash fows, and source and applicaton of funds statement, or (ii) Form 10-Q fled by Holdings with the SEC with respect to such fscal quarter;</w:t>
      </w:r>
    </w:p>
    <w:p>
      <w:pPr>
        <w:spacing w:after="0" w:line="200" w:lineRule="exact"/>
        <w:rPr>
          <w:rFonts w:ascii="Arial" w:cs="Arial" w:eastAsia="Arial" w:hAnsi="Arial"/>
          <w:sz w:val="19"/>
          <w:szCs w:val="19"/>
          <w:color w:val="auto"/>
        </w:rPr>
      </w:pPr>
    </w:p>
    <w:p>
      <w:pPr>
        <w:spacing w:after="0" w:line="293" w:lineRule="exact"/>
        <w:rPr>
          <w:rFonts w:ascii="Arial" w:cs="Arial" w:eastAsia="Arial" w:hAnsi="Arial"/>
          <w:sz w:val="19"/>
          <w:szCs w:val="19"/>
          <w:color w:val="auto"/>
        </w:rPr>
      </w:pPr>
    </w:p>
    <w:p>
      <w:pPr>
        <w:jc w:val="both"/>
        <w:ind w:firstLine="382"/>
        <w:spacing w:after="0" w:line="258" w:lineRule="auto"/>
        <w:tabs>
          <w:tab w:leader="none" w:pos="748" w:val="left"/>
        </w:tabs>
        <w:numPr>
          <w:ilvl w:val="2"/>
          <w:numId w:val="24"/>
        </w:numPr>
        <w:rPr>
          <w:rFonts w:ascii="Arial" w:cs="Arial" w:eastAsia="Arial" w:hAnsi="Arial"/>
          <w:sz w:val="20"/>
          <w:szCs w:val="20"/>
          <w:color w:val="auto"/>
        </w:rPr>
      </w:pPr>
      <w:r>
        <w:rPr>
          <w:rFonts w:ascii="Arial" w:cs="Arial" w:eastAsia="Arial" w:hAnsi="Arial"/>
          <w:sz w:val="20"/>
          <w:szCs w:val="20"/>
          <w:color w:val="auto"/>
        </w:rPr>
        <w:t>not later than ninety (90) days afer and as of the end of each fscal year, (i) an audited fnancial statement of the Consolidated Group, on a consolidated basis, prepared by a certfed public accountant acceptable to Bank, to include balance sheet, income statement, statement of cash fows, and source and applicaton of funds statement, accompanied by the unqualifed opinion of such accountant, or (ii) Form 10-K fled by Holdings with the SEC with respect to such fscal year, accompanied by the unqualifed auditor’s opinion of a certfed public accountant acceptable to Bank;</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ind w:left="720" w:hanging="354"/>
        <w:spacing w:after="0"/>
        <w:tabs>
          <w:tab w:leader="none" w:pos="720" w:val="left"/>
        </w:tabs>
        <w:numPr>
          <w:ilvl w:val="1"/>
          <w:numId w:val="24"/>
        </w:numPr>
        <w:rPr>
          <w:rFonts w:ascii="Arial" w:cs="Arial" w:eastAsia="Arial" w:hAnsi="Arial"/>
          <w:sz w:val="20"/>
          <w:szCs w:val="20"/>
          <w:color w:val="auto"/>
        </w:rPr>
      </w:pPr>
      <w:r>
        <w:rPr>
          <w:rFonts w:ascii="Arial" w:cs="Arial" w:eastAsia="Arial" w:hAnsi="Arial"/>
          <w:sz w:val="20"/>
          <w:szCs w:val="20"/>
          <w:color w:val="auto"/>
        </w:rPr>
        <w:t>from tme to tme such other fnancial and business informaton as Bank may reasonably request; and</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ind w:firstLine="397"/>
        <w:spacing w:after="0" w:line="274" w:lineRule="auto"/>
        <w:tabs>
          <w:tab w:leader="none" w:pos="777" w:val="left"/>
        </w:tabs>
        <w:numPr>
          <w:ilvl w:val="3"/>
          <w:numId w:val="24"/>
        </w:numPr>
        <w:rPr>
          <w:rFonts w:ascii="Arial" w:cs="Arial" w:eastAsia="Arial" w:hAnsi="Arial"/>
          <w:sz w:val="20"/>
          <w:szCs w:val="20"/>
          <w:color w:val="auto"/>
        </w:rPr>
      </w:pPr>
      <w:r>
        <w:rPr>
          <w:rFonts w:ascii="Arial" w:cs="Arial" w:eastAsia="Arial" w:hAnsi="Arial"/>
          <w:sz w:val="20"/>
          <w:szCs w:val="20"/>
          <w:color w:val="auto"/>
        </w:rPr>
        <w:t>from tme to tme such other informaton as Bank may request for the purpose of enabling Bank to fulfll its regulatory and compliance requirements, standards and processes.</w:t>
      </w:r>
    </w:p>
    <w:p>
      <w:pPr>
        <w:spacing w:after="0" w:line="200" w:lineRule="exact"/>
        <w:rPr>
          <w:sz w:val="20"/>
          <w:szCs w:val="20"/>
          <w:color w:val="auto"/>
        </w:rPr>
      </w:pPr>
    </w:p>
    <w:p>
      <w:pPr>
        <w:spacing w:after="0" w:line="30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Documents required to be delivered pursuant to Secton 5.3(a) or Secton 5.3(b) may be delivered electronically and if so delivered, shall be deemed to have been delivered to Bank on the date (1) on which Borrower posts such documents, or provides a link thereto, on the Borrower’s website, or (2) on which Borrower fles such documents with the SEC.</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-20-</w:t>
            </w:r>
          </w:p>
        </w:tc>
      </w:tr>
      <w:tr>
        <w:trPr>
          <w:trHeight w:val="579"/>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55" w:name="page56"/>
    <w:bookmarkEnd w:id="55"/>
    <w:p>
      <w:pPr>
        <w:ind w:left="360"/>
        <w:spacing w:after="0"/>
        <w:rPr>
          <w:sz w:val="20"/>
          <w:szCs w:val="20"/>
          <w:color w:val="auto"/>
        </w:rPr>
      </w:pPr>
      <w:r>
        <w:rPr>
          <w:rFonts w:ascii="Arial" w:cs="Arial" w:eastAsia="Arial" w:hAnsi="Arial"/>
          <w:sz w:val="20"/>
          <w:szCs w:val="20"/>
          <w:color w:val="auto"/>
        </w:rPr>
        <w:t>SECTION 5.4. COMPLIANCE.</w:t>
      </w:r>
    </w:p>
    <w:p>
      <w:pPr>
        <w:spacing w:after="0" w:line="200" w:lineRule="exact"/>
        <w:rPr>
          <w:sz w:val="20"/>
          <w:szCs w:val="20"/>
          <w:color w:val="auto"/>
        </w:rPr>
      </w:pPr>
    </w:p>
    <w:p>
      <w:pPr>
        <w:spacing w:after="0" w:line="353" w:lineRule="exact"/>
        <w:rPr>
          <w:sz w:val="20"/>
          <w:szCs w:val="20"/>
          <w:color w:val="auto"/>
        </w:rPr>
      </w:pPr>
    </w:p>
    <w:p>
      <w:pPr>
        <w:jc w:val="both"/>
        <w:ind w:firstLine="372"/>
        <w:spacing w:after="0" w:line="260" w:lineRule="auto"/>
        <w:tabs>
          <w:tab w:leader="none" w:pos="728"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Preserve and maintain all material licenses, permits, governmental approvals, rights, privileges and franchises necessary for the conduct of its business; (ii) comply with the provisions of all documents pursuant to which Borrower is organized and/or which govern Borrower’s contnued existence; and (iii) comply in all material respects with the requirements of all Laws of any jurisdicton in which the Borrower is located or doing business, or otherwise is applicable to Borrower; and</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ind w:firstLine="384"/>
        <w:spacing w:after="0" w:line="274" w:lineRule="auto"/>
        <w:tabs>
          <w:tab w:leader="none" w:pos="752" w:val="left"/>
        </w:tabs>
        <w:numPr>
          <w:ilvl w:val="1"/>
          <w:numId w:val="25"/>
        </w:numPr>
        <w:rPr>
          <w:rFonts w:ascii="Arial" w:cs="Arial" w:eastAsia="Arial" w:hAnsi="Arial"/>
          <w:sz w:val="20"/>
          <w:szCs w:val="20"/>
          <w:color w:val="auto"/>
        </w:rPr>
      </w:pPr>
      <w:r>
        <w:rPr>
          <w:rFonts w:ascii="Arial" w:cs="Arial" w:eastAsia="Arial" w:hAnsi="Arial"/>
          <w:sz w:val="20"/>
          <w:szCs w:val="20"/>
          <w:color w:val="auto"/>
        </w:rPr>
        <w:t>comply with, and cause each member of the Borrowing Group to comply with, all Sanctons, Ant-Money Laundering Laws, and Ant-Corrupton Laws.</w:t>
      </w:r>
    </w:p>
    <w:p>
      <w:pPr>
        <w:spacing w:after="0" w:line="200" w:lineRule="exact"/>
        <w:rPr>
          <w:sz w:val="20"/>
          <w:szCs w:val="20"/>
          <w:color w:val="auto"/>
        </w:rPr>
      </w:pPr>
    </w:p>
    <w:p>
      <w:pPr>
        <w:spacing w:after="0" w:line="287"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SECTION 5.5. INSURANCE. (a) Maintain and keep in force, for each business in which Borrower is engaged, insurance of the types and in amounts customarily carried in similar lines of business, including but not limited to fre, extended coverage, commercial general liability, food, and, if required by governmental regulaton or Bank, hurricane, windstorm, seismic property damage, workers’ compensaton, marine cargo insurance, and specifc hazards afectng any real property, including terrorism, with all such insurance carried in amounts satsfactory to Bank and where required by Bank, with replacement cost, mortgagee loss payable and lender loss payable endorsements in favor of Bank, and (b) deliver to Bank prior to the date hereof, and from tme to tme at Bank’s request, schedules setng forth all insurance then in efect, together with a lender’s loss payee endorsement for all such insurance naming Bank as a lender loss payee. Such insurance may be obtained from an insurer or through an insurance agent of Borrower’s choice, provided that any insurer chosen by Borrower is acceptable to Bank on such reasonable grounds as may be permited under applicable Law.</w:t>
      </w:r>
    </w:p>
    <w:p>
      <w:pPr>
        <w:spacing w:after="0" w:line="200" w:lineRule="exact"/>
        <w:rPr>
          <w:sz w:val="20"/>
          <w:szCs w:val="20"/>
          <w:color w:val="auto"/>
        </w:rPr>
      </w:pPr>
    </w:p>
    <w:p>
      <w:pPr>
        <w:spacing w:after="0" w:line="292" w:lineRule="exact"/>
        <w:rPr>
          <w:sz w:val="20"/>
          <w:szCs w:val="20"/>
          <w:color w:val="auto"/>
        </w:rPr>
      </w:pPr>
    </w:p>
    <w:p>
      <w:pPr>
        <w:jc w:val="both"/>
        <w:ind w:firstLine="363"/>
        <w:spacing w:after="0" w:line="284" w:lineRule="auto"/>
        <w:rPr>
          <w:sz w:val="20"/>
          <w:szCs w:val="20"/>
          <w:color w:val="auto"/>
        </w:rPr>
      </w:pPr>
      <w:r>
        <w:rPr>
          <w:rFonts w:ascii="Arial" w:cs="Arial" w:eastAsia="Arial" w:hAnsi="Arial"/>
          <w:sz w:val="19"/>
          <w:szCs w:val="19"/>
          <w:color w:val="auto"/>
        </w:rPr>
        <w:t>SECTION 5.6. FACILITIES. Keep all propertes useful or necessary to Borrower’s business in good repair and conditon, and from tme to tme make necessary repairs, renewals and replacements thereto so that such propertes shall be fully and efciently preserved and maintained, except where such failure could not reasonably be expected to have a Material Adverse Efect.</w:t>
      </w:r>
    </w:p>
    <w:p>
      <w:pPr>
        <w:spacing w:after="0" w:line="200" w:lineRule="exact"/>
        <w:rPr>
          <w:sz w:val="20"/>
          <w:szCs w:val="20"/>
          <w:color w:val="auto"/>
        </w:rPr>
      </w:pPr>
    </w:p>
    <w:p>
      <w:pPr>
        <w:spacing w:after="0" w:line="280" w:lineRule="exact"/>
        <w:rPr>
          <w:sz w:val="20"/>
          <w:szCs w:val="20"/>
          <w:color w:val="auto"/>
        </w:rPr>
      </w:pPr>
    </w:p>
    <w:p>
      <w:pPr>
        <w:jc w:val="both"/>
        <w:ind w:firstLine="372"/>
        <w:spacing w:after="0" w:line="258" w:lineRule="auto"/>
        <w:rPr>
          <w:sz w:val="20"/>
          <w:szCs w:val="20"/>
          <w:color w:val="auto"/>
        </w:rPr>
      </w:pPr>
      <w:r>
        <w:rPr>
          <w:rFonts w:ascii="Arial" w:cs="Arial" w:eastAsia="Arial" w:hAnsi="Arial"/>
          <w:sz w:val="20"/>
          <w:szCs w:val="20"/>
          <w:color w:val="auto"/>
        </w:rPr>
        <w:t>SECTION 5.7. TAXES AND OTHER LIABILITIES. Pay and discharge when due (a) all federal, state and other material taxes, assessments and other governmental charges that may be levied or assessed upon it or any of its property and (b) all other material Indebtedness, obligatons and liabilites in accordance with customary trade practces, except (i) such as Borrower may in good faith contest or as to which a bona fde dispute may arise, and (ii) for which Borrower has made provision, to Bank’s satsfacton, for eventual payment thereof in the event Borrower is obligated to make such payment.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-21-</w:t>
            </w:r>
          </w:p>
        </w:tc>
      </w:tr>
      <w:tr>
        <w:trPr>
          <w:trHeight w:val="579"/>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6" w:name="page57"/>
    <w:bookmarkEnd w:id="56"/>
    <w:p>
      <w:pPr>
        <w:jc w:val="both"/>
        <w:ind w:firstLine="371"/>
        <w:spacing w:after="0" w:line="332" w:lineRule="auto"/>
        <w:rPr>
          <w:sz w:val="20"/>
          <w:szCs w:val="20"/>
          <w:color w:val="auto"/>
        </w:rPr>
      </w:pPr>
      <w:r>
        <w:rPr>
          <w:rFonts w:ascii="Arial" w:cs="Arial" w:eastAsia="Arial" w:hAnsi="Arial"/>
          <w:sz w:val="18"/>
          <w:szCs w:val="18"/>
          <w:color w:val="auto"/>
        </w:rPr>
        <w:t>SECTION 5.8. LITIGATION. Promptly give notce in writng to Bank of any litgaton pending or threatened in writng against Borrower that if adversely determined, either individually or in the aggregate, could reasonably be expected to result in a Material Adverse Efect.</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5.9. [Reserved].</w:t>
      </w:r>
    </w:p>
    <w:p>
      <w:pPr>
        <w:spacing w:after="0" w:line="200" w:lineRule="exact"/>
        <w:rPr>
          <w:sz w:val="20"/>
          <w:szCs w:val="20"/>
          <w:color w:val="auto"/>
        </w:rPr>
      </w:pPr>
    </w:p>
    <w:p>
      <w:pPr>
        <w:spacing w:after="0" w:line="340"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8"/>
          <w:szCs w:val="18"/>
          <w:color w:val="auto"/>
        </w:rPr>
        <w:t>SECTION 5.10. NOTICE TO BANK. Promptly (but in no event more than three (3) Business Days afer the occurrence of each such event or mater and in no event more than one (1) Business Day afer the occurrence of each such event or mater described below with respect to Sanctons, Ant-Money Laundering Laws, and Ant-Corrupton Laws) give writen notce to Bank in reasonable detail of: (a) the occurrence of any Event of Default, or any conditon, event or act which with the giving of notce or the passage of tme or both would consttute an Event of Default; (b) any change in the name or the organizatonal structure of Borrower, including, by illustraton, merger, conversion or division; (c) the occurrence and nature of any Reportable Event or Prohibited Transacton, each as defned in ERISA, or any funding defciency with respect to any Plan; (d) any terminaton or cancellaton of any insurance policy which Borrower is required to maintain, or any uninsured or partally uninsured loss through liability or property damage, or through fre, thef or any other cause afectng Borrower’s property; or (e) any breach of any covenant contained herein related to Sanctons, Ant-Money Laundering Laws, and Ant-Corrupton Laws or the Borrower’s inability to make the representatons and warrantes contained herein related to Sanctons, Ant-Money Laundering Laws, and Ant-Corrupton Laws on any date, or the failure of any representatons and warrantes contained herein related to Sanctons, Ant-Money Laundering Laws, and Ant-Corrupton Laws to be true and correct in all respects on or as of any date.</w:t>
      </w:r>
    </w:p>
    <w:p>
      <w:pPr>
        <w:spacing w:after="0" w:line="200" w:lineRule="exact"/>
        <w:rPr>
          <w:sz w:val="20"/>
          <w:szCs w:val="20"/>
          <w:color w:val="auto"/>
        </w:rPr>
      </w:pPr>
    </w:p>
    <w:p>
      <w:pPr>
        <w:spacing w:after="0" w:line="296" w:lineRule="exact"/>
        <w:rPr>
          <w:sz w:val="20"/>
          <w:szCs w:val="20"/>
          <w:color w:val="auto"/>
        </w:rPr>
      </w:pPr>
    </w:p>
    <w:p>
      <w:pPr>
        <w:jc w:val="both"/>
        <w:ind w:firstLine="377"/>
        <w:spacing w:after="0" w:line="260" w:lineRule="auto"/>
        <w:rPr>
          <w:sz w:val="20"/>
          <w:szCs w:val="20"/>
          <w:color w:val="auto"/>
        </w:rPr>
      </w:pPr>
      <w:r>
        <w:rPr>
          <w:rFonts w:ascii="Arial" w:cs="Arial" w:eastAsia="Arial" w:hAnsi="Arial"/>
          <w:sz w:val="20"/>
          <w:szCs w:val="20"/>
          <w:color w:val="auto"/>
        </w:rPr>
        <w:t>SECTION 5.11. TREASURY RELATIONSHIP. Within ninety (90) days of the Closing Date, Borrower shall, and shall cause each other member of the Consolidated Group to, maintain Bank, or one of its Afliates, as a primary depository bank, including for such related banking actvites involving the cash management of invested cash as determined by Borrower, operatng and administratve deposit accounts.</w:t>
      </w:r>
    </w:p>
    <w:p>
      <w:pPr>
        <w:spacing w:after="0" w:line="200" w:lineRule="exact"/>
        <w:rPr>
          <w:sz w:val="20"/>
          <w:szCs w:val="20"/>
          <w:color w:val="auto"/>
        </w:rPr>
      </w:pPr>
    </w:p>
    <w:p>
      <w:pPr>
        <w:spacing w:after="0" w:line="302" w:lineRule="exact"/>
        <w:rPr>
          <w:sz w:val="20"/>
          <w:szCs w:val="20"/>
          <w:color w:val="auto"/>
        </w:rPr>
      </w:pPr>
    </w:p>
    <w:p>
      <w:pPr>
        <w:jc w:val="both"/>
        <w:ind w:firstLine="374"/>
        <w:spacing w:after="0" w:line="274" w:lineRule="auto"/>
        <w:rPr>
          <w:sz w:val="20"/>
          <w:szCs w:val="20"/>
          <w:color w:val="auto"/>
        </w:rPr>
      </w:pPr>
      <w:r>
        <w:rPr>
          <w:rFonts w:ascii="Arial" w:cs="Arial" w:eastAsia="Arial" w:hAnsi="Arial"/>
          <w:sz w:val="20"/>
          <w:szCs w:val="20"/>
          <w:color w:val="auto"/>
        </w:rPr>
        <w:t>SECTION 5.12. PLEDGED ACCOUNT. At all tmes, maintain US Government Money Market Funds and/or FDIC Insttutonal Insured Liquid Deposits having a fair market value of not less than $55,000,000 in the Pledged Account.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-22-</w:t>
            </w:r>
          </w:p>
        </w:tc>
      </w:tr>
      <w:tr>
        <w:trPr>
          <w:trHeight w:val="578"/>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u w:val="single" w:color="auto"/>
          <w:color w:val="auto"/>
        </w:rPr>
        <w:t>ARTICLE VI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NEGATIVE COVENANTS</w:t>
      </w:r>
    </w:p>
    <w:p>
      <w:pPr>
        <w:spacing w:after="0" w:line="200" w:lineRule="exact"/>
        <w:rPr>
          <w:sz w:val="20"/>
          <w:szCs w:val="20"/>
          <w:color w:val="auto"/>
        </w:rPr>
      </w:pPr>
    </w:p>
    <w:p>
      <w:pPr>
        <w:spacing w:after="0" w:line="353" w:lineRule="exact"/>
        <w:rPr>
          <w:sz w:val="20"/>
          <w:szCs w:val="20"/>
          <w:color w:val="auto"/>
        </w:rPr>
      </w:pPr>
    </w:p>
    <w:p>
      <w:pPr>
        <w:jc w:val="both"/>
        <w:ind w:firstLine="372"/>
        <w:spacing w:after="0" w:line="260" w:lineRule="auto"/>
        <w:rPr>
          <w:sz w:val="20"/>
          <w:szCs w:val="20"/>
          <w:color w:val="auto"/>
        </w:rPr>
      </w:pPr>
      <w:r>
        <w:rPr>
          <w:rFonts w:ascii="Arial" w:cs="Arial" w:eastAsia="Arial" w:hAnsi="Arial"/>
          <w:sz w:val="20"/>
          <w:szCs w:val="20"/>
          <w:color w:val="auto"/>
        </w:rPr>
        <w:t>Borrower further covenants that so long as Bank remains commited to to make revolving advances to Borrower pursuant hereto, or any Obligatons (whether direct or contngent, liquidated or unliquidated) under any of the Loan Documents remain outstanding, and untl payment in full of all Obligatons (other than contngent indemnifcaton obligatons that have not yet arisen as of such payof), Borrower will not without Bank’s prior writen consent:</w:t>
      </w:r>
    </w:p>
    <w:p>
      <w:pPr>
        <w:spacing w:after="0" w:line="200" w:lineRule="exact"/>
        <w:rPr>
          <w:sz w:val="20"/>
          <w:szCs w:val="20"/>
          <w:color w:val="auto"/>
        </w:rPr>
      </w:pPr>
    </w:p>
    <w:p>
      <w:pPr>
        <w:spacing w:after="0" w:line="3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6.1. USE OF FUNDS. SOURCES OF REPAYMENT AND COLLATERAL.</w:t>
      </w:r>
    </w:p>
    <w:p>
      <w:pPr>
        <w:spacing w:after="0" w:line="200" w:lineRule="exact"/>
        <w:rPr>
          <w:sz w:val="20"/>
          <w:szCs w:val="20"/>
          <w:color w:val="auto"/>
        </w:rPr>
      </w:pPr>
    </w:p>
    <w:p>
      <w:pPr>
        <w:spacing w:after="0" w:line="340" w:lineRule="exact"/>
        <w:rPr>
          <w:sz w:val="20"/>
          <w:szCs w:val="20"/>
          <w:color w:val="auto"/>
        </w:rPr>
      </w:pPr>
    </w:p>
    <w:p>
      <w:pPr>
        <w:jc w:val="both"/>
        <w:ind w:firstLine="376"/>
        <w:spacing w:after="0" w:line="273" w:lineRule="auto"/>
        <w:tabs>
          <w:tab w:leader="none" w:pos="735" w:val="left"/>
        </w:tabs>
        <w:numPr>
          <w:ilvl w:val="0"/>
          <w:numId w:val="26"/>
        </w:numPr>
        <w:rPr>
          <w:rFonts w:ascii="Arial" w:cs="Arial" w:eastAsia="Arial" w:hAnsi="Arial"/>
          <w:sz w:val="19"/>
          <w:szCs w:val="19"/>
          <w:color w:val="auto"/>
        </w:rPr>
      </w:pPr>
      <w:r>
        <w:rPr>
          <w:rFonts w:ascii="Arial" w:cs="Arial" w:eastAsia="Arial" w:hAnsi="Arial"/>
          <w:sz w:val="19"/>
          <w:szCs w:val="19"/>
          <w:color w:val="auto"/>
        </w:rPr>
        <w:t>Use, or permit any member of the Borrowing Group to use, any of the proceeds of any credit extended hereunder except for the purposes stated in Artcle II hereof, or directly or indirectly use any such proceeds to fund, fnance or facilitate any actvites, business or transactons: (i) that are prohibited by Sanctons; (ii) that would be prohibited by Sanctons if conducted by Bank or any of Bank’s Afliates; or (iii) that would be prohibited by any Ant-Money Laundering Laws or Ant-Corrupton Laws. No part of the proceeds of any credit extended hereunder shall be used for purchasing or carrying margin stock (within the meaning of Regulaton T, U or X of the FRB) or for any purpose which violates the provisions of Regulaton T, U or X of the FRB.</w:t>
      </w:r>
    </w:p>
    <w:p>
      <w:pPr>
        <w:spacing w:after="0" w:line="200" w:lineRule="exact"/>
        <w:rPr>
          <w:rFonts w:ascii="Arial" w:cs="Arial" w:eastAsia="Arial" w:hAnsi="Arial"/>
          <w:sz w:val="19"/>
          <w:szCs w:val="19"/>
          <w:color w:val="auto"/>
        </w:rPr>
      </w:pPr>
    </w:p>
    <w:p>
      <w:pPr>
        <w:spacing w:after="0" w:line="306" w:lineRule="exact"/>
        <w:rPr>
          <w:rFonts w:ascii="Arial" w:cs="Arial" w:eastAsia="Arial" w:hAnsi="Arial"/>
          <w:sz w:val="19"/>
          <w:szCs w:val="19"/>
          <w:color w:val="auto"/>
        </w:rPr>
      </w:pPr>
    </w:p>
    <w:p>
      <w:pPr>
        <w:jc w:val="both"/>
        <w:ind w:firstLine="607"/>
        <w:spacing w:after="0" w:line="278" w:lineRule="auto"/>
        <w:tabs>
          <w:tab w:leader="none" w:pos="1080" w:val="left"/>
        </w:tabs>
        <w:numPr>
          <w:ilvl w:val="1"/>
          <w:numId w:val="26"/>
        </w:numPr>
        <w:rPr>
          <w:rFonts w:ascii="Arial" w:cs="Arial" w:eastAsia="Arial" w:hAnsi="Arial"/>
          <w:sz w:val="19"/>
          <w:szCs w:val="19"/>
          <w:color w:val="auto"/>
        </w:rPr>
      </w:pPr>
      <w:r>
        <w:rPr>
          <w:rFonts w:ascii="Arial" w:cs="Arial" w:eastAsia="Arial" w:hAnsi="Arial"/>
          <w:sz w:val="19"/>
          <w:szCs w:val="19"/>
          <w:color w:val="auto"/>
        </w:rPr>
        <w:t>Fund any repayment of the Obligatons with proceeds, or provide any property as collateral for the Obligatons, or permit any third party to provide any property as collateral for Obligatons, that is directly or indirectly derived from any transacton or actvity that is prohibited by any Sanctons, Ant-Money Laundering Laws or Ant-Corrupton Laws, or that could otherwise cause Bank or any of Bank’s Afliates to be in violaton of any Sanctons, Ant-Money Laundering Laws or Ant-Corrupton Laws.</w:t>
      </w:r>
    </w:p>
    <w:p>
      <w:pPr>
        <w:spacing w:after="0" w:line="200" w:lineRule="exact"/>
        <w:rPr>
          <w:sz w:val="20"/>
          <w:szCs w:val="20"/>
          <w:color w:val="auto"/>
        </w:rPr>
      </w:pPr>
    </w:p>
    <w:p>
      <w:pPr>
        <w:spacing w:after="0" w:line="286" w:lineRule="exact"/>
        <w:rPr>
          <w:sz w:val="20"/>
          <w:szCs w:val="20"/>
          <w:color w:val="auto"/>
        </w:rPr>
      </w:pPr>
    </w:p>
    <w:p>
      <w:pPr>
        <w:jc w:val="both"/>
        <w:ind w:firstLine="365"/>
        <w:spacing w:after="0" w:line="271" w:lineRule="auto"/>
        <w:rPr>
          <w:sz w:val="20"/>
          <w:szCs w:val="20"/>
          <w:color w:val="auto"/>
        </w:rPr>
      </w:pPr>
      <w:r>
        <w:rPr>
          <w:rFonts w:ascii="Arial" w:cs="Arial" w:eastAsia="Arial" w:hAnsi="Arial"/>
          <w:sz w:val="19"/>
          <w:szCs w:val="19"/>
          <w:color w:val="auto"/>
        </w:rPr>
        <w:t>SECTION 6.2. INDEBTEDNESS. Create, incur, assume or permit to exist any Indebtedness resultng from borrowings, loans or advances, whether secured or unsecured, matured or unmatured, liquidated or unliquidated, joint or several, except (a) Indebtedness of the Borrower to Bank, (b) Indebtedness (contngent or otherwise) existng or arising under any Swap Contract, provided that such obligatons are (or were) entered into by such Person in the ordinary course of business for the purpose of directly mitgatng risks associated with fuctuatons in interest rates or foreign exchange rates, (c) any other Indebtedness of Borrower existng as of, and disclosed to Bank prior to, the date hereof and set forth on Schedule 6.2, in each case, any refnancings, refundings, renewals or extensions thereof; provided that the amount of such Indebtedness is not increased at the tme of such refnancing, refunding, renewal or extension, and (d) other Indebtedness, whether secured or unsecured (so long as no Lien is granted on the Collateral), so long as the aggregate amount of such Indebtedness does not exceed $10,000,000.</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-23-</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58" w:name="page59"/>
    <w:bookmarkEnd w:id="58"/>
    <w:p>
      <w:pPr>
        <w:ind w:left="360"/>
        <w:spacing w:after="0"/>
        <w:rPr>
          <w:sz w:val="20"/>
          <w:szCs w:val="20"/>
          <w:color w:val="auto"/>
        </w:rPr>
      </w:pPr>
      <w:r>
        <w:rPr>
          <w:rFonts w:ascii="Arial" w:cs="Arial" w:eastAsia="Arial" w:hAnsi="Arial"/>
          <w:sz w:val="20"/>
          <w:szCs w:val="20"/>
          <w:color w:val="auto"/>
        </w:rPr>
        <w:t>SECTION 6.3. LIQUIDITY. Permit Liquidity to be less than $75,000,000 at any tme.</w:t>
      </w:r>
    </w:p>
    <w:p>
      <w:pPr>
        <w:spacing w:after="0" w:line="200" w:lineRule="exact"/>
        <w:rPr>
          <w:sz w:val="20"/>
          <w:szCs w:val="20"/>
          <w:color w:val="auto"/>
        </w:rPr>
      </w:pPr>
    </w:p>
    <w:p>
      <w:pPr>
        <w:spacing w:after="0" w:line="353"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20"/>
          <w:szCs w:val="20"/>
          <w:color w:val="auto"/>
        </w:rPr>
        <w:t>SECTION 6.4. MERGER, CHANGE IN NATURE OF BUSINESS. (a) Merge into or consolidate with any other entty, unless Borrower is the surviving entty; (b) make any substantal change in the nature of Borrower’s business as conducted as of the date hereof; nor (c) accomplish any of the above by virtue of a division or similar transacton.</w:t>
      </w:r>
    </w:p>
    <w:p>
      <w:pPr>
        <w:spacing w:after="0" w:line="200" w:lineRule="exact"/>
        <w:rPr>
          <w:sz w:val="20"/>
          <w:szCs w:val="20"/>
          <w:color w:val="auto"/>
        </w:rPr>
      </w:pPr>
    </w:p>
    <w:p>
      <w:pPr>
        <w:spacing w:after="0" w:line="297" w:lineRule="exact"/>
        <w:rPr>
          <w:sz w:val="20"/>
          <w:szCs w:val="20"/>
          <w:color w:val="auto"/>
        </w:rPr>
      </w:pPr>
    </w:p>
    <w:p>
      <w:pPr>
        <w:jc w:val="both"/>
        <w:ind w:firstLine="367"/>
        <w:spacing w:after="0" w:line="274" w:lineRule="auto"/>
        <w:rPr>
          <w:sz w:val="20"/>
          <w:szCs w:val="20"/>
          <w:color w:val="auto"/>
        </w:rPr>
      </w:pPr>
      <w:r>
        <w:rPr>
          <w:rFonts w:ascii="Arial" w:cs="Arial" w:eastAsia="Arial" w:hAnsi="Arial"/>
          <w:sz w:val="20"/>
          <w:szCs w:val="20"/>
          <w:color w:val="auto"/>
        </w:rPr>
        <w:t>SECTION 6.5 LIENS. Permit any Lien on the Pledged Account, or on any amounts or items deposited or otherwise held therein from tme to tme, except in favor of Bank.</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EVENTS OF DEFAULT</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7.1. The occurrence of any of the following shall consttute an “Event of Default” under this Agreement:</w:t>
      </w:r>
    </w:p>
    <w:p>
      <w:pPr>
        <w:spacing w:after="0" w:line="200" w:lineRule="exact"/>
        <w:rPr>
          <w:sz w:val="20"/>
          <w:szCs w:val="20"/>
          <w:color w:val="auto"/>
        </w:rPr>
      </w:pPr>
    </w:p>
    <w:p>
      <w:pPr>
        <w:spacing w:after="0" w:line="353" w:lineRule="exact"/>
        <w:rPr>
          <w:sz w:val="20"/>
          <w:szCs w:val="20"/>
          <w:color w:val="auto"/>
        </w:rPr>
      </w:pPr>
    </w:p>
    <w:p>
      <w:pPr>
        <w:ind w:left="720" w:hanging="351"/>
        <w:spacing w:after="0"/>
        <w:tabs>
          <w:tab w:leader="none" w:pos="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Borrower shall fail to pay (i) when and as required to be herein or under any other Loan Document, any principal, or (ii) within two</w:t>
      </w:r>
    </w:p>
    <w:p>
      <w:pPr>
        <w:spacing w:after="0" w:line="43"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Business Days afer the same becomes due, any interest, fees or other amounts payable under any of the Loan Documents.</w:t>
      </w:r>
    </w:p>
    <w:p>
      <w:pPr>
        <w:spacing w:after="0" w:line="200" w:lineRule="exact"/>
        <w:rPr>
          <w:rFonts w:ascii="Arial" w:cs="Arial" w:eastAsia="Arial" w:hAnsi="Arial"/>
          <w:sz w:val="20"/>
          <w:szCs w:val="20"/>
          <w:color w:val="auto"/>
        </w:rPr>
      </w:pPr>
    </w:p>
    <w:p>
      <w:pPr>
        <w:spacing w:after="0" w:line="332" w:lineRule="exact"/>
        <w:rPr>
          <w:rFonts w:ascii="Arial" w:cs="Arial" w:eastAsia="Arial" w:hAnsi="Arial"/>
          <w:sz w:val="20"/>
          <w:szCs w:val="20"/>
          <w:color w:val="auto"/>
        </w:rPr>
      </w:pPr>
    </w:p>
    <w:p>
      <w:pPr>
        <w:jc w:val="both"/>
        <w:ind w:firstLine="376"/>
        <w:spacing w:after="0" w:line="264" w:lineRule="auto"/>
        <w:tabs>
          <w:tab w:leader="none" w:pos="737"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fnancial statement or certfcate furnished to Bank in connecton with, or any representaton or warranty made by Borrower or any other party under this Agreement or any other Loan Document shall prove to be incorrect, false or misleading in any material respect when furnished or made.</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jc w:val="both"/>
        <w:ind w:firstLine="379"/>
        <w:spacing w:after="0" w:line="294" w:lineRule="auto"/>
        <w:tabs>
          <w:tab w:leader="none" w:pos="743"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default in the performance of or compliance with: (1) any collateral value requirement set forth herein or in any other Loan Document, including Secton 5.12 hereof; (2) any negatve covenant set forth in Artcle VI hereof; (3) any afrmatve covenant (i) set forth in Artcle V hereof requiring the delivery of fnancial statements and other informaton to Bank, including any failure to deliver an unqualifed audit opinion for any fscal year as required under Secton 5.3(b), or (ii) set forth in Secton 5.11; or (4) any obligaton, agreement or other provision contained herein or in any other Loan Document related to Sanctons, Ant-Money Laundering Laws, or Ant-Corrupton Laws.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-24-</w:t>
            </w:r>
          </w:p>
        </w:tc>
      </w:tr>
      <w:tr>
        <w:trPr>
          <w:trHeight w:val="579"/>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9" w:name="page60"/>
    <w:bookmarkEnd w:id="59"/>
    <w:p>
      <w:pPr>
        <w:jc w:val="both"/>
        <w:ind w:firstLine="386"/>
        <w:spacing w:after="0" w:line="258" w:lineRule="auto"/>
        <w:tabs>
          <w:tab w:leader="none" w:pos="775" w:val="left"/>
        </w:tabs>
        <w:numPr>
          <w:ilvl w:val="1"/>
          <w:numId w:val="29"/>
        </w:numPr>
        <w:rPr>
          <w:rFonts w:ascii="Arial" w:cs="Arial" w:eastAsia="Arial" w:hAnsi="Arial"/>
          <w:sz w:val="20"/>
          <w:szCs w:val="20"/>
          <w:color w:val="auto"/>
        </w:rPr>
      </w:pPr>
      <w:r>
        <w:rPr>
          <w:rFonts w:ascii="Arial" w:cs="Arial" w:eastAsia="Arial" w:hAnsi="Arial"/>
          <w:sz w:val="20"/>
          <w:szCs w:val="20"/>
          <w:color w:val="auto"/>
        </w:rPr>
        <w:t>Any default in the performance of or compliance with any obligaton, agreement or other provision contained herein or in any other Loan Document (other than those defaults specifcally described as consttutng an “Event of Default” under any other subsecton of this Secton 7.1.), and with respect to such default(s) that by their nature can be cured (excluding any defaults specifcally described as consttutng an “Event of Default” under any other subsecton of this Secton 7.1., none of which shall be subject to a cure period), such default shall contnue for a period of twenty (20) days from its occurrence.</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jc w:val="both"/>
        <w:ind w:firstLine="375"/>
        <w:spacing w:after="0" w:line="258" w:lineRule="auto"/>
        <w:tabs>
          <w:tab w:leader="none" w:pos="735"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default in the payment or performance of any obligaton in excess of the Threshold Amount, or any defned event of default, under the terms of any contract, instrument or document (other than any of the Loan Documents) pursuant to which Borrower, any guarantor hereunder, the owner of any collateral securing the obligatons hereunder or under any other Loan Document, or any general partner or joint venturer in Borrower if a partnership or joint venture has incurred any debt or other liability in excess of the Threshold Amount to any person or entty, including Bank.</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jc w:val="both"/>
        <w:ind w:firstLine="382"/>
        <w:spacing w:after="0" w:line="271" w:lineRule="auto"/>
        <w:tabs>
          <w:tab w:leader="none" w:pos="7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Borrower or any other member of the Consolidated Group shall become insolvent, or shall sufer or consent to or apply for the appointment of a receiver, trustee, custodian or liquidator of itself or any of its property, or shall generally fail to pay its debts as they become due, or shall make a general assignment for the beneft of creditors; Borrower or any other member of the Consolidated Group shall fle a voluntary petton in bankruptcy, or seeking reorganizaton, in order to efect a plan or other arrangement with creditors or any other relief under any Debtor Relief Law; or Borrower or any other member of the Consolidated Group shall fle an answer admitng the jurisdicton of the court and the material allegatons of any involuntary petton; or Borrower or any other member of the Consolidated Group shall be adjudicated a bankrupt, or an order for relief shall be entered against Borrower or any other member of the Consolidated Group by any court of competent jurisdicton under any Debtor Relief Law.</w:t>
      </w:r>
    </w:p>
    <w:p>
      <w:pPr>
        <w:spacing w:after="0" w:line="200" w:lineRule="exact"/>
        <w:rPr>
          <w:rFonts w:ascii="Arial" w:cs="Arial" w:eastAsia="Arial" w:hAnsi="Arial"/>
          <w:sz w:val="19"/>
          <w:szCs w:val="19"/>
          <w:color w:val="auto"/>
        </w:rPr>
      </w:pPr>
    </w:p>
    <w:p>
      <w:pPr>
        <w:spacing w:after="0" w:line="310" w:lineRule="exact"/>
        <w:rPr>
          <w:rFonts w:ascii="Arial" w:cs="Arial" w:eastAsia="Arial" w:hAnsi="Arial"/>
          <w:sz w:val="19"/>
          <w:szCs w:val="19"/>
          <w:color w:val="auto"/>
        </w:rPr>
      </w:pPr>
    </w:p>
    <w:p>
      <w:pPr>
        <w:jc w:val="both"/>
        <w:ind w:firstLine="395"/>
        <w:spacing w:after="0" w:line="287" w:lineRule="auto"/>
        <w:tabs>
          <w:tab w:leader="none" w:pos="773" w:val="left"/>
        </w:tabs>
        <w:numPr>
          <w:ilvl w:val="1"/>
          <w:numId w:val="30"/>
        </w:numPr>
        <w:rPr>
          <w:rFonts w:ascii="Arial" w:cs="Arial" w:eastAsia="Arial" w:hAnsi="Arial"/>
          <w:sz w:val="18"/>
          <w:szCs w:val="18"/>
          <w:color w:val="auto"/>
        </w:rPr>
      </w:pPr>
      <w:r>
        <w:rPr>
          <w:rFonts w:ascii="Arial" w:cs="Arial" w:eastAsia="Arial" w:hAnsi="Arial"/>
          <w:sz w:val="18"/>
          <w:szCs w:val="18"/>
          <w:color w:val="auto"/>
        </w:rPr>
        <w:t>(i) The fling of a notce of judgment lien against Borrower or any other member of the Consolidated Group in excess of the Threshold Amount (to the extent not covered by independent third-party insurance as to which the insurer has been notfed of such judgment or order and has not denied or failed to acknowledge coverage); or (ii) the recording of any abstract or transcript of judgment against Borrower or any other member of the Consolidated Group in any county or recording district in which Borrower or such other member of the Consolidated Group has an interest in real property in excess of the Threshold Amount (to the extent not covered by independent third-party insurance as to which the insurer has been notfed of such judgment or order and has not denied or failed to acknowledge coverage); or (iii) the service of a notce of levy and/or of a writ of atachment or executon, or other like process, against the assets of Borrower or any other member of the Consolidated Group in excess of the Threshold Amount; or (iv) the entry of a judgment against Borrower or any other member of the Consolidated Group in excess of the Threshold Amount (to the extent not covered by independent third-party insurance as to which the insurer has been notfed of such judgment or order and has not denied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-25-</w:t>
            </w:r>
          </w:p>
        </w:tc>
      </w:tr>
      <w:tr>
        <w:trPr>
          <w:trHeight w:val="579"/>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60" w:name="page61"/>
    <w:bookmarkEnd w:id="60"/>
    <w:p>
      <w:pPr>
        <w:spacing w:after="0" w:line="274" w:lineRule="auto"/>
        <w:rPr>
          <w:sz w:val="20"/>
          <w:szCs w:val="20"/>
          <w:color w:val="auto"/>
        </w:rPr>
      </w:pPr>
      <w:r>
        <w:rPr>
          <w:rFonts w:ascii="Arial" w:cs="Arial" w:eastAsia="Arial" w:hAnsi="Arial"/>
          <w:sz w:val="20"/>
          <w:szCs w:val="20"/>
          <w:color w:val="auto"/>
        </w:rPr>
        <w:t>or failed to acknowledge coverage); or (v) any involuntary petton or proceeding pursuant to any Debtor Relief Law is fled or commenced against Borrower or any other member of the Consolidated Group.</w:t>
      </w:r>
    </w:p>
    <w:p>
      <w:pPr>
        <w:spacing w:after="0" w:line="200" w:lineRule="exact"/>
        <w:rPr>
          <w:sz w:val="20"/>
          <w:szCs w:val="20"/>
          <w:color w:val="auto"/>
        </w:rPr>
      </w:pPr>
    </w:p>
    <w:p>
      <w:pPr>
        <w:spacing w:after="0" w:line="287" w:lineRule="exact"/>
        <w:rPr>
          <w:sz w:val="20"/>
          <w:szCs w:val="20"/>
          <w:color w:val="auto"/>
        </w:rPr>
      </w:pPr>
    </w:p>
    <w:p>
      <w:pPr>
        <w:ind w:firstLine="392"/>
        <w:spacing w:after="0" w:line="302" w:lineRule="auto"/>
        <w:tabs>
          <w:tab w:leader="none" w:pos="768"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dissoluton, division, or liquidaton of Holdings or Borrower; or Holdings or Borrower, or any of their respectve directors, stockholders or members, shall take acton seeking to efect the dissoluton, division, or liquidaton of Holdings or Borrower.</w:t>
      </w:r>
    </w:p>
    <w:p>
      <w:pPr>
        <w:spacing w:after="0" w:line="200" w:lineRule="exact"/>
        <w:rPr>
          <w:rFonts w:ascii="Arial" w:cs="Arial" w:eastAsia="Arial" w:hAnsi="Arial"/>
          <w:sz w:val="19"/>
          <w:szCs w:val="19"/>
          <w:color w:val="auto"/>
        </w:rPr>
      </w:pPr>
    </w:p>
    <w:p>
      <w:pPr>
        <w:spacing w:after="0" w:line="262" w:lineRule="exact"/>
        <w:rPr>
          <w:rFonts w:ascii="Arial" w:cs="Arial" w:eastAsia="Arial" w:hAnsi="Arial"/>
          <w:sz w:val="19"/>
          <w:szCs w:val="19"/>
          <w:color w:val="auto"/>
        </w:rPr>
      </w:pPr>
    </w:p>
    <w:p>
      <w:pPr>
        <w:ind w:left="720" w:hanging="354"/>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There occurs any Change of Control.</w:t>
      </w:r>
    </w:p>
    <w:p>
      <w:pPr>
        <w:spacing w:after="0" w:line="200" w:lineRule="exact"/>
        <w:rPr>
          <w:sz w:val="20"/>
          <w:szCs w:val="20"/>
          <w:color w:val="auto"/>
        </w:rPr>
      </w:pPr>
    </w:p>
    <w:p>
      <w:pPr>
        <w:spacing w:after="0" w:line="353"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9"/>
          <w:szCs w:val="19"/>
          <w:color w:val="auto"/>
        </w:rPr>
        <w:t>SECTION 7.2. REMEDIES. Upon the occurrence of any Event of Default: (a) all Obligatons shall at Bank’s opton and without notce (or upon the occurrence of an Event of Default specifed in Secton 7.1(f) or Secton 7.1(g)(v), shall automatcally and without notce) become immediately due and payable without presentment, demand, protest or any notces of any kind, including without limitaton, notce of nonperformance, notce of protest, notce of dishonor, notce of intenton to accelerate or notce of acceleraton, all of which are hereby expressly waived by Borrower; (b) the obligaton, if any, of Bank to extend any further revolving advances under any of the Loan Documents shall immediately cease and terminate; and (c) Bank shall have all rights, powers and remedies available under each of the Loan Documents, or accorded by Law, including without limitaton the right to resort to any or all security for any credit subject hereto and to exercise any or all of the rights of a benefciary or secured party pursuant to applicable Law. All rights, powers and remedies of Bank may be exercised at any tme by Bank and from tme to tme afer the occurrence of an Event of Default, are cumulatve and not exclusive, and shall be in additon to any other rights, powers or remedies provided by Law or equity.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200" w:lineRule="exact"/>
        <w:rPr>
          <w:sz w:val="20"/>
          <w:szCs w:val="20"/>
          <w:color w:val="auto"/>
        </w:rPr>
      </w:pPr>
    </w:p>
    <w:p>
      <w:pPr>
        <w:spacing w:after="0" w:line="340" w:lineRule="exact"/>
        <w:rPr>
          <w:sz w:val="20"/>
          <w:szCs w:val="20"/>
          <w:color w:val="auto"/>
        </w:rPr>
      </w:pPr>
    </w:p>
    <w:p>
      <w:pPr>
        <w:jc w:val="both"/>
        <w:ind w:firstLine="370"/>
        <w:spacing w:after="0" w:line="258" w:lineRule="auto"/>
        <w:rPr>
          <w:sz w:val="20"/>
          <w:szCs w:val="20"/>
          <w:color w:val="auto"/>
        </w:rPr>
      </w:pPr>
      <w:r>
        <w:rPr>
          <w:rFonts w:ascii="Arial" w:cs="Arial" w:eastAsia="Arial" w:hAnsi="Arial"/>
          <w:sz w:val="20"/>
          <w:szCs w:val="20"/>
          <w:color w:val="auto"/>
        </w:rPr>
        <w:t>SECTION 8.1. NO WAIVER. No delay, failure or discontnuance of Bank in exercising any right, power or remedy under any of the Loan Documents shall afect or operate as a waiver of such right, power or remedy; nor shall any single or partal exercise of any such right, power or remedy preclude, waive or otherwise afect any other or further exercise thereof or the exercise of any other right, power or remedy. Any waiver, permit, consent or approval of any kind by Bank of any breach of or default under any of the Loan Documents must be in writng and shall be efectve only to the extent set forth in such writng.</w:t>
      </w:r>
    </w:p>
    <w:p>
      <w:pPr>
        <w:spacing w:after="0" w:line="200" w:lineRule="exact"/>
        <w:rPr>
          <w:sz w:val="20"/>
          <w:szCs w:val="20"/>
          <w:color w:val="auto"/>
        </w:rPr>
      </w:pPr>
    </w:p>
    <w:p>
      <w:pPr>
        <w:spacing w:after="0" w:line="305"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20"/>
          <w:szCs w:val="20"/>
          <w:color w:val="auto"/>
        </w:rPr>
        <w:t>SECTION 8.2. NOTICES. (a) All notces, requests and demands which any party is required or may desire to give to any other party under any provision of this Agreement must be in writng delivered to each party at the following address: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-26-</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61" w:name="page62"/>
    <w:bookmarkEnd w:id="61"/>
    <w:p>
      <w:pPr>
        <w:ind w:left="360"/>
        <w:spacing w:after="0"/>
        <w:rPr>
          <w:sz w:val="20"/>
          <w:szCs w:val="20"/>
          <w:color w:val="auto"/>
        </w:rPr>
      </w:pPr>
      <w:r>
        <w:rPr>
          <w:rFonts w:ascii="Arial" w:cs="Arial" w:eastAsia="Arial" w:hAnsi="Arial"/>
          <w:sz w:val="20"/>
          <w:szCs w:val="20"/>
          <w:color w:val="auto"/>
        </w:rPr>
        <w:t>BORROWER: ARCTURUS THERAPEUTICS, INC.</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10628 Science Center Drive, Suite 250</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San Diego, California, 92121</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Atn: [***]</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340"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20"/>
          <w:szCs w:val="20"/>
          <w:color w:val="auto"/>
        </w:rPr>
        <w:t>BANK:</w:t>
        <w:tab/>
        <w:t>WELLS FARGO BANK, NATIONAL ASSOCIATION</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30 Hudson Yards, 65th Floor</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New York, NY 10001 MAC J0193-650</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Atn: [***]</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34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or to such other address as any party may designate by writen notce to all other partes. Each such notce, request and demand shall be deemed given or made as follows: (a) if sent by hand delivery, upon delivery; (b) if sent by mail, upon the earlier of the date of receipt or three (3) days afer deposit in the U.S. mail, frst class and postage prepaid; and (c) if sent by telecopy or overnight courier service, upon receipt. Notces delivered through electronic communicatons to the extent provided in paragraph (b) below, shall be efectve as provided in said paragraph (b).</w:t>
      </w:r>
    </w:p>
    <w:p>
      <w:pPr>
        <w:spacing w:after="0" w:line="200" w:lineRule="exact"/>
        <w:rPr>
          <w:sz w:val="20"/>
          <w:szCs w:val="20"/>
          <w:color w:val="auto"/>
        </w:rPr>
      </w:pPr>
    </w:p>
    <w:p>
      <w:pPr>
        <w:spacing w:after="0" w:line="319" w:lineRule="exact"/>
        <w:rPr>
          <w:sz w:val="20"/>
          <w:szCs w:val="20"/>
          <w:color w:val="auto"/>
        </w:rPr>
      </w:pPr>
    </w:p>
    <w:p>
      <w:pPr>
        <w:jc w:val="both"/>
        <w:ind w:firstLine="413"/>
        <w:spacing w:after="0" w:line="286" w:lineRule="auto"/>
        <w:tabs>
          <w:tab w:leader="none" w:pos="8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ELECTRONIC COMMUNICATIONS. Notces and other communicatons to Bank hereunder may be delivered or furnished by electronic communicaton (including e-mail and Internet or intranet websites) pursuant to procedures approved by Bank. Bank or Borrower may, in its discreton, agree to accept notces and other communicatons to it hereunder by electronic communicatons pursuant to procedures approved by it, provided that approval of such procedures may be limited to partcular notces or communicatons. Unless Bank otherwise prescribes, (i) notces and other communicatons sent to an e-mail address shall be deemed received upon the sender’s receipt of an acknowledgement from the intended recipient (such as by the “return receipt requested” functon, as available, return e-mail or other writen acknowledgement), and (ii) notces or communicatons posted to an Internet or intranet website shall be deemed received upon the deemed receipt by the intended recipient at its e-mail address as described in the foregoing clause (i) of notfcaton that such notce or communicaton is available and identfying the website address therefor; provided that, for both clauses (i) and (ii) above, if such notce, email or other communicaton is not sent during the normal business hours of the recipient, such notce, email or other communicaton shall be deemed to have been sent at the opening of business on the next Business Day for the recipient.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-27-</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62" w:name="page63"/>
    <w:bookmarkEnd w:id="62"/>
    <w:p>
      <w:pPr>
        <w:jc w:val="both"/>
        <w:ind w:firstLine="368"/>
        <w:spacing w:after="0" w:line="285" w:lineRule="auto"/>
        <w:rPr>
          <w:sz w:val="20"/>
          <w:szCs w:val="20"/>
          <w:color w:val="auto"/>
        </w:rPr>
      </w:pPr>
      <w:r>
        <w:rPr>
          <w:rFonts w:ascii="Arial" w:cs="Arial" w:eastAsia="Arial" w:hAnsi="Arial"/>
          <w:sz w:val="18"/>
          <w:szCs w:val="18"/>
          <w:color w:val="auto"/>
        </w:rPr>
        <w:t>SECTION 8.3. COSTS, EXPENSES AND ATTORNEYS’ FEES; INDEMNIFICATION. (a) Borrower shall pay to Bank immediately upon demand the full amount of all payments, advances, charges, costs and expenses, including, to the extent permited by applicable Law, reasonable atorneys’ fees (to include outside counsel fees and all allocated costs of Bank’s in-house counsel to the extent permissible), expended or incurred by Bank in connecton with (i) the negotaton and preparaton of this Agreement and the other Loan Documents, Bank’s contnued administraton hereof and thereof, and the preparaton of any amendments and waivers hereto and thereto, (ii) the enforcement of Bank’s rights and/or the collecton of any amounts which become due to Bank under any of the Loan Documents, whether or not suit is brought, and (iii) the prosecuton or defense of any acton in any way related to any of the Loan Documents, including without limitaton, any acton for declaratory relief, whether incurred at the trial or appellate level, in an arbitraton proceeding or otherwise, and including any of the foregoing incurred in connecton with any bankruptcy proceeding (including without limitaton, any adversary proceeding, contested mater or moton brought by Bank or any other person) relatng to Borrower or any other person or entty. Whenever in this Agreement and the other Loan Documents Borrower is obligated to pay for the atorneys’ fees of Bank, or the phrase “reasonable atorneys’ fees” or a similar phrase is used, it shall be Borrower’s obligaton to pay the atorneys’ fees actually incurred or allocated, at standard hourly rates, without regard to any statutory interpretaton, which shall not apply, Borrower hereby waiving the applicaton of any such statute. Notwithstanding anything in this Agreement to the contrary, reasonable atorneys’ fees shall not exceed the amount permited by Law.</w:t>
      </w:r>
    </w:p>
    <w:p>
      <w:pPr>
        <w:spacing w:after="0" w:line="200" w:lineRule="exact"/>
        <w:rPr>
          <w:sz w:val="20"/>
          <w:szCs w:val="20"/>
          <w:color w:val="auto"/>
        </w:rPr>
      </w:pPr>
    </w:p>
    <w:p>
      <w:pPr>
        <w:spacing w:after="0" w:line="301" w:lineRule="exact"/>
        <w:rPr>
          <w:sz w:val="20"/>
          <w:szCs w:val="20"/>
          <w:color w:val="auto"/>
        </w:rPr>
      </w:pPr>
    </w:p>
    <w:p>
      <w:pPr>
        <w:jc w:val="both"/>
        <w:ind w:firstLine="370"/>
        <w:spacing w:after="0" w:line="269" w:lineRule="auto"/>
        <w:tabs>
          <w:tab w:leader="none" w:pos="723" w:val="left"/>
        </w:tabs>
        <w:numPr>
          <w:ilvl w:val="0"/>
          <w:numId w:val="34"/>
        </w:numPr>
        <w:rPr>
          <w:rFonts w:ascii="Arial" w:cs="Arial" w:eastAsia="Arial" w:hAnsi="Arial"/>
          <w:sz w:val="19"/>
          <w:szCs w:val="19"/>
          <w:color w:val="auto"/>
        </w:rPr>
      </w:pPr>
      <w:r>
        <w:rPr>
          <w:rFonts w:ascii="Arial" w:cs="Arial" w:eastAsia="Arial" w:hAnsi="Arial"/>
          <w:sz w:val="19"/>
          <w:szCs w:val="19"/>
          <w:color w:val="auto"/>
        </w:rPr>
        <w:t>Borrower shall indemnify the Bank and each Related Party (each such Person being called an “Indemnitee”) against, and hold each Indemnitee harmless from, any and all losses, claims, damages, liabilites and related reasonably documented and out-of-pocket expenses (including the reasonable fees, charges and disbursements of any counsel for any Indemnitee (limited to one counsel for all Indemnitees taken as a whole and, if reasonably necessary, a single local counsel for all Indemnitees taken as a whole in each relevant jurisdicton and, solely in the case of a confict of interest, one additonal counsel in each relevant jurisdicton to the afected Indemnitees similarly situated taken as a whole)), incurred by any Indemnitee or asserted against any Indemnitee by any Person (including the Borrower) arising out of, in connecton with, or as a result of (i) the executon or delivery of this Agreement, any other Loan Document or any agreement or instrument contemplated hereby or thereby, the performance by the partes hereto of their respectve obligatons hereunder or thereunder or the consummaton of the transactons contemplated hereby or thereby, or the administraton of this Agreement and the other Loan Documents, (ii) any borrowing under the Line of Credit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prospectve claim, litgaton, investgaton or proceeding relatng to any of the foregoing, whether based on contract, tort or any other theory, whether brought by a third party or by the Borrower or any of the Borrower’s directors, shareholders or creditors, and regardless of whether any Indemnitee is a party thereto, IN ALL CASES, WHETHER OR NOT CAUSED BY OR ARISING, IN WHOLE OR IN PART, OUT OF THE COMPARATIVE, CONTRIBUTORY OR SOLE NEGLIGENCE OF THE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-28-</w:t>
            </w:r>
          </w:p>
        </w:tc>
      </w:tr>
      <w:tr>
        <w:trPr>
          <w:trHeight w:val="579"/>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20"/>
          <w:szCs w:val="20"/>
          <w:color w:val="auto"/>
        </w:rPr>
        <w:t>INDEMNITEE; provided that such indemnity shall not, as to any Indemnitee, be available to the extent that such losses, claims, damages, liabilites or related expenses are determined by a court of competent jurisdicton by fnal and nonappealable judgment to have resulted from (A) the gross negligence or willful misconduct of such Indemnitee, (B) a material breach of the obligatons of such Indemnitee under the Loan Documents, or (C) any dispute solely among Indemnitees (other than (x) any claims against Wells Fargo Bank, Natonal Associaton in its capacity as, or in the fulfllment of its role, as Bank and (y) any claims arising out of any act or omission on the part of Borrower or any of its Afliates).</w:t>
      </w:r>
    </w:p>
    <w:p>
      <w:pPr>
        <w:spacing w:after="0" w:line="200" w:lineRule="exact"/>
        <w:rPr>
          <w:sz w:val="20"/>
          <w:szCs w:val="20"/>
          <w:color w:val="auto"/>
        </w:rPr>
      </w:pPr>
    </w:p>
    <w:p>
      <w:pPr>
        <w:spacing w:after="0" w:line="307"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9"/>
          <w:szCs w:val="19"/>
          <w:color w:val="auto"/>
        </w:rPr>
        <w:t>SECTION 8.4. SUCCESSORS, ASSIGNMENT. This Agreement shall be binding upon and inure to the beneft of the heirs, executors, administrators, legal representatves, successors and assigns of the partes; provided however, that (i) Borrower may not assign or transfer its interests or rights hereunder without Bank’s prior writen consent, and (ii) unless (a) an Event of Default has occurred and is contnuing or (b) such assignment is to an Afliate of Bank, Bank may not assign or transfer its interests or rights hereunder without Borrower’s prior writen consent (such consent not to be unreasonably withheld, conditoned or delayed). Subject to the foregoing sentence solely with respect to assignments, Bank reserves the right to sell, assign, transfer, negotate or grant partcipatons in all or any part of, or any interest in, Bank’s rights and benefts under each of the Loan Documents. In connecton therewith, Bank may disclose all documents and informaton which Bank now has or may hereafer acquire relatng to any credit subject hereto, Borrower or its business, any other member of the Consolidated Group or its business, any guarantor hereunder or the business of such guarantor, if any, or any collateral required hereunder. Notwithstanding anything herein to the contrary, Bank may at any tme pledge or assign a security interest in all or any porton of its rights under this Agreement to secure obligatons of Bank, including any pledge or assignment to secure obligatons to a Federal Reserve Bank; provided that no such pledge or assignment shall release Bank from any of its obligatons hereunder or substtute any such pledgee or assignee for Bank as a party hereto.</w:t>
      </w:r>
    </w:p>
    <w:p>
      <w:pPr>
        <w:spacing w:after="0" w:line="200" w:lineRule="exact"/>
        <w:rPr>
          <w:sz w:val="20"/>
          <w:szCs w:val="20"/>
          <w:color w:val="auto"/>
        </w:rPr>
      </w:pPr>
    </w:p>
    <w:p>
      <w:pPr>
        <w:spacing w:after="0" w:line="302" w:lineRule="exact"/>
        <w:rPr>
          <w:sz w:val="20"/>
          <w:szCs w:val="20"/>
          <w:color w:val="auto"/>
        </w:rPr>
      </w:pPr>
    </w:p>
    <w:p>
      <w:pPr>
        <w:jc w:val="both"/>
        <w:ind w:firstLine="367"/>
        <w:spacing w:after="0" w:line="260" w:lineRule="auto"/>
        <w:rPr>
          <w:sz w:val="20"/>
          <w:szCs w:val="20"/>
          <w:color w:val="auto"/>
        </w:rPr>
      </w:pPr>
      <w:r>
        <w:rPr>
          <w:rFonts w:ascii="Arial" w:cs="Arial" w:eastAsia="Arial" w:hAnsi="Arial"/>
          <w:sz w:val="20"/>
          <w:szCs w:val="20"/>
          <w:color w:val="auto"/>
        </w:rPr>
        <w:t>SECTION 8.5. ENTIRE AGREEMENT; AMENDMENT. To the full extent permited by Law, this Agreement and the other Loan Documents consttute the entre agreement between Borrower and Bank with respect to each credit subject hereto and supersede all prior negotatons, communicatons, discussions and correspondence concerning the subject mater hereof. This Agreement may be amended or modifed only in writng signed by each party hereto.</w:t>
      </w:r>
    </w:p>
    <w:p>
      <w:pPr>
        <w:spacing w:after="0" w:line="200" w:lineRule="exact"/>
        <w:rPr>
          <w:sz w:val="20"/>
          <w:szCs w:val="20"/>
          <w:color w:val="auto"/>
        </w:rPr>
      </w:pPr>
    </w:p>
    <w:p>
      <w:pPr>
        <w:spacing w:after="0" w:line="315" w:lineRule="exact"/>
        <w:rPr>
          <w:sz w:val="20"/>
          <w:szCs w:val="20"/>
          <w:color w:val="auto"/>
        </w:rPr>
      </w:pPr>
    </w:p>
    <w:p>
      <w:pPr>
        <w:jc w:val="both"/>
        <w:ind w:firstLine="378"/>
        <w:spacing w:after="0" w:line="260" w:lineRule="auto"/>
        <w:rPr>
          <w:sz w:val="20"/>
          <w:szCs w:val="20"/>
          <w:color w:val="auto"/>
        </w:rPr>
      </w:pPr>
      <w:r>
        <w:rPr>
          <w:rFonts w:ascii="Arial" w:cs="Arial" w:eastAsia="Arial" w:hAnsi="Arial"/>
          <w:sz w:val="20"/>
          <w:szCs w:val="20"/>
          <w:color w:val="auto"/>
        </w:rPr>
        <w:t>SECTION 8.6. NO THIRD PARTY BENEFICIARIES. This Agreement is made and entered into for the sole protecton and beneft of the partes hereto and their respectve permited successors and assigns, and no other person or entty shall be a third party benefciary of, or have any direct or indirect cause of acton or claim in connecton with, this Agreement or any other of the Loan Documents to which it is not a party.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-29-</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64" w:name="page65"/>
    <w:bookmarkEnd w:id="64"/>
    <w:p>
      <w:pPr>
        <w:ind w:left="360"/>
        <w:spacing w:after="0"/>
        <w:rPr>
          <w:sz w:val="20"/>
          <w:szCs w:val="20"/>
          <w:color w:val="auto"/>
        </w:rPr>
      </w:pPr>
      <w:r>
        <w:rPr>
          <w:rFonts w:ascii="Arial" w:cs="Arial" w:eastAsia="Arial" w:hAnsi="Arial"/>
          <w:sz w:val="18"/>
          <w:szCs w:val="18"/>
          <w:color w:val="auto"/>
        </w:rPr>
        <w:t>SECTION 8.7. TIME. Time is of the essence of each and every provision of this Agreement and each other of the Loan Documents.</w:t>
      </w:r>
    </w:p>
    <w:p>
      <w:pPr>
        <w:spacing w:after="0" w:line="200" w:lineRule="exact"/>
        <w:rPr>
          <w:sz w:val="20"/>
          <w:szCs w:val="20"/>
          <w:color w:val="auto"/>
        </w:rPr>
      </w:pPr>
    </w:p>
    <w:p>
      <w:pPr>
        <w:spacing w:after="0" w:line="363" w:lineRule="exact"/>
        <w:rPr>
          <w:sz w:val="20"/>
          <w:szCs w:val="20"/>
          <w:color w:val="auto"/>
        </w:rPr>
      </w:pPr>
    </w:p>
    <w:p>
      <w:pPr>
        <w:jc w:val="both"/>
        <w:ind w:firstLine="367"/>
        <w:spacing w:after="0" w:line="264" w:lineRule="auto"/>
        <w:rPr>
          <w:sz w:val="20"/>
          <w:szCs w:val="20"/>
          <w:color w:val="auto"/>
        </w:rPr>
      </w:pPr>
      <w:r>
        <w:rPr>
          <w:rFonts w:ascii="Arial" w:cs="Arial" w:eastAsia="Arial" w:hAnsi="Arial"/>
          <w:sz w:val="20"/>
          <w:szCs w:val="20"/>
          <w:color w:val="auto"/>
        </w:rPr>
        <w:t>SECTION 8.8. SEVERABILITY OF PROVISIONS. If any provision of this Agreement shall be prohibited by or invalid under applicable Law, such provision shall be inefectve only to the extent of such prohibiton or invalidity without invalidatng the remainder of such provision or any remaining provisions of this Agreement.</w:t>
      </w:r>
    </w:p>
    <w:p>
      <w:pPr>
        <w:spacing w:after="0" w:line="200" w:lineRule="exact"/>
        <w:rPr>
          <w:sz w:val="20"/>
          <w:szCs w:val="20"/>
          <w:color w:val="auto"/>
        </w:rPr>
      </w:pPr>
    </w:p>
    <w:p>
      <w:pPr>
        <w:spacing w:after="0" w:line="297" w:lineRule="exact"/>
        <w:rPr>
          <w:sz w:val="20"/>
          <w:szCs w:val="20"/>
          <w:color w:val="auto"/>
        </w:rPr>
      </w:pPr>
    </w:p>
    <w:p>
      <w:pPr>
        <w:jc w:val="both"/>
        <w:ind w:firstLine="378"/>
        <w:spacing w:after="0" w:line="332" w:lineRule="auto"/>
        <w:rPr>
          <w:sz w:val="20"/>
          <w:szCs w:val="20"/>
          <w:color w:val="auto"/>
        </w:rPr>
      </w:pPr>
      <w:r>
        <w:rPr>
          <w:rFonts w:ascii="Arial" w:cs="Arial" w:eastAsia="Arial" w:hAnsi="Arial"/>
          <w:sz w:val="18"/>
          <w:szCs w:val="18"/>
          <w:color w:val="auto"/>
        </w:rPr>
        <w:t>SECTION 8.9. COUNTERPARTS. This Agreement may be executed in any number of counterparts, each of which when executed and delivered shall be deemed to be an original, and all of which when taken together shall consttute one and the same Agreement.</w:t>
      </w:r>
    </w:p>
    <w:p>
      <w:pPr>
        <w:spacing w:after="0" w:line="200" w:lineRule="exact"/>
        <w:rPr>
          <w:sz w:val="20"/>
          <w:szCs w:val="20"/>
          <w:color w:val="auto"/>
        </w:rPr>
      </w:pPr>
    </w:p>
    <w:p>
      <w:pPr>
        <w:spacing w:after="0" w:line="253" w:lineRule="exact"/>
        <w:rPr>
          <w:sz w:val="20"/>
          <w:szCs w:val="20"/>
          <w:color w:val="auto"/>
        </w:rPr>
      </w:pPr>
    </w:p>
    <w:p>
      <w:pPr>
        <w:jc w:val="both"/>
        <w:ind w:firstLine="379"/>
        <w:spacing w:after="0" w:line="264" w:lineRule="auto"/>
        <w:rPr>
          <w:sz w:val="20"/>
          <w:szCs w:val="20"/>
          <w:color w:val="auto"/>
        </w:rPr>
      </w:pPr>
      <w:r>
        <w:rPr>
          <w:rFonts w:ascii="Arial" w:cs="Arial" w:eastAsia="Arial" w:hAnsi="Arial"/>
          <w:sz w:val="20"/>
          <w:szCs w:val="20"/>
          <w:color w:val="auto"/>
        </w:rPr>
        <w:t>SECTION 8.10. GOVERNING LAW. This Agreement shall be governed by and construed in accordance with the Laws of New York (such State is referred to herein as the “State”), but giving efect to federal Laws applicable to natonal banks, without reference to the conficts of Law or choice of Law principles thereof.</w:t>
      </w:r>
    </w:p>
    <w:p>
      <w:pPr>
        <w:spacing w:after="0" w:line="200" w:lineRule="exact"/>
        <w:rPr>
          <w:sz w:val="20"/>
          <w:szCs w:val="20"/>
          <w:color w:val="auto"/>
        </w:rPr>
      </w:pPr>
    </w:p>
    <w:p>
      <w:pPr>
        <w:spacing w:after="0" w:line="297" w:lineRule="exact"/>
        <w:rPr>
          <w:sz w:val="20"/>
          <w:szCs w:val="20"/>
          <w:color w:val="auto"/>
        </w:rPr>
      </w:pPr>
    </w:p>
    <w:p>
      <w:pPr>
        <w:jc w:val="both"/>
        <w:ind w:firstLine="374"/>
        <w:spacing w:after="0" w:line="260" w:lineRule="auto"/>
        <w:rPr>
          <w:sz w:val="20"/>
          <w:szCs w:val="20"/>
          <w:color w:val="auto"/>
        </w:rPr>
      </w:pPr>
      <w:r>
        <w:rPr>
          <w:rFonts w:ascii="Arial" w:cs="Arial" w:eastAsia="Arial" w:hAnsi="Arial"/>
          <w:sz w:val="20"/>
          <w:szCs w:val="20"/>
          <w:color w:val="auto"/>
        </w:rPr>
        <w:t>SECTION 8.11. BUSINESS PURPOSE. Borrower represents and warrants that each credit subject hereto is made for (a) a business, commercial, investment, agricultural or other similar purpose, (b) the purpose of acquiring or carrying on a business, professional or commercial actvity, or (c) the purpose of acquiring any real or personal property as an investment and not primarily for a personal, family or household use.</w:t>
      </w:r>
    </w:p>
    <w:p>
      <w:pPr>
        <w:spacing w:after="0" w:line="200" w:lineRule="exact"/>
        <w:rPr>
          <w:sz w:val="20"/>
          <w:szCs w:val="20"/>
          <w:color w:val="auto"/>
        </w:rPr>
      </w:pPr>
    </w:p>
    <w:p>
      <w:pPr>
        <w:spacing w:after="0" w:line="302" w:lineRule="exact"/>
        <w:rPr>
          <w:sz w:val="20"/>
          <w:szCs w:val="20"/>
          <w:color w:val="auto"/>
        </w:rPr>
      </w:pPr>
    </w:p>
    <w:p>
      <w:pPr>
        <w:jc w:val="both"/>
        <w:ind w:firstLine="371"/>
        <w:spacing w:after="0" w:line="283" w:lineRule="auto"/>
        <w:rPr>
          <w:sz w:val="20"/>
          <w:szCs w:val="20"/>
          <w:color w:val="auto"/>
        </w:rPr>
      </w:pPr>
      <w:r>
        <w:rPr>
          <w:rFonts w:ascii="Arial" w:cs="Arial" w:eastAsia="Arial" w:hAnsi="Arial"/>
          <w:sz w:val="18"/>
          <w:szCs w:val="18"/>
          <w:color w:val="auto"/>
        </w:rPr>
        <w:t>SECTION 8.12. RIGHT OF SETOFF; DEPOSIT ACCOUNTS. Upon and afer the occurrence of an Event of Default, (a) Borrower hereby authorizes Bank, at any tme and from tme to tme, without notce, which is hereby expressly waived by Borrower, and whether or not Bank shall have declared any credit subject hereto to be due and payable in accordance with the terms hereof, to set of against, and to appropriate and apply to the payment of, the Obligatons (whether matured or unmatured, fxed or contngent, liquidated or unliquidated), any and all amounts owing by Bank to Borrower (whether payable in U.S. dollars or any other currency, whether matured or unmatured, and in the case of deposits, whether general or special (except trust and escrow accounts), tme or demand and however evidenced), and</w:t>
      </w:r>
    </w:p>
    <w:p>
      <w:pPr>
        <w:spacing w:after="0" w:line="1" w:lineRule="exact"/>
        <w:rPr>
          <w:sz w:val="20"/>
          <w:szCs w:val="20"/>
          <w:color w:val="auto"/>
        </w:rPr>
      </w:pPr>
    </w:p>
    <w:p>
      <w:pPr>
        <w:jc w:val="both"/>
        <w:ind w:firstLine="8"/>
        <w:spacing w:after="0" w:line="256" w:lineRule="auto"/>
        <w:tabs>
          <w:tab w:leader="none" w:pos="276" w:val="left"/>
        </w:tabs>
        <w:numPr>
          <w:ilvl w:val="0"/>
          <w:numId w:val="35"/>
        </w:numPr>
        <w:rPr>
          <w:rFonts w:ascii="Arial" w:cs="Arial" w:eastAsia="Arial" w:hAnsi="Arial"/>
          <w:sz w:val="20"/>
          <w:szCs w:val="20"/>
          <w:color w:val="auto"/>
        </w:rPr>
      </w:pPr>
      <w:r>
        <w:rPr>
          <w:rFonts w:ascii="Arial" w:cs="Arial" w:eastAsia="Arial" w:hAnsi="Arial"/>
          <w:sz w:val="20"/>
          <w:szCs w:val="20"/>
          <w:color w:val="auto"/>
        </w:rPr>
        <w:t>pending any such acton, to the extent necessary, to hold such amounts as collateral to secure such Obligatons and to return as unpaid for insufcient funds any and all checks and other items drawn against any deposits so held as Bank, in its sole discreton, may elect. Bank may exercise this remedy regardless of the adequacy of any collateral for the obligatons of Borrower to Bank and whether or not the Bank is otherwise fully secured. Borrower hereby grants to Bank a security interest in all deposits and accounts maintained with Bank to secure the payment of all Obligatons under the Loan Documents.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-30-</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65" w:name="page66"/>
    <w:bookmarkEnd w:id="65"/>
    <w:p>
      <w:pPr>
        <w:ind w:left="360"/>
        <w:spacing w:after="0"/>
        <w:tabs>
          <w:tab w:leader="none" w:pos="1780" w:val="left"/>
        </w:tabs>
        <w:rPr>
          <w:sz w:val="20"/>
          <w:szCs w:val="20"/>
          <w:color w:val="auto"/>
        </w:rPr>
      </w:pPr>
      <w:r>
        <w:rPr>
          <w:rFonts w:ascii="Arial" w:cs="Arial" w:eastAsia="Arial" w:hAnsi="Arial"/>
          <w:sz w:val="20"/>
          <w:szCs w:val="20"/>
          <w:color w:val="auto"/>
        </w:rPr>
        <w:t>SECTION 8.13.</w:t>
      </w:r>
      <w:r>
        <w:rPr>
          <w:sz w:val="20"/>
          <w:szCs w:val="20"/>
          <w:color w:val="auto"/>
        </w:rPr>
        <w:tab/>
      </w:r>
      <w:r>
        <w:rPr>
          <w:rFonts w:ascii="Arial" w:cs="Arial" w:eastAsia="Arial" w:hAnsi="Arial"/>
          <w:sz w:val="16"/>
          <w:szCs w:val="16"/>
          <w:color w:val="auto"/>
        </w:rPr>
        <w:t>ARBITRATION.</w:t>
      </w:r>
    </w:p>
    <w:p>
      <w:pPr>
        <w:spacing w:after="0" w:line="200" w:lineRule="exact"/>
        <w:rPr>
          <w:sz w:val="20"/>
          <w:szCs w:val="20"/>
          <w:color w:val="auto"/>
        </w:rPr>
      </w:pPr>
    </w:p>
    <w:p>
      <w:pPr>
        <w:spacing w:after="0" w:line="353" w:lineRule="exact"/>
        <w:rPr>
          <w:sz w:val="20"/>
          <w:szCs w:val="20"/>
          <w:color w:val="auto"/>
        </w:rPr>
      </w:pPr>
    </w:p>
    <w:p>
      <w:pPr>
        <w:jc w:val="both"/>
        <w:ind w:firstLine="403"/>
        <w:spacing w:after="0" w:line="256" w:lineRule="auto"/>
        <w:tabs>
          <w:tab w:leader="none" w:pos="789" w:val="left"/>
        </w:tabs>
        <w:numPr>
          <w:ilvl w:val="2"/>
          <w:numId w:val="36"/>
        </w:numPr>
        <w:rPr>
          <w:rFonts w:ascii="Arial" w:cs="Arial" w:eastAsia="Arial" w:hAnsi="Arial"/>
          <w:sz w:val="20"/>
          <w:szCs w:val="20"/>
          <w:color w:val="auto"/>
        </w:rPr>
      </w:pPr>
      <w:r>
        <w:rPr>
          <w:rFonts w:ascii="Arial" w:cs="Arial" w:eastAsia="Arial" w:hAnsi="Arial"/>
          <w:sz w:val="20"/>
          <w:szCs w:val="20"/>
          <w:u w:val="single" w:color="auto"/>
          <w:color w:val="auto"/>
        </w:rPr>
        <w:t>Arbitraton</w:t>
      </w:r>
      <w:r>
        <w:rPr>
          <w:rFonts w:ascii="Arial" w:cs="Arial" w:eastAsia="Arial" w:hAnsi="Arial"/>
          <w:sz w:val="20"/>
          <w:szCs w:val="20"/>
          <w:color w:val="auto"/>
        </w:rPr>
        <w:t>. The partes hereto agree, upon demand by any party, to submit to binding arbitraton all claims, disputes and controversies between or among them (and their respectve employees, ofcers, directors, atorneys, and other agents), whether in tort, contract or otherwise in any way arising out of or relatng to (i) any credit subject hereto, or any of the Loan Documents, and their negotaton, executon, collateralizaton, administraton, repayment, modifcaton, extension, substtuton, formaton, inducement, enforcement, default or terminaton; or (ii) requests for additonal credit. In the event of a court ordered arbitraton, the party requestng arbitraton shall be responsible for tmely fling the demand for arbitraton and paying the appropriate fling fee within 30 days of the abatement order or the tme specifed by the court. Failure to tmely fle the demand for arbitraton as ordered by the court will result in that party’s right to demand arbitraton being automatcally terminated.</w:t>
      </w:r>
    </w:p>
    <w:p>
      <w:pPr>
        <w:spacing w:after="0" w:line="200" w:lineRule="exact"/>
        <w:rPr>
          <w:rFonts w:ascii="Arial" w:cs="Arial" w:eastAsia="Arial" w:hAnsi="Arial"/>
          <w:sz w:val="20"/>
          <w:szCs w:val="20"/>
          <w:color w:val="auto"/>
        </w:rPr>
      </w:pPr>
    </w:p>
    <w:p>
      <w:pPr>
        <w:spacing w:after="0" w:line="308" w:lineRule="exact"/>
        <w:rPr>
          <w:rFonts w:ascii="Arial" w:cs="Arial" w:eastAsia="Arial" w:hAnsi="Arial"/>
          <w:sz w:val="20"/>
          <w:szCs w:val="20"/>
          <w:color w:val="auto"/>
        </w:rPr>
      </w:pPr>
    </w:p>
    <w:p>
      <w:pPr>
        <w:jc w:val="both"/>
        <w:ind w:firstLine="399"/>
        <w:spacing w:after="0" w:line="270" w:lineRule="auto"/>
        <w:tabs>
          <w:tab w:leader="none" w:pos="783" w:val="left"/>
        </w:tabs>
        <w:numPr>
          <w:ilvl w:val="2"/>
          <w:numId w:val="36"/>
        </w:numPr>
        <w:rPr>
          <w:rFonts w:ascii="Arial" w:cs="Arial" w:eastAsia="Arial" w:hAnsi="Arial"/>
          <w:sz w:val="19"/>
          <w:szCs w:val="19"/>
          <w:color w:val="auto"/>
        </w:rPr>
      </w:pPr>
      <w:r>
        <w:rPr>
          <w:rFonts w:ascii="Arial" w:cs="Arial" w:eastAsia="Arial" w:hAnsi="Arial"/>
          <w:sz w:val="19"/>
          <w:szCs w:val="19"/>
          <w:u w:val="single" w:color="auto"/>
          <w:color w:val="auto"/>
        </w:rPr>
        <w:t>Governing Rules</w:t>
      </w:r>
      <w:r>
        <w:rPr>
          <w:rFonts w:ascii="Arial" w:cs="Arial" w:eastAsia="Arial" w:hAnsi="Arial"/>
          <w:sz w:val="19"/>
          <w:szCs w:val="19"/>
          <w:color w:val="auto"/>
        </w:rPr>
        <w:t>. Any arbitraton proceeding will (i) proceed in a locaton in the State selected by the American Arbitraton Associaton (“AAA”); (ii) be governed by the Federal Arbitraton Act (Title 9 of the United States Code), notwithstanding any confictng choice of Law provision in any of the documents between the partes; and (iii) be conducted by the AAA, or such other administrator as the partes shall mutually agree upon, in accordance with the AAA’s commercial dispute resoluton procedures, unless the claim or counterclaim is at least $1,000,000.00 exclusive of claimed interest, arbitraton fees and costs in which case the arbitraton shall be conducted in accordance with the AAA’s optonal procedures for large, complex commercial disputes (the commercial dispute resoluton procedures or the optonal procedures for large, complex commercial disputes to be referred to herein, as applicable, as the “Rules”). If there is any inconsistency between the terms hereof and the Rules, the terms and procedures set forth herein shall control. Any party who fails or refuses to submit to arbitraton following a demand by any other party shall bear all costs and expenses incurred by such other party in compelling arbitraton of any dispute. Nothing contained herein shall be deemed to be a waiver by any party that is a bank of the protectons aforded to it under 12 U.S.C. §91 or any similar applicable state Law.</w:t>
      </w:r>
    </w:p>
    <w:p>
      <w:pPr>
        <w:spacing w:after="0" w:line="200" w:lineRule="exact"/>
        <w:rPr>
          <w:rFonts w:ascii="Arial" w:cs="Arial" w:eastAsia="Arial" w:hAnsi="Arial"/>
          <w:sz w:val="19"/>
          <w:szCs w:val="19"/>
          <w:color w:val="auto"/>
        </w:rPr>
      </w:pPr>
    </w:p>
    <w:p>
      <w:pPr>
        <w:spacing w:after="0" w:line="295" w:lineRule="exact"/>
        <w:rPr>
          <w:rFonts w:ascii="Arial" w:cs="Arial" w:eastAsia="Arial" w:hAnsi="Arial"/>
          <w:sz w:val="19"/>
          <w:szCs w:val="19"/>
          <w:color w:val="auto"/>
        </w:rPr>
      </w:pPr>
    </w:p>
    <w:p>
      <w:pPr>
        <w:ind w:left="740" w:hanging="371"/>
        <w:spacing w:after="0"/>
        <w:tabs>
          <w:tab w:leader="none" w:pos="7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 Waiver of Provisional Remedies, Self-Help and Foreclosure</w:t>
      </w:r>
      <w:r>
        <w:rPr>
          <w:rFonts w:ascii="Arial" w:cs="Arial" w:eastAsia="Arial" w:hAnsi="Arial"/>
          <w:sz w:val="18"/>
          <w:szCs w:val="18"/>
          <w:color w:val="auto"/>
        </w:rPr>
        <w:t>. The arbitraton requirement does not limit the right of any party to</w:t>
      </w:r>
    </w:p>
    <w:p>
      <w:pPr>
        <w:spacing w:after="0" w:line="43" w:lineRule="exact"/>
        <w:rPr>
          <w:rFonts w:ascii="Arial" w:cs="Arial" w:eastAsia="Arial" w:hAnsi="Arial"/>
          <w:sz w:val="18"/>
          <w:szCs w:val="18"/>
          <w:color w:val="auto"/>
        </w:rPr>
      </w:pPr>
    </w:p>
    <w:p>
      <w:pPr>
        <w:jc w:val="both"/>
        <w:ind w:firstLine="8"/>
        <w:spacing w:after="0" w:line="256" w:lineRule="auto"/>
        <w:tabs>
          <w:tab w:leader="none" w:pos="212" w:val="left"/>
        </w:tabs>
        <w:numPr>
          <w:ilvl w:val="0"/>
          <w:numId w:val="38"/>
        </w:numPr>
        <w:rPr>
          <w:rFonts w:ascii="Arial" w:cs="Arial" w:eastAsia="Arial" w:hAnsi="Arial"/>
          <w:sz w:val="20"/>
          <w:szCs w:val="20"/>
          <w:color w:val="auto"/>
        </w:rPr>
      </w:pPr>
      <w:r>
        <w:rPr>
          <w:rFonts w:ascii="Arial" w:cs="Arial" w:eastAsia="Arial" w:hAnsi="Arial"/>
          <w:sz w:val="20"/>
          <w:szCs w:val="20"/>
          <w:color w:val="auto"/>
        </w:rPr>
        <w:t>foreclose against real or personal property collateral; (ii) exercise self-help remedies relatng to collateral or proceeds of collateral such as setof or repossession; or (iii) obtain provisional or ancillary remedies such as replevin, injunctve relief, atachment or the appointment of a receiver, before during or afer the pendency of any arbitraton proceeding. This exclusion does not consttute a waiver of the right or obligaton of any party to submit any dispute to arbitraton or reference hereunder, including those arising from the exercise of the actons detailed in sectons (i), (ii) and (iii) of this paragraph.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-31-</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66" w:name="page67"/>
    <w:bookmarkEnd w:id="66"/>
    <w:p>
      <w:pPr>
        <w:jc w:val="both"/>
        <w:ind w:firstLine="393"/>
        <w:spacing w:after="0" w:line="269" w:lineRule="auto"/>
        <w:tabs>
          <w:tab w:leader="none" w:pos="770"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Arbitrator Qualifcatons and Powers</w:t>
      </w:r>
      <w:r>
        <w:rPr>
          <w:rFonts w:ascii="Arial" w:cs="Arial" w:eastAsia="Arial" w:hAnsi="Arial"/>
          <w:sz w:val="19"/>
          <w:szCs w:val="19"/>
          <w:color w:val="auto"/>
        </w:rPr>
        <w:t>. Any arbitraton proceeding in which the amount in controversy is $[***] or less will be decided by a single arbitrator selected according to the Rules, and who shall not render an award of greater than $[***]. Any dispute in which the amount in controversy exceeds $[***] shall be decided by majority vote of a panel of three arbitrators; provided however, that all three arbitrators must actvely partcipate in all hearings and deliberatons. The arbitrator will be a neutral atorney licensed in the State or a neutral retred judge of the state or federal judiciary of the State, in either case with a minimum of [***] in the substantve Law applicable to the subject mater of the dispute to be arbitrated. The arbitrator will determine whether or not an issue is arbitratable and will give efect to the statutes of limitaton in determining any claim. In any arbitraton proceeding the arbitrator will decide (by documents only or with a hearing at the arbitrator’s discreton) any pre-hearing motons which are similar to motons to dismiss for failure to state a claim or motons for summary adjudicaton. The arbitrator shall resolve all disputes in accordance with the substantve Law of the State and may grant any remedy or relief that a court of such state could order or grant within the scope hereof and such ancillary relief as is necessary to make efectve any award. The arbitrator shall also have the power to award recovery of all costs and fees, to impose sanctons and to take such other acton as the arbitrator deems necessary to the same extent a judge could pursuant to the Federal Rules of Civil Procedure, the corresponding rules of civil practce and procedure applicable in the State or other applicable Law. Judgment upon the award rendered by the arbitrator may be entered in any court having jurisdicton. The insttuton and maintenance of an acton for judicial relief or pursuit of a provisional or ancillary remedy shall not consttute a waiver of the right of any party, including the plaintf, to submit the controversy or claim to arbitraton if any other party contests such acton for judicial relief.</w:t>
      </w:r>
    </w:p>
    <w:p>
      <w:pPr>
        <w:spacing w:after="0" w:line="200" w:lineRule="exact"/>
        <w:rPr>
          <w:rFonts w:ascii="Arial" w:cs="Arial" w:eastAsia="Arial" w:hAnsi="Arial"/>
          <w:sz w:val="19"/>
          <w:szCs w:val="19"/>
          <w:color w:val="auto"/>
        </w:rPr>
      </w:pPr>
    </w:p>
    <w:p>
      <w:pPr>
        <w:spacing w:after="0" w:line="296" w:lineRule="exact"/>
        <w:rPr>
          <w:rFonts w:ascii="Arial" w:cs="Arial" w:eastAsia="Arial" w:hAnsi="Arial"/>
          <w:sz w:val="19"/>
          <w:szCs w:val="19"/>
          <w:color w:val="auto"/>
        </w:rPr>
      </w:pPr>
    </w:p>
    <w:p>
      <w:pPr>
        <w:jc w:val="both"/>
        <w:ind w:firstLine="370"/>
        <w:spacing w:after="0" w:line="258" w:lineRule="auto"/>
        <w:tabs>
          <w:tab w:leader="none" w:pos="72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Discovery</w:t>
      </w:r>
      <w:r>
        <w:rPr>
          <w:rFonts w:ascii="Arial" w:cs="Arial" w:eastAsia="Arial" w:hAnsi="Arial"/>
          <w:sz w:val="20"/>
          <w:szCs w:val="20"/>
          <w:color w:val="auto"/>
        </w:rPr>
        <w:t>. In any arbitraton proceeding, discovery will be permited in accordance with the Rules. All discovery shall be expressly limited to maters directly relevant to the dispute being arbitrated and must be completed no later than 20 days before the hearing date. Any requests for an extension of the discovery periods, or any discovery disputes, will be subject to fnal determinaton by the arbitrator upon a showing that the request for discovery is essental for the party’s presentaton and that no alternatve means for obtaining informaton is available.</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jc w:val="both"/>
        <w:ind w:firstLine="373"/>
        <w:spacing w:after="0" w:line="284" w:lineRule="auto"/>
        <w:tabs>
          <w:tab w:leader="none" w:pos="729"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Class Proceedings and Consolidatons</w:t>
      </w:r>
      <w:r>
        <w:rPr>
          <w:rFonts w:ascii="Arial" w:cs="Arial" w:eastAsia="Arial" w:hAnsi="Arial"/>
          <w:sz w:val="19"/>
          <w:szCs w:val="19"/>
          <w:color w:val="auto"/>
        </w:rPr>
        <w:t>. No party hereto shall be enttled to join or consolidate disputes by or against others in any arbitraton, except partes who have executed any Loan Document, or to include in any arbitraton any dispute as a representatve or member of a class, or to act in any arbitraton in the interest of the general public or in a private atorney general capacity.</w:t>
      </w:r>
    </w:p>
    <w:p>
      <w:pPr>
        <w:spacing w:after="0" w:line="200" w:lineRule="exact"/>
        <w:rPr>
          <w:rFonts w:ascii="Arial" w:cs="Arial" w:eastAsia="Arial" w:hAnsi="Arial"/>
          <w:sz w:val="19"/>
          <w:szCs w:val="19"/>
          <w:color w:val="auto"/>
        </w:rPr>
      </w:pPr>
    </w:p>
    <w:p>
      <w:pPr>
        <w:spacing w:after="0" w:line="293" w:lineRule="exact"/>
        <w:rPr>
          <w:rFonts w:ascii="Arial" w:cs="Arial" w:eastAsia="Arial" w:hAnsi="Arial"/>
          <w:sz w:val="19"/>
          <w:szCs w:val="19"/>
          <w:color w:val="auto"/>
        </w:rPr>
      </w:pPr>
    </w:p>
    <w:p>
      <w:pPr>
        <w:ind w:left="720" w:hanging="354"/>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Payment of Arbitraton Costs and Fees</w:t>
      </w:r>
      <w:r>
        <w:rPr>
          <w:rFonts w:ascii="Arial" w:cs="Arial" w:eastAsia="Arial" w:hAnsi="Arial"/>
          <w:sz w:val="20"/>
          <w:szCs w:val="20"/>
          <w:color w:val="auto"/>
        </w:rPr>
        <w:t>. The arbitrator shall award all costs and expenses of the arbitraton proceeding.</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ind w:firstLine="395"/>
        <w:spacing w:after="0" w:line="274" w:lineRule="auto"/>
        <w:tabs>
          <w:tab w:leader="none" w:pos="775"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To the maximum extent practcable, the AAA, the arbitrators and the partes shall take all acton required to conclude any arbitraton proceeding within 180 days of the fling of the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-32-</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67" w:name="page68"/>
    <w:bookmarkEnd w:id="67"/>
    <w:p>
      <w:pPr>
        <w:jc w:val="both"/>
        <w:spacing w:after="0" w:line="258" w:lineRule="auto"/>
        <w:rPr>
          <w:sz w:val="20"/>
          <w:szCs w:val="20"/>
          <w:color w:val="auto"/>
        </w:rPr>
      </w:pPr>
      <w:r>
        <w:rPr>
          <w:rFonts w:ascii="Arial" w:cs="Arial" w:eastAsia="Arial" w:hAnsi="Arial"/>
          <w:sz w:val="20"/>
          <w:szCs w:val="20"/>
          <w:color w:val="auto"/>
        </w:rPr>
        <w:t>dispute with the AAA. No arbitrator or other party to an arbitraton proceeding may disclose the existence, content or results thereof, except for disclosures of informaton by a party required in the ordinary course of its business or by applicable Law. If more than one agreement for arbitraton by or between the partes potentally applies to a dispute, the arbitraton provision most directly related to the Loan Documents or the subject mater of the dispute shall control. This arbitraton provision shall survive terminaton, amendment or expiraton of any of the Loan Documents or any relatonship between the partes.</w:t>
      </w:r>
    </w:p>
    <w:p>
      <w:pPr>
        <w:spacing w:after="0" w:line="200" w:lineRule="exact"/>
        <w:rPr>
          <w:sz w:val="20"/>
          <w:szCs w:val="20"/>
          <w:color w:val="auto"/>
        </w:rPr>
      </w:pPr>
    </w:p>
    <w:p>
      <w:pPr>
        <w:spacing w:after="0" w:line="305" w:lineRule="exact"/>
        <w:rPr>
          <w:sz w:val="20"/>
          <w:szCs w:val="20"/>
          <w:color w:val="auto"/>
        </w:rPr>
      </w:pPr>
    </w:p>
    <w:p>
      <w:pPr>
        <w:jc w:val="both"/>
        <w:ind w:firstLine="374"/>
        <w:spacing w:after="0" w:line="306" w:lineRule="auto"/>
        <w:tabs>
          <w:tab w:leader="none" w:pos="73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Small Claims Court</w:t>
      </w:r>
      <w:r>
        <w:rPr>
          <w:rFonts w:ascii="Arial" w:cs="Arial" w:eastAsia="Arial" w:hAnsi="Arial"/>
          <w:sz w:val="18"/>
          <w:szCs w:val="18"/>
          <w:color w:val="auto"/>
        </w:rPr>
        <w:t>. Notwithstanding anything herein to the contrary, each party retains the right to pursue in Small Claims Court any dispute within that court’s jurisdicton. Further, this arbitraton provision shall apply only to disputes in which either party seeks to recover an amount of money (excluding atorneys’ fees and costs) that exceeds the jurisdictonal limit of the Small Claims Court.</w:t>
      </w:r>
    </w:p>
    <w:p>
      <w:pPr>
        <w:spacing w:after="0" w:line="200" w:lineRule="exact"/>
        <w:rPr>
          <w:sz w:val="20"/>
          <w:szCs w:val="20"/>
          <w:color w:val="auto"/>
        </w:rPr>
      </w:pPr>
    </w:p>
    <w:p>
      <w:pPr>
        <w:spacing w:after="0" w:line="264" w:lineRule="exact"/>
        <w:rPr>
          <w:sz w:val="20"/>
          <w:szCs w:val="20"/>
          <w:color w:val="auto"/>
        </w:rPr>
      </w:pPr>
    </w:p>
    <w:p>
      <w:pPr>
        <w:jc w:val="both"/>
        <w:ind w:firstLine="373"/>
        <w:spacing w:after="0" w:line="257" w:lineRule="auto"/>
        <w:rPr>
          <w:sz w:val="20"/>
          <w:szCs w:val="20"/>
          <w:color w:val="auto"/>
        </w:rPr>
      </w:pPr>
      <w:r>
        <w:rPr>
          <w:rFonts w:ascii="Arial" w:cs="Arial" w:eastAsia="Arial" w:hAnsi="Arial"/>
          <w:sz w:val="20"/>
          <w:szCs w:val="20"/>
          <w:color w:val="auto"/>
        </w:rPr>
        <w:t>SECTION 8.14. SURVIVAL. All covenants, agreements, representatons and warrantes made by the Borrower herein and in any Loan Document or other documents delivered in connecton herewith or therewith or pursuant hereto or thereto shall be considered to have been relied upon by the other partes hereto and shall survive the executon and delivery hereof and thereof and the making of revolving advances hereunder, regardless of any investgaton made by any such other party or on its behalf and notwithstanding that Bank may have had notce or knowledge of any Default at the tme of any revolving advance, and shall contnue in full force and efect as long as any revolving advance or any other Obligaton hereunder shall remain unpaid or unsatsfed and so long as the Line of Credit has not expired or been terminated.</w:t>
      </w:r>
    </w:p>
    <w:p>
      <w:pPr>
        <w:spacing w:after="0" w:line="200" w:lineRule="exact"/>
        <w:rPr>
          <w:sz w:val="20"/>
          <w:szCs w:val="20"/>
          <w:color w:val="auto"/>
        </w:rPr>
      </w:pPr>
    </w:p>
    <w:p>
      <w:pPr>
        <w:spacing w:after="0" w:line="317" w:lineRule="exact"/>
        <w:rPr>
          <w:sz w:val="20"/>
          <w:szCs w:val="20"/>
          <w:color w:val="auto"/>
        </w:rPr>
      </w:pPr>
    </w:p>
    <w:p>
      <w:pPr>
        <w:jc w:val="both"/>
        <w:ind w:firstLine="367"/>
        <w:spacing w:after="0" w:line="272" w:lineRule="auto"/>
        <w:rPr>
          <w:sz w:val="20"/>
          <w:szCs w:val="20"/>
          <w:color w:val="auto"/>
        </w:rPr>
      </w:pPr>
      <w:r>
        <w:rPr>
          <w:rFonts w:ascii="Arial" w:cs="Arial" w:eastAsia="Arial" w:hAnsi="Arial"/>
          <w:sz w:val="19"/>
          <w:szCs w:val="19"/>
          <w:color w:val="auto"/>
        </w:rPr>
        <w:t>SECTION 8.15 ACKNOWLEDGEMENT REGARDING ANY SUPPORTED QFCs. To the extent that the Loan Documents provide support, through a guarantee or otherwise, for any agreement or instrument that is a QFC (such support, “QFC Credit Support” and, each such QFC, a “Supported QFC”), the partes acknowledge and agree as follows with respect to the resoluton power of the FDIC under the Federal Deposit Insurance Act and Title II of the Dodd-Frank Wall Street Reform and Consumer Protecton Act (together with the regulatons promulgated thereunder, the “U.S. Special Resoluton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94" w:lineRule="exact"/>
        <w:rPr>
          <w:sz w:val="20"/>
          <w:szCs w:val="20"/>
          <w:color w:val="auto"/>
        </w:rPr>
      </w:pPr>
    </w:p>
    <w:p>
      <w:pPr>
        <w:jc w:val="both"/>
        <w:ind w:firstLine="372"/>
        <w:spacing w:after="0" w:line="258" w:lineRule="auto"/>
        <w:tabs>
          <w:tab w:leader="none" w:pos="727"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 the event a Covered Entty that is party to a Supported QFC (each, a “Covered Party”) becomes subject to a proceeding under a U.S. Special Resoluton Regime, the transfer of such Supported QFC and the beneft of such QFC Credit Support (and any interest and obligaton in or under such Supported QFC and such QFC Credit Support, and any rights in property securing such Supported QFC or such QFC Credit Support) from such Covered Party will be efectve to the same extent as the transfer would be efectve under the U.S. Special Resoluton Regime if the Supported QFC and such QFC Credit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-33-</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68" w:name="page69"/>
    <w:bookmarkEnd w:id="68"/>
    <w:p>
      <w:pPr>
        <w:jc w:val="both"/>
        <w:spacing w:after="0" w:line="256" w:lineRule="auto"/>
        <w:rPr>
          <w:sz w:val="20"/>
          <w:szCs w:val="20"/>
          <w:color w:val="auto"/>
        </w:rPr>
      </w:pPr>
      <w:r>
        <w:rPr>
          <w:rFonts w:ascii="Arial" w:cs="Arial" w:eastAsia="Arial" w:hAnsi="Arial"/>
          <w:sz w:val="20"/>
          <w:szCs w:val="20"/>
          <w:color w:val="auto"/>
        </w:rPr>
        <w:t>Support (and any such interest, obligaton and rights in property) were governed by the laws of the United States or a state of the United States. In the event a Covered Party or a BHC Act Afliate of a Covered Party becomes subject to a proceeding under a U.S. Special Resoluton Regime, Default Rights under the Loan Documents that might otherwise apply to such Supported QFC or any QFC Credit Support that may be exercised against such Covered Party are permited to be exercised to no greater extent than such Default Rights could be exercised under the U.S. Special Resoluton Regime if the Supported QFC and the Loan Documents were governed by the laws of the United States or a state of the United States. Without limitaton of the foregoing, it is understood and agreed that rights and remedies of the partes with respect to a Defaultng Lender shall in no event afect the rights of any Covered Party with respect to a Supported QFC or any QFC Credit Support.</w:t>
      </w: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  As used in this Secton 12.23, the following terms have the following meanings:</w:t>
      </w:r>
    </w:p>
    <w:p>
      <w:pPr>
        <w:spacing w:after="0" w:line="200" w:lineRule="exact"/>
        <w:rPr>
          <w:sz w:val="20"/>
          <w:szCs w:val="20"/>
          <w:color w:val="auto"/>
        </w:rPr>
      </w:pPr>
    </w:p>
    <w:p>
      <w:pPr>
        <w:spacing w:after="0" w:line="34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“BHC Act Afliate” of a party means an “afliate” (as such term is defned under, and interpreted in accordance with, 12 U.S.C.</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1841(k)) of such party.</w:t>
      </w:r>
    </w:p>
    <w:p>
      <w:pPr>
        <w:spacing w:after="0" w:line="200" w:lineRule="exact"/>
        <w:rPr>
          <w:sz w:val="20"/>
          <w:szCs w:val="20"/>
          <w:color w:val="auto"/>
        </w:rPr>
      </w:pPr>
    </w:p>
    <w:p>
      <w:pPr>
        <w:spacing w:after="0" w:line="34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“Covered Entty” means any of the following:</w:t>
      </w:r>
    </w:p>
    <w:p>
      <w:pPr>
        <w:spacing w:after="0" w:line="200" w:lineRule="exact"/>
        <w:rPr>
          <w:sz w:val="20"/>
          <w:szCs w:val="20"/>
          <w:color w:val="auto"/>
        </w:rPr>
      </w:pPr>
    </w:p>
    <w:p>
      <w:pPr>
        <w:spacing w:after="0" w:line="340" w:lineRule="exact"/>
        <w:rPr>
          <w:sz w:val="20"/>
          <w:szCs w:val="20"/>
          <w:color w:val="auto"/>
        </w:rPr>
      </w:pPr>
    </w:p>
    <w:p>
      <w:pPr>
        <w:ind w:left="1480" w:hanging="365"/>
        <w:spacing w:after="0"/>
        <w:tabs>
          <w:tab w:leader="none" w:pos="14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“covered entty” as that term is defned in, and interpreted in accordance with, 12 C.F.R. § 252.82(b);</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ind w:left="1480" w:hanging="365"/>
        <w:spacing w:after="0"/>
        <w:tabs>
          <w:tab w:leader="none" w:pos="14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“covered bank” as that term is defned in, and interpreted in accordance with, 12 C.F.R. § 47.3(b); or</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ind w:left="1480" w:hanging="365"/>
        <w:spacing w:after="0"/>
        <w:tabs>
          <w:tab w:leader="none" w:pos="14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“covered FSI” as that term is defned in, and interpreted in accordance with, 12 C.F.R. § 382.2(b).</w:t>
      </w:r>
    </w:p>
    <w:p>
      <w:pPr>
        <w:spacing w:after="0" w:line="200" w:lineRule="exact"/>
        <w:rPr>
          <w:sz w:val="20"/>
          <w:szCs w:val="20"/>
          <w:color w:val="auto"/>
        </w:rPr>
      </w:pPr>
    </w:p>
    <w:p>
      <w:pPr>
        <w:spacing w:after="0" w:line="340" w:lineRule="exact"/>
        <w:rPr>
          <w:sz w:val="20"/>
          <w:szCs w:val="20"/>
          <w:color w:val="auto"/>
        </w:rPr>
      </w:pPr>
    </w:p>
    <w:p>
      <w:pPr>
        <w:ind w:left="760"/>
        <w:spacing w:after="0" w:line="274"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200" w:lineRule="exact"/>
        <w:rPr>
          <w:sz w:val="20"/>
          <w:szCs w:val="20"/>
          <w:color w:val="auto"/>
        </w:rPr>
      </w:pPr>
    </w:p>
    <w:p>
      <w:pPr>
        <w:spacing w:after="0" w:line="287" w:lineRule="exact"/>
        <w:rPr>
          <w:sz w:val="20"/>
          <w:szCs w:val="20"/>
          <w:color w:val="auto"/>
        </w:rPr>
      </w:pPr>
    </w:p>
    <w:p>
      <w:pPr>
        <w:ind w:left="760"/>
        <w:spacing w:after="0" w:line="274" w:lineRule="auto"/>
        <w:rPr>
          <w:sz w:val="20"/>
          <w:szCs w:val="20"/>
          <w:color w:val="auto"/>
        </w:rPr>
      </w:pPr>
      <w:r>
        <w:rPr>
          <w:rFonts w:ascii="Arial" w:cs="Arial" w:eastAsia="Arial" w:hAnsi="Arial"/>
          <w:sz w:val="20"/>
          <w:szCs w:val="20"/>
          <w:color w:val="auto"/>
        </w:rPr>
        <w:t>“QFC” has the meaning assigned to the term “qualifed fnancial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-34-</w:t>
            </w:r>
          </w:p>
        </w:tc>
      </w:tr>
      <w:tr>
        <w:trPr>
          <w:trHeight w:val="579"/>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100"/>
              <w:spacing w:after="0"/>
              <w:rPr>
                <w:sz w:val="20"/>
                <w:szCs w:val="20"/>
                <w:color w:val="auto"/>
              </w:rPr>
            </w:pPr>
            <w:r>
              <w:rPr>
                <w:rFonts w:ascii="Arial" w:cs="Arial" w:eastAsia="Arial" w:hAnsi="Arial"/>
                <w:sz w:val="14"/>
                <w:szCs w:val="14"/>
                <w:color w:val="auto"/>
              </w:rPr>
              <w:t>C-203MMB_ALL.docx (Rev. 03/23)</w:t>
            </w:r>
          </w:p>
        </w:tc>
        <w:tc>
          <w:tcPr>
            <w:tcW w:w="7520" w:type="dxa"/>
            <w:vAlign w:val="bottom"/>
          </w:tcPr>
          <w:p>
            <w:pPr>
              <w:jc w:val="right"/>
              <w:ind w:right="5588"/>
              <w:spacing w:after="0"/>
              <w:rPr>
                <w:sz w:val="20"/>
                <w:szCs w:val="20"/>
                <w:color w:val="auto"/>
              </w:rPr>
            </w:pPr>
            <w:r>
              <w:rPr>
                <w:rFonts w:ascii="Arial" w:cs="Arial" w:eastAsia="Arial" w:hAnsi="Arial"/>
                <w:sz w:val="14"/>
                <w:szCs w:val="14"/>
                <w:color w:val="auto"/>
              </w:rPr>
              <w:t>-35-</w:t>
            </w:r>
          </w:p>
        </w:tc>
      </w:tr>
      <w:tr>
        <w:trPr>
          <w:trHeight w:val="565"/>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70" w:name="page71"/>
    <w:bookmarkEnd w:id="70"/>
    <w:p>
      <w:pPr>
        <w:ind w:firstLine="358"/>
        <w:spacing w:after="0" w:line="274" w:lineRule="auto"/>
        <w:rPr>
          <w:sz w:val="20"/>
          <w:szCs w:val="20"/>
          <w:color w:val="auto"/>
        </w:rPr>
      </w:pPr>
      <w:r>
        <w:rPr>
          <w:rFonts w:ascii="Arial" w:cs="Arial" w:eastAsia="Arial" w:hAnsi="Arial"/>
          <w:sz w:val="20"/>
          <w:szCs w:val="20"/>
          <w:color w:val="auto"/>
        </w:rPr>
        <w:t>IN WITNESS WHEREOF, the partes hereto, intending to be legally bound hereby, have caused this Agreement to be executed as of the efectve date set forth above.</w:t>
      </w: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WELLS FARGO BANK,</w:t>
      </w:r>
    </w:p>
    <w:p>
      <w:pPr>
        <w:sectPr>
          <w:pgSz w:w="11900" w:h="16838" w:orient="portrait"/>
          <w:cols w:equalWidth="0" w:num="1">
            <w:col w:w="11060"/>
          </w:cols>
          <w:pgMar w:left="320" w:top="466" w:right="51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ARCTURUS THERAPEUTICS, INC.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NATIONAL ASSOCIATION</w:t>
      </w:r>
    </w:p>
    <w:p>
      <w:pPr>
        <w:spacing w:after="0" w:line="200" w:lineRule="exact"/>
        <w:rPr>
          <w:sz w:val="20"/>
          <w:szCs w:val="20"/>
          <w:color w:val="auto"/>
        </w:rPr>
      </w:pPr>
    </w:p>
    <w:p>
      <w:pPr>
        <w:sectPr>
          <w:pgSz w:w="11900" w:h="16838" w:orient="portrait"/>
          <w:cols w:equalWidth="0" w:num="2">
            <w:col w:w="2560" w:space="400"/>
            <w:col w:w="8100"/>
          </w:cols>
          <w:pgMar w:left="320" w:top="466" w:right="519"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______________________</w:t>
      </w:r>
      <w:r>
        <w:rPr>
          <w:rFonts w:ascii="Arial" w:cs="Arial" w:eastAsia="Arial" w:hAnsi="Arial"/>
          <w:sz w:val="20"/>
          <w:szCs w:val="20"/>
          <w:color w:val="auto"/>
        </w:rPr>
        <w:t xml:space="preserve"> By: </w:t>
      </w:r>
      <w:r>
        <w:rPr>
          <w:rFonts w:ascii="Arial" w:cs="Arial" w:eastAsia="Arial" w:hAnsi="Arial"/>
          <w:sz w:val="20"/>
          <w:szCs w:val="20"/>
          <w:u w:val="single" w:color="auto"/>
          <w:color w:val="auto"/>
        </w:rPr>
        <w:t>_____________________</w:t>
      </w:r>
      <w:r>
        <w:rPr>
          <w:rFonts w:ascii="Arial" w:cs="Arial" w:eastAsia="Arial" w:hAnsi="Arial"/>
          <w:sz w:val="20"/>
          <w:szCs w:val="20"/>
          <w:color w:val="auto"/>
        </w:rPr>
        <w:t>_</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___________________ Name: ___________________</w:t>
      </w:r>
    </w:p>
    <w:p>
      <w:pPr>
        <w:spacing w:after="0" w:line="148" w:lineRule="exact"/>
        <w:rPr>
          <w:sz w:val="20"/>
          <w:szCs w:val="20"/>
          <w:color w:val="auto"/>
        </w:rPr>
      </w:pPr>
    </w:p>
    <w:p>
      <w:pPr>
        <w:spacing w:after="0"/>
        <w:tabs>
          <w:tab w:leader="none" w:pos="3200" w:val="left"/>
        </w:tabs>
        <w:rPr>
          <w:sz w:val="20"/>
          <w:szCs w:val="20"/>
          <w:color w:val="auto"/>
        </w:rPr>
      </w:pPr>
      <w:r>
        <w:rPr>
          <w:rFonts w:ascii="Arial" w:cs="Arial" w:eastAsia="Arial" w:hAnsi="Arial"/>
          <w:sz w:val="20"/>
          <w:szCs w:val="20"/>
          <w:color w:val="auto"/>
        </w:rPr>
        <w:t>Title: _____________________</w:t>
      </w:r>
      <w:r>
        <w:rPr>
          <w:sz w:val="20"/>
          <w:szCs w:val="20"/>
          <w:color w:val="auto"/>
        </w:rPr>
        <w:tab/>
      </w:r>
      <w:r>
        <w:rPr>
          <w:rFonts w:ascii="Arial" w:cs="Arial" w:eastAsia="Arial" w:hAnsi="Arial"/>
          <w:sz w:val="16"/>
          <w:szCs w:val="16"/>
          <w:color w:val="auto"/>
        </w:rPr>
        <w:t>Title: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Signature Page to</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Credit Agreement</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Arcturus Therapeutcs,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66" w:right="519" w:bottom="1440" w:gutter="0" w:footer="0" w:header="0"/>
          <w:type w:val="continuous"/>
        </w:sectPr>
      </w:pPr>
    </w:p>
    <w:bookmarkStart w:id="71" w:name="page72"/>
    <w:bookmarkEnd w:id="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jc w:val="right"/>
        <w:ind w:left="340"/>
        <w:spacing w:after="0" w:line="332"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77" w:lineRule="exact"/>
        <w:rPr>
          <w:sz w:val="20"/>
          <w:szCs w:val="20"/>
          <w:color w:val="auto"/>
        </w:rPr>
      </w:pPr>
    </w:p>
    <w:p>
      <w:pPr>
        <w:ind w:left="9900"/>
        <w:spacing w:after="0"/>
        <w:rPr>
          <w:sz w:val="20"/>
          <w:szCs w:val="20"/>
          <w:color w:val="auto"/>
        </w:rPr>
      </w:pPr>
      <w:r>
        <w:rPr>
          <w:rFonts w:ascii="Arial" w:cs="Arial" w:eastAsia="Arial" w:hAnsi="Arial"/>
          <w:sz w:val="19"/>
          <w:szCs w:val="19"/>
          <w:b w:val="1"/>
          <w:bCs w:val="1"/>
          <w:color w:val="auto"/>
        </w:rPr>
        <w:t>EXHIBIT 10.29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SECURITY AGREEMENT (SECURITIES ACCOUNT)</w:t>
      </w:r>
    </w:p>
    <w:p>
      <w:pPr>
        <w:spacing w:after="0" w:line="200" w:lineRule="exact"/>
        <w:rPr>
          <w:sz w:val="20"/>
          <w:szCs w:val="20"/>
          <w:color w:val="auto"/>
        </w:rPr>
      </w:pPr>
    </w:p>
    <w:p>
      <w:pPr>
        <w:spacing w:after="0" w:line="35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This SECURITY AGREEMENT (SECURITIES ACCOUNT), dated as of April 21, 2023 (as amended, supplemented or otherwise modifed from tme to tme in accordance with the provisions hereof, this “Agreement”), is made by and among ARCTURUS THERAPEUTICS, INC., a Delaware corporaton (“Grantor”), in favor of WELLS FARGO BANK, NATIONAL ASSOCIATION (“Secured Party”).</w:t>
      </w:r>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WHEREAS, on the date hereof, the Secured Party has made available revolving advances to Grantor in an aggregate unpaid principal amount not exceeding $50,000,000 (the “Loan”), evidenced by that certain Credit Agreement of even date herewith (as amended, supplemented or otherwise modifed from tme to tme, the “Credit Agreement”, capitalized terms used in this Agreement and not otherwise defned in this Agreement shall have the meanings assigned to such terms in the Credit Agreement) made by Grantor and payable to the order of the Secured Party;</w:t>
      </w:r>
    </w:p>
    <w:p>
      <w:pPr>
        <w:spacing w:after="0" w:line="200" w:lineRule="exact"/>
        <w:rPr>
          <w:sz w:val="20"/>
          <w:szCs w:val="20"/>
          <w:color w:val="auto"/>
        </w:rPr>
      </w:pPr>
    </w:p>
    <w:p>
      <w:pPr>
        <w:spacing w:after="0" w:line="30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WHEREAS, this Agreement is given by Grantor in favor of the Secured Party to secure the payment and performance of all the Secured Obligatons (as defned below); and</w:t>
      </w:r>
    </w:p>
    <w:p>
      <w:pPr>
        <w:spacing w:after="0" w:line="200" w:lineRule="exact"/>
        <w:rPr>
          <w:sz w:val="20"/>
          <w:szCs w:val="20"/>
          <w:color w:val="auto"/>
        </w:rPr>
      </w:pPr>
    </w:p>
    <w:p>
      <w:pPr>
        <w:spacing w:after="0" w:line="30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WHEREAS, it is a conditon to the obligatons of the Secured Party to make revolving advances under the Credit Agreement that Grantor execute and deliver this Agreement.</w:t>
      </w:r>
    </w:p>
    <w:p>
      <w:pPr>
        <w:spacing w:after="0" w:line="200" w:lineRule="exact"/>
        <w:rPr>
          <w:sz w:val="20"/>
          <w:szCs w:val="20"/>
          <w:color w:val="auto"/>
        </w:rPr>
      </w:pPr>
    </w:p>
    <w:p>
      <w:pPr>
        <w:spacing w:after="0" w:line="28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NOW THEREFORE, in consideraton of the mutual covenants, terms and conditons set forth herein, and for other good and valuable consideraton, the receipt and sufciency of which are hereby acknowledged, the partes hereto agree as follows:</w:t>
      </w:r>
    </w:p>
    <w:p>
      <w:pPr>
        <w:spacing w:after="0" w:line="200" w:lineRule="exact"/>
        <w:rPr>
          <w:sz w:val="20"/>
          <w:szCs w:val="20"/>
          <w:color w:val="auto"/>
        </w:rPr>
      </w:pPr>
    </w:p>
    <w:p>
      <w:pPr>
        <w:spacing w:after="0" w:line="287" w:lineRule="exact"/>
        <w:rPr>
          <w:sz w:val="20"/>
          <w:szCs w:val="20"/>
          <w:color w:val="auto"/>
        </w:rPr>
      </w:pPr>
    </w:p>
    <w:p>
      <w:pPr>
        <w:jc w:val="both"/>
        <w:ind w:firstLine="8"/>
        <w:spacing w:after="0" w:line="291" w:lineRule="auto"/>
        <w:tabs>
          <w:tab w:leader="none" w:pos="3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GRANT OF SECURITY INTEREST. For valuable consideraton, Grantor hereby grants and transfers to the Secured Party, to secure the payment and performance in full of all of the Secured Obligatons, a security interest in (a) Grantor’s account no. [***], maintained at Wells Fargo Securites, LLC, any sub-account thereunder or consolidated therewith, all replacements or substtutons thereof, including any account resultng from a renumbering or other administratve re-identfcaton thereof (such accounts each and collectvely being, the "Securites Account,” and the partes at which any such account is maintained each and collectvely being, the “Intermediary”), (b) all fnancial assets credited to the Securites Account, (c) all security enttlements with respect to the fnancial assets credited to the</w:t>
      </w:r>
    </w:p>
    <w:p>
      <w:pPr>
        <w:spacing w:after="0" w:line="371"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C-750SA_ALL.docx (08/22)</w:t>
            </w:r>
          </w:p>
        </w:tc>
        <w:tc>
          <w:tcPr>
            <w:tcW w:w="2020" w:type="dxa"/>
            <w:vAlign w:val="bottom"/>
          </w:tcPr>
          <w:p>
            <w:pPr>
              <w:jc w:val="right"/>
              <w:spacing w:after="0"/>
              <w:rPr>
                <w:sz w:val="20"/>
                <w:szCs w:val="20"/>
                <w:color w:val="auto"/>
              </w:rPr>
            </w:pPr>
            <w:r>
              <w:rPr>
                <w:rFonts w:ascii="Arial" w:cs="Arial" w:eastAsia="Arial" w:hAnsi="Arial"/>
                <w:sz w:val="14"/>
                <w:szCs w:val="14"/>
                <w:color w:val="auto"/>
              </w:rPr>
              <w:t>-1-</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4883-6108-0663</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5701982</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73" w:name="page74"/>
    <w:bookmarkEnd w:id="73"/>
    <w:p>
      <w:pPr>
        <w:jc w:val="both"/>
        <w:spacing w:after="0" w:line="285" w:lineRule="auto"/>
        <w:rPr>
          <w:sz w:val="20"/>
          <w:szCs w:val="20"/>
          <w:color w:val="auto"/>
        </w:rPr>
      </w:pPr>
      <w:r>
        <w:rPr>
          <w:rFonts w:ascii="Arial" w:cs="Arial" w:eastAsia="Arial" w:hAnsi="Arial"/>
          <w:sz w:val="18"/>
          <w:szCs w:val="18"/>
          <w:color w:val="auto"/>
        </w:rPr>
        <w:t>Securites Account, and (d) any and all other investment property, assets or cash maintained or recorded in the Securites Account (with all the foregoing defned as "Collateral"), together with whatever is receivable or received when any of the Collateral or proceeds thereof are sold, collected, exchanged or otherwise disposed of, whether such dispositon is voluntary or involuntary, including without limitaton, (i) all rights to payment, including returned premiums, with respect to any insurance relatng to any of the foregoing, (ii) all rights to payment with respect to any claim or cause of acton afectng or relatng to any of the foregoing, and (iii) all stock rights, rights to subscribe, stock splits, liquidatng dividends, cash dividends, dividends paid in stock, new securites or other property of any kind which Grantor is or may hereafer be enttled to receive on account of any securites pledged hereunder, including without limitaton, stock received by Grantor due to stock splits or dividends paid in stock or sums paid upon or in respect of any securites pledged hereunder upon the liquidaton or dissoluton of the issuer thereof (hereinafer called "Proceeds"), but excluding from such Collateral and Proceeds all common trust funds of Secured Party governed by 12 CFR 9.18 now or hereafer maintained in the Securites Account. Except as otherwise expressly permited herein, in the event Grantor receives any such Proceeds, Grantor will hold the same in trust on behalf of and for the beneft of Secured Party and will promptly deliver all such Proceeds to Secured Party in the exact form received, with the endorsement of Grantor if necessary and/or appropriate undated stock powers duly executed in blank, to be held by Secured Party as part of the Collateral, subject to all terms hereof. As used herein, the terms "security enttlement," "fnancial asset" and "investment property" shall have the respectve meanings set forth in the Uniform Commercial Code or the Business and Commerce Code of the jurisdicton identfed in Secton 22 below.</w:t>
      </w:r>
    </w:p>
    <w:p>
      <w:pPr>
        <w:spacing w:after="0" w:line="200" w:lineRule="exact"/>
        <w:rPr>
          <w:sz w:val="20"/>
          <w:szCs w:val="20"/>
          <w:color w:val="auto"/>
        </w:rPr>
      </w:pPr>
    </w:p>
    <w:p>
      <w:pPr>
        <w:spacing w:after="0" w:line="285" w:lineRule="exact"/>
        <w:rPr>
          <w:sz w:val="20"/>
          <w:szCs w:val="20"/>
          <w:color w:val="auto"/>
        </w:rPr>
      </w:pPr>
    </w:p>
    <w:p>
      <w:pPr>
        <w:jc w:val="both"/>
        <w:ind w:firstLine="757"/>
        <w:spacing w:after="0" w:line="286" w:lineRule="auto"/>
        <w:tabs>
          <w:tab w:leader="none" w:pos="10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OBLIGATIONS SECURED. The obligatons secured hereby are the payment and performance of: (a) all present and future Indebtedness of Grantor to Secured Party arising under or in connecton with the line of credit granted by Secured Party to Grantor and evidenced by that certain Revolving Line of Credit Note, dated April 21, 2023, in the principal amount of $50,000,000.00, including any Reimbursement Obligatons (as defned below) related to any subfeature under the line of credit and any interest rate swap related thereto or entered into in connecton therewith, and all extensions, renewals or modifcatons thereof and restatements or substtutons therefor, including modifcatons that increase the amount thereof; (b) all obligatons of Grantor and rights of Secured Party under this Agreement and (c) all other Obligatons (as such term is is defned in the Credit Agreement) (collectvely, the “Secured Obligatons”). For the avoidance of doubt, and notwithstanding anything herein or in any other agreement between Grantor and Secured Party to the contrary, the statement herein that Reimbursement Obligatons are specifcally included in the Indebtedness secured hereby, shall be sufcient to satsfy a requirement in any Reimbursement Agreement executed by Grantor and delivered to Secured Party statng that for such leter of credit or acceptance or similar product obligatons to be secured, they must be specifcally described.</w:t>
      </w:r>
    </w:p>
    <w:p>
      <w:pPr>
        <w:spacing w:after="0" w:line="200" w:lineRule="exact"/>
        <w:rPr>
          <w:sz w:val="20"/>
          <w:szCs w:val="20"/>
          <w:color w:val="auto"/>
        </w:rPr>
      </w:pPr>
    </w:p>
    <w:p>
      <w:pPr>
        <w:spacing w:after="0" w:line="3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As used in this Agreement:</w:t>
      </w:r>
    </w:p>
    <w:p>
      <w:pPr>
        <w:spacing w:after="0" w:line="200" w:lineRule="exact"/>
        <w:rPr>
          <w:sz w:val="20"/>
          <w:szCs w:val="20"/>
          <w:color w:val="auto"/>
        </w:rPr>
      </w:pPr>
    </w:p>
    <w:p>
      <w:pPr>
        <w:spacing w:after="0" w:line="34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The word "Indebtedness" has the meaning assigned to such term under the Credit Agreement.</w:t>
      </w:r>
    </w:p>
    <w:p>
      <w:pPr>
        <w:spacing w:after="0" w:line="200" w:lineRule="exact"/>
        <w:rPr>
          <w:sz w:val="20"/>
          <w:szCs w:val="20"/>
          <w:color w:val="auto"/>
        </w:rPr>
      </w:pPr>
    </w:p>
    <w:p>
      <w:pPr>
        <w:spacing w:after="0" w:line="232"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C-750SA_ALL.docx (08/22)</w:t>
            </w:r>
          </w:p>
        </w:tc>
        <w:tc>
          <w:tcPr>
            <w:tcW w:w="2020" w:type="dxa"/>
            <w:vAlign w:val="bottom"/>
          </w:tcPr>
          <w:p>
            <w:pPr>
              <w:jc w:val="right"/>
              <w:spacing w:after="0"/>
              <w:rPr>
                <w:sz w:val="20"/>
                <w:szCs w:val="20"/>
                <w:color w:val="auto"/>
              </w:rPr>
            </w:pPr>
            <w:r>
              <w:rPr>
                <w:rFonts w:ascii="Arial" w:cs="Arial" w:eastAsia="Arial" w:hAnsi="Arial"/>
                <w:sz w:val="14"/>
                <w:szCs w:val="14"/>
                <w:color w:val="auto"/>
              </w:rPr>
              <w:t>-2-</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4" w:name="page75"/>
    <w:bookmarkEnd w:id="74"/>
    <w:p>
      <w:pPr>
        <w:jc w:val="both"/>
        <w:ind w:firstLine="757"/>
        <w:spacing w:after="0" w:line="260" w:lineRule="auto"/>
        <w:tabs>
          <w:tab w:leader="none" w:pos="1049" w:val="left"/>
        </w:tabs>
        <w:numPr>
          <w:ilvl w:val="1"/>
          <w:numId w:val="46"/>
        </w:numPr>
        <w:rPr>
          <w:rFonts w:ascii="Arial" w:cs="Arial" w:eastAsia="Arial" w:hAnsi="Arial"/>
          <w:sz w:val="20"/>
          <w:szCs w:val="20"/>
          <w:color w:val="auto"/>
        </w:rPr>
      </w:pPr>
      <w:r>
        <w:rPr>
          <w:rFonts w:ascii="Arial" w:cs="Arial" w:eastAsia="Arial" w:hAnsi="Arial"/>
          <w:sz w:val="20"/>
          <w:szCs w:val="20"/>
          <w:color w:val="auto"/>
        </w:rPr>
        <w:t>“Reimbursement Agreement” means a credit agreement, leter of credit agreement, acceptance agreement, open account processing agreement or similar document or agreement governing the reimbursement terms and obligatons related to leters of credit, banker’s acceptances, open account processing, trade acceptances, discountng, documentary collectons or similar or related products or transactons.</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firstLine="757"/>
        <w:spacing w:after="0" w:line="260" w:lineRule="auto"/>
        <w:tabs>
          <w:tab w:leader="none" w:pos="1055" w:val="left"/>
        </w:tabs>
        <w:numPr>
          <w:ilvl w:val="1"/>
          <w:numId w:val="46"/>
        </w:numPr>
        <w:rPr>
          <w:rFonts w:ascii="Arial" w:cs="Arial" w:eastAsia="Arial" w:hAnsi="Arial"/>
          <w:sz w:val="20"/>
          <w:szCs w:val="20"/>
          <w:color w:val="auto"/>
        </w:rPr>
      </w:pPr>
      <w:r>
        <w:rPr>
          <w:rFonts w:ascii="Arial" w:cs="Arial" w:eastAsia="Arial" w:hAnsi="Arial"/>
          <w:sz w:val="20"/>
          <w:szCs w:val="20"/>
          <w:color w:val="auto"/>
        </w:rPr>
        <w:t>“Reimbursement Obligatons” means, any Indebtedness arising directly or indirectly in connecton with any trade fnance products and services, including but not limited to the following: leters of credit, banker’s acceptances, open account processing, trade acceptances, discountng, documentary collectons or similar or related products or transactons, including, for the avoidance of doubt, any such obligatons arising under any related Reimbursement Agreement.</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firstLine="374"/>
        <w:spacing w:after="0" w:line="294" w:lineRule="auto"/>
        <w:tabs>
          <w:tab w:leader="none" w:pos="7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EXCLUSIONS FROM COLLATERAL. Secured Party may, in its sole discreton and at any tme upon writen notce to Grantor, release Secured Party’s security interest in any WF Securites in the Collateral or Proceeds and exclude WF Securites from the determinaton of any value requirements to which the Collateral is subject hereunder. Such release, if any, shall not relieve Grantor from the obligaton to satsfy any value requirements herein. As used herein, “WF Securites” means stock, securites, or obligatons of Wells Fargo &amp; Company or any afliate thereof (as the term afliate is defned in Secton 23A of the Federal Reserve Act (12 USC § 371(c), as amended from tme to tme).</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720" w:hanging="354"/>
        <w:spacing w:after="0"/>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COLLATERAL VALUE PROVISIONS.</w:t>
      </w:r>
    </w:p>
    <w:p>
      <w:pPr>
        <w:spacing w:after="0" w:line="200" w:lineRule="exact"/>
        <w:rPr>
          <w:sz w:val="20"/>
          <w:szCs w:val="20"/>
          <w:color w:val="auto"/>
        </w:rPr>
      </w:pPr>
    </w:p>
    <w:p>
      <w:pPr>
        <w:spacing w:after="0" w:line="340" w:lineRule="exact"/>
        <w:rPr>
          <w:sz w:val="20"/>
          <w:szCs w:val="20"/>
          <w:color w:val="auto"/>
        </w:rPr>
      </w:pPr>
    </w:p>
    <w:p>
      <w:pPr>
        <w:jc w:val="both"/>
        <w:ind w:firstLine="757"/>
        <w:spacing w:after="0" w:line="260" w:lineRule="auto"/>
        <w:tabs>
          <w:tab w:leader="none" w:pos="1018" w:val="left"/>
        </w:tabs>
        <w:numPr>
          <w:ilvl w:val="0"/>
          <w:numId w:val="4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Collateral Value Requirements</w:t>
      </w:r>
      <w:r>
        <w:rPr>
          <w:rFonts w:ascii="Arial" w:cs="Arial" w:eastAsia="Arial" w:hAnsi="Arial"/>
          <w:sz w:val="20"/>
          <w:szCs w:val="20"/>
          <w:color w:val="auto"/>
        </w:rPr>
        <w:t>. The Margin Value of the Collateral shall at all tmes be equal to or exceed $50,000,000. The Fair Market Value of the Collateral shall at all tmes be equal to or exceed $55,000,000. Whenever applicable, the credit limits of Regulaton U of the Federal Reserve Board (12 U.S.C. § 221 et seq.) shall also be satsfed as prescribed therein. See Secton 6 below for the defniton of “Margin Value” and related defnitons.</w:t>
      </w:r>
    </w:p>
    <w:p>
      <w:pPr>
        <w:spacing w:after="0" w:line="200" w:lineRule="exact"/>
        <w:rPr>
          <w:rFonts w:ascii="Arial" w:cs="Arial" w:eastAsia="Arial" w:hAnsi="Arial"/>
          <w:sz w:val="20"/>
          <w:szCs w:val="20"/>
          <w:u w:val="single" w:color="auto"/>
          <w:color w:val="auto"/>
        </w:rPr>
      </w:pPr>
    </w:p>
    <w:p>
      <w:pPr>
        <w:spacing w:after="0" w:line="301" w:lineRule="exact"/>
        <w:rPr>
          <w:rFonts w:ascii="Arial" w:cs="Arial" w:eastAsia="Arial" w:hAnsi="Arial"/>
          <w:sz w:val="20"/>
          <w:szCs w:val="20"/>
          <w:u w:val="single" w:color="auto"/>
          <w:color w:val="auto"/>
        </w:rPr>
      </w:pPr>
    </w:p>
    <w:p>
      <w:pPr>
        <w:jc w:val="both"/>
        <w:ind w:firstLine="757"/>
        <w:spacing w:after="0" w:line="258" w:lineRule="auto"/>
        <w:tabs>
          <w:tab w:leader="none" w:pos="1018" w:val="left"/>
        </w:tabs>
        <w:numPr>
          <w:ilvl w:val="0"/>
          <w:numId w:val="4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Maintenance of Value</w:t>
      </w:r>
      <w:r>
        <w:rPr>
          <w:rFonts w:ascii="Arial" w:cs="Arial" w:eastAsia="Arial" w:hAnsi="Arial"/>
          <w:sz w:val="20"/>
          <w:szCs w:val="20"/>
          <w:color w:val="auto"/>
        </w:rPr>
        <w:t>. In the event the Margin Value of the Collateral, for any reason and at any tme, is less than the required amount, Grantor shall, within three (3) business days, take all remedial acton necessary to restore the Margin Value of the Collateral to the required amount. Remedial acton may include the following in any combinaton or amount: (i) delivery of additonal Collateral acceptable to Secured Party; (ii) replacement of assets providing litle or no support to value requirements with assets providing greater support; and/or (iii) payof of the Indebtedness (or if applicable, reducton thereof).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C-750SA_ALL.docx (08/22)</w:t>
            </w:r>
          </w:p>
        </w:tc>
        <w:tc>
          <w:tcPr>
            <w:tcW w:w="202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9" w:right="339" w:bottom="1440" w:gutter="0" w:footer="0" w:header="0"/>
        </w:sectPr>
      </w:pPr>
    </w:p>
    <w:bookmarkStart w:id="75" w:name="page76"/>
    <w:bookmarkEnd w:id="75"/>
    <w:p>
      <w:pPr>
        <w:jc w:val="both"/>
        <w:ind w:firstLine="757"/>
        <w:spacing w:after="0" w:line="264" w:lineRule="auto"/>
        <w:tabs>
          <w:tab w:leader="none" w:pos="1018" w:val="left"/>
        </w:tabs>
        <w:numPr>
          <w:ilvl w:val="0"/>
          <w:numId w:val="4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Breach of Value Requirements</w:t>
      </w:r>
      <w:r>
        <w:rPr>
          <w:rFonts w:ascii="Arial" w:cs="Arial" w:eastAsia="Arial" w:hAnsi="Arial"/>
          <w:sz w:val="20"/>
          <w:szCs w:val="20"/>
          <w:color w:val="auto"/>
        </w:rPr>
        <w:t>. Secured Party is not obligated to permit an advance when value requirements are not met or if permited would not be met. Failure to tmely meet value requirements is an Event of Default and allows Secured Party, in its sole discreton, to accelerate the Indebtedness secured hereby and exercise its rights and remedies hereunder.</w:t>
      </w:r>
    </w:p>
    <w:p>
      <w:pPr>
        <w:spacing w:after="0" w:line="200" w:lineRule="exact"/>
        <w:rPr>
          <w:rFonts w:ascii="Arial" w:cs="Arial" w:eastAsia="Arial" w:hAnsi="Arial"/>
          <w:sz w:val="20"/>
          <w:szCs w:val="20"/>
          <w:u w:val="single" w:color="auto"/>
          <w:color w:val="auto"/>
        </w:rPr>
      </w:pPr>
    </w:p>
    <w:p>
      <w:pPr>
        <w:spacing w:after="0" w:line="296" w:lineRule="exact"/>
        <w:rPr>
          <w:rFonts w:ascii="Arial" w:cs="Arial" w:eastAsia="Arial" w:hAnsi="Arial"/>
          <w:sz w:val="20"/>
          <w:szCs w:val="20"/>
          <w:u w:val="single" w:color="auto"/>
          <w:color w:val="auto"/>
        </w:rPr>
      </w:pPr>
    </w:p>
    <w:p>
      <w:pPr>
        <w:jc w:val="both"/>
        <w:ind w:firstLine="757"/>
        <w:spacing w:after="0" w:line="275" w:lineRule="auto"/>
        <w:tabs>
          <w:tab w:leader="none" w:pos="1018" w:val="left"/>
        </w:tabs>
        <w:numPr>
          <w:ilvl w:val="0"/>
          <w:numId w:val="4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Excess Collateral</w:t>
      </w:r>
      <w:r>
        <w:rPr>
          <w:rFonts w:ascii="Arial" w:cs="Arial" w:eastAsia="Arial" w:hAnsi="Arial"/>
          <w:sz w:val="19"/>
          <w:szCs w:val="19"/>
          <w:color w:val="auto"/>
        </w:rPr>
        <w:t>. Unless an Event of Default has occurred and is contnuing, Collateral in excess of the value requirements is available for withdrawal at Grantor’s request to Secured Party, free and clear of Secured Party’s security interest therein. Secured Party shall be aforded such reasonable tme, informaton and cooperaton as may be necessary to accommodate Grantor requests for withdrawal of excess Collateral. Under no circumstances shall any Intermediary be authorized to release Collateral, or allow withdrawals of excess Collateral, without the express writen consent of Secured Party.</w:t>
      </w:r>
    </w:p>
    <w:p>
      <w:pPr>
        <w:spacing w:after="0" w:line="200" w:lineRule="exact"/>
        <w:rPr>
          <w:rFonts w:ascii="Arial" w:cs="Arial" w:eastAsia="Arial" w:hAnsi="Arial"/>
          <w:sz w:val="19"/>
          <w:szCs w:val="19"/>
          <w:u w:val="single" w:color="auto"/>
          <w:color w:val="auto"/>
        </w:rPr>
      </w:pPr>
    </w:p>
    <w:p>
      <w:pPr>
        <w:spacing w:after="0" w:line="303" w:lineRule="exact"/>
        <w:rPr>
          <w:rFonts w:ascii="Arial" w:cs="Arial" w:eastAsia="Arial" w:hAnsi="Arial"/>
          <w:sz w:val="19"/>
          <w:szCs w:val="19"/>
          <w:u w:val="single" w:color="auto"/>
          <w:color w:val="auto"/>
        </w:rPr>
      </w:pPr>
    </w:p>
    <w:p>
      <w:pPr>
        <w:jc w:val="both"/>
        <w:ind w:firstLine="757"/>
        <w:spacing w:after="0" w:line="264" w:lineRule="auto"/>
        <w:tabs>
          <w:tab w:leader="none" w:pos="1018" w:val="left"/>
        </w:tabs>
        <w:numPr>
          <w:ilvl w:val="0"/>
          <w:numId w:val="4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Rule 144/145 Collateral</w:t>
      </w:r>
      <w:r>
        <w:rPr>
          <w:rFonts w:ascii="Arial" w:cs="Arial" w:eastAsia="Arial" w:hAnsi="Arial"/>
          <w:sz w:val="20"/>
          <w:szCs w:val="20"/>
          <w:color w:val="auto"/>
        </w:rPr>
        <w:t>. Grantor shall not sell or otherwise transfer shares of securites of the issuer of any Collateral that may be subject to the provisions of SEC Rule 144 or 145 without Secured Party’s prior writen consent, which consent shall be given in Secured Party’s sole discreton.</w:t>
      </w:r>
    </w:p>
    <w:p>
      <w:pPr>
        <w:spacing w:after="0" w:line="200" w:lineRule="exact"/>
        <w:rPr>
          <w:sz w:val="20"/>
          <w:szCs w:val="20"/>
          <w:color w:val="auto"/>
        </w:rPr>
      </w:pPr>
    </w:p>
    <w:p>
      <w:pPr>
        <w:spacing w:after="0" w:line="297" w:lineRule="exact"/>
        <w:rPr>
          <w:sz w:val="20"/>
          <w:szCs w:val="20"/>
          <w:color w:val="auto"/>
        </w:rPr>
      </w:pPr>
    </w:p>
    <w:p>
      <w:pPr>
        <w:jc w:val="both"/>
        <w:ind w:firstLine="757"/>
        <w:spacing w:after="0" w:line="294" w:lineRule="auto"/>
        <w:tabs>
          <w:tab w:leader="none" w:pos="10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TRADING PROHIBITED. So long as no Event of Default has occurred and in contnuing, and provided all value requirements would contnue to be met, Grantor, or any party authorized by Grantor to act with respect to the Securites Account, may receive payments of interest and/or cash dividends earned on Collateral in the Securites Account. Without Secured Party's prior writen consent, except as permited by the preceding sentence or paragraph 4(d), neither Grantor nor any party other than Secured Party may (a) withdraw or receive any distributon of any Collateral from the Securites Account, or (b) trade Collateral in the Securites Account.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080" w:hanging="323"/>
        <w:spacing w:after="0"/>
        <w:tabs>
          <w:tab w:leader="none" w:pos="10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DEFINITIONS RELATED TO MARGIN VALUE. As used herein:</w:t>
      </w:r>
    </w:p>
    <w:p>
      <w:pPr>
        <w:spacing w:after="0" w:line="200" w:lineRule="exact"/>
        <w:rPr>
          <w:sz w:val="20"/>
          <w:szCs w:val="20"/>
          <w:color w:val="auto"/>
        </w:rPr>
      </w:pPr>
    </w:p>
    <w:p>
      <w:pPr>
        <w:spacing w:after="0" w:line="353" w:lineRule="exact"/>
        <w:rPr>
          <w:sz w:val="20"/>
          <w:szCs w:val="20"/>
          <w:color w:val="auto"/>
        </w:rPr>
      </w:pPr>
    </w:p>
    <w:p>
      <w:pPr>
        <w:jc w:val="both"/>
        <w:ind w:firstLine="369"/>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or “</w:t>
      </w:r>
      <w:r>
        <w:rPr>
          <w:rFonts w:ascii="Arial" w:cs="Arial" w:eastAsia="Arial" w:hAnsi="Arial"/>
          <w:sz w:val="19"/>
          <w:szCs w:val="19"/>
          <w:b w:val="1"/>
          <w:bCs w:val="1"/>
          <w:color w:val="auto"/>
        </w:rPr>
        <w:t>FMV</w:t>
      </w:r>
      <w:r>
        <w:rPr>
          <w:rFonts w:ascii="Arial" w:cs="Arial" w:eastAsia="Arial" w:hAnsi="Arial"/>
          <w:sz w:val="19"/>
          <w:szCs w:val="19"/>
          <w:color w:val="auto"/>
        </w:rPr>
        <w:t>” means, as to any Collateral that is uncertfcated, the per share or per unit closing sale price quoted or reported at the close of the immediately preceding business day in the Securites Account, and, as to any Collateral that is certfcated, the per share or per unit closing sale price quoted or reported at the close of the immediately preceding business day were such share or unit held in uncertfcated form in a securites account at Wells Fargo Clearing Services, LLC, trading as Wells Fargo Advisors (or in either case if not available, such other customary publicaton of securites closing sale prices as Secured Party may reasonably elect to reference) multplied by the number of shares or units of like Collateral. The aggregate Fair Market Value of the Collateral is the total of all such Fair Market Values so determined plus the amount of cash Collateral. If Fair Market Value cannot be determined by the foregoing procedure, then Fair Market Value shall be determined by the Secured Party, in its sole discreton, by reference to the notonal amount of such assets or to public informaton and procedures</w:t>
      </w: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C-750SA_ALL.docx (08/22)</w:t>
            </w:r>
          </w:p>
        </w:tc>
        <w:tc>
          <w:tcPr>
            <w:tcW w:w="202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6" w:name="page77"/>
    <w:bookmarkEnd w:id="76"/>
    <w:p>
      <w:pPr>
        <w:jc w:val="both"/>
        <w:spacing w:after="0" w:line="274" w:lineRule="auto"/>
        <w:rPr>
          <w:sz w:val="20"/>
          <w:szCs w:val="20"/>
          <w:color w:val="auto"/>
        </w:rPr>
      </w:pPr>
      <w:r>
        <w:rPr>
          <w:rFonts w:ascii="Arial" w:cs="Arial" w:eastAsia="Arial" w:hAnsi="Arial"/>
          <w:sz w:val="20"/>
          <w:szCs w:val="20"/>
          <w:color w:val="auto"/>
        </w:rPr>
        <w:t>that may otherwise then be available. All cash and other value references are to currency denominated in dollars of the United States of America.</w:t>
      </w:r>
    </w:p>
    <w:p>
      <w:pPr>
        <w:spacing w:after="0" w:line="200" w:lineRule="exact"/>
        <w:rPr>
          <w:sz w:val="20"/>
          <w:szCs w:val="20"/>
          <w:color w:val="auto"/>
        </w:rPr>
      </w:pPr>
    </w:p>
    <w:p>
      <w:pPr>
        <w:spacing w:after="0" w:line="287" w:lineRule="exact"/>
        <w:rPr>
          <w:sz w:val="20"/>
          <w:szCs w:val="20"/>
          <w:color w:val="auto"/>
        </w:rPr>
      </w:pPr>
    </w:p>
    <w:p>
      <w:pPr>
        <w:jc w:val="both"/>
        <w:ind w:firstLine="408"/>
        <w:spacing w:after="0" w:line="274" w:lineRule="auto"/>
        <w:rPr>
          <w:sz w:val="20"/>
          <w:szCs w:val="20"/>
          <w:color w:val="auto"/>
        </w:rPr>
      </w:pPr>
      <w:r>
        <w:rPr>
          <w:rFonts w:ascii="Arial" w:cs="Arial" w:eastAsia="Arial" w:hAnsi="Arial"/>
          <w:sz w:val="20"/>
          <w:szCs w:val="20"/>
          <w:b w:val="1"/>
          <w:bCs w:val="1"/>
          <w:color w:val="auto"/>
        </w:rPr>
        <w:t xml:space="preserve">“FDIC Insttutonal Insured Liquid Deposits” </w:t>
      </w:r>
      <w:r>
        <w:rPr>
          <w:rFonts w:ascii="Arial" w:cs="Arial" w:eastAsia="Arial" w:hAnsi="Arial"/>
          <w:sz w:val="20"/>
          <w:szCs w:val="20"/>
          <w:color w:val="auto"/>
        </w:rPr>
        <w:t>means readily available deposits held at other United States fnancial insttutons</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with the FDIC.</w:t>
      </w:r>
    </w:p>
    <w:p>
      <w:pPr>
        <w:spacing w:after="0" w:line="200" w:lineRule="exact"/>
        <w:rPr>
          <w:sz w:val="20"/>
          <w:szCs w:val="20"/>
          <w:color w:val="auto"/>
        </w:rPr>
      </w:pPr>
    </w:p>
    <w:p>
      <w:pPr>
        <w:spacing w:after="0" w:line="301" w:lineRule="exact"/>
        <w:rPr>
          <w:sz w:val="20"/>
          <w:szCs w:val="20"/>
          <w:color w:val="auto"/>
        </w:rPr>
      </w:pPr>
    </w:p>
    <w:p>
      <w:pPr>
        <w:jc w:val="both"/>
        <w:ind w:firstLine="371"/>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Margin Value”</w:t>
      </w:r>
      <w:r>
        <w:rPr>
          <w:rFonts w:ascii="Arial" w:cs="Arial" w:eastAsia="Arial" w:hAnsi="Arial"/>
          <w:sz w:val="20"/>
          <w:szCs w:val="20"/>
          <w:color w:val="auto"/>
        </w:rPr>
        <w:t xml:space="preserve"> means the Fair Market Value of the Collateral multplied by the applicable percentage in the following table for each type of eligible Collateral held in the Securites Account at the tme of computaton, with the eligibility and classifcaton of any partcular Collateral determined in good faith by Secured Party in its sole discreton; </w:t>
      </w:r>
      <w:r>
        <w:rPr>
          <w:rFonts w:ascii="Arial" w:cs="Arial" w:eastAsia="Arial" w:hAnsi="Arial"/>
          <w:sz w:val="20"/>
          <w:szCs w:val="20"/>
          <w:u w:val="single" w:color="auto"/>
          <w:color w:val="auto"/>
        </w:rPr>
        <w:t>provided however</w:t>
      </w:r>
      <w:r>
        <w:rPr>
          <w:rFonts w:ascii="Arial" w:cs="Arial" w:eastAsia="Arial" w:hAnsi="Arial"/>
          <w:sz w:val="20"/>
          <w:szCs w:val="20"/>
          <w:color w:val="auto"/>
        </w:rPr>
        <w:t>, that subject to all other provisions regarding the eligibility of Collateral to satsfy value requirements, Collateral subject to assignment, pledge or similar consent requirements of third partes is not eligible to satsfy value requirements untl such consents satsfactory to Secured Party have been executed and delivered to Secured Party:</w:t>
      </w: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00" w:type="dxa"/>
            <w:vAlign w:val="bottom"/>
            <w:gridSpan w:val="3"/>
          </w:tcPr>
          <w:p>
            <w:pPr>
              <w:spacing w:after="0"/>
              <w:rPr>
                <w:sz w:val="20"/>
                <w:szCs w:val="20"/>
                <w:color w:val="auto"/>
              </w:rPr>
            </w:pPr>
            <w:r>
              <w:rPr>
                <w:rFonts w:ascii="Arial" w:cs="Arial" w:eastAsia="Arial" w:hAnsi="Arial"/>
                <w:sz w:val="20"/>
                <w:szCs w:val="20"/>
                <w:b w:val="1"/>
                <w:bCs w:val="1"/>
                <w:color w:val="auto"/>
              </w:rPr>
              <w:t>Collateral Type</w:t>
            </w:r>
          </w:p>
        </w:tc>
        <w:tc>
          <w:tcPr>
            <w:tcW w:w="7740" w:type="dxa"/>
            <w:vAlign w:val="bottom"/>
            <w:gridSpan w:val="3"/>
          </w:tcPr>
          <w:p>
            <w:pPr>
              <w:jc w:val="right"/>
              <w:ind w:right="4941"/>
              <w:spacing w:after="0"/>
              <w:rPr>
                <w:sz w:val="20"/>
                <w:szCs w:val="20"/>
                <w:color w:val="auto"/>
              </w:rPr>
            </w:pPr>
            <w:r>
              <w:rPr>
                <w:rFonts w:ascii="Arial" w:cs="Arial" w:eastAsia="Arial" w:hAnsi="Arial"/>
                <w:sz w:val="20"/>
                <w:szCs w:val="20"/>
                <w:b w:val="1"/>
                <w:bCs w:val="1"/>
                <w:color w:val="auto"/>
                <w:w w:val="88"/>
              </w:rPr>
              <w:t>Percentage of Fair Market Value</w:t>
            </w:r>
          </w:p>
        </w:tc>
      </w:tr>
      <w:tr>
        <w:trPr>
          <w:trHeight w:val="260"/>
        </w:trPr>
        <w:tc>
          <w:tcPr>
            <w:tcW w:w="1220" w:type="dxa"/>
            <w:vAlign w:val="bottom"/>
            <w:tcBorders>
              <w:top w:val="single" w:sz="8" w:color="auto"/>
              <w:bottom w:val="single" w:sz="8" w:color="BFBFBF"/>
            </w:tcBorders>
          </w:tcPr>
          <w:p>
            <w:pPr>
              <w:spacing w:after="0"/>
              <w:rPr>
                <w:sz w:val="22"/>
                <w:szCs w:val="22"/>
                <w:color w:val="auto"/>
              </w:rPr>
            </w:pPr>
          </w:p>
        </w:tc>
        <w:tc>
          <w:tcPr>
            <w:tcW w:w="1660" w:type="dxa"/>
            <w:vAlign w:val="bottom"/>
            <w:tcBorders>
              <w:bottom w:val="single" w:sz="8" w:color="BFBFBF"/>
            </w:tcBorders>
          </w:tcPr>
          <w:p>
            <w:pPr>
              <w:spacing w:after="0"/>
              <w:rPr>
                <w:sz w:val="22"/>
                <w:szCs w:val="22"/>
                <w:color w:val="auto"/>
              </w:rPr>
            </w:pPr>
          </w:p>
        </w:tc>
        <w:tc>
          <w:tcPr>
            <w:tcW w:w="620" w:type="dxa"/>
            <w:vAlign w:val="bottom"/>
            <w:tcBorders>
              <w:top w:val="single" w:sz="8" w:color="auto"/>
              <w:bottom w:val="single" w:sz="8" w:color="BFBFBF"/>
            </w:tcBorders>
          </w:tcPr>
          <w:p>
            <w:pPr>
              <w:spacing w:after="0"/>
              <w:rPr>
                <w:sz w:val="22"/>
                <w:szCs w:val="22"/>
                <w:color w:val="auto"/>
              </w:rPr>
            </w:pPr>
          </w:p>
        </w:tc>
        <w:tc>
          <w:tcPr>
            <w:tcW w:w="2700" w:type="dxa"/>
            <w:vAlign w:val="bottom"/>
            <w:tcBorders>
              <w:top w:val="single" w:sz="8" w:color="auto"/>
              <w:bottom w:val="single" w:sz="8" w:color="BFBFBF"/>
            </w:tcBorders>
          </w:tcPr>
          <w:p>
            <w:pPr>
              <w:spacing w:after="0"/>
              <w:rPr>
                <w:sz w:val="22"/>
                <w:szCs w:val="22"/>
                <w:color w:val="auto"/>
              </w:rPr>
            </w:pPr>
          </w:p>
        </w:tc>
        <w:tc>
          <w:tcPr>
            <w:tcW w:w="3860" w:type="dxa"/>
            <w:vAlign w:val="bottom"/>
            <w:tcBorders>
              <w:bottom w:val="single" w:sz="8" w:color="BFBFBF"/>
            </w:tcBorders>
          </w:tcPr>
          <w:p>
            <w:pPr>
              <w:spacing w:after="0"/>
              <w:rPr>
                <w:sz w:val="22"/>
                <w:szCs w:val="22"/>
                <w:color w:val="auto"/>
              </w:rPr>
            </w:pPr>
          </w:p>
        </w:tc>
        <w:tc>
          <w:tcPr>
            <w:tcW w:w="1180" w:type="dxa"/>
            <w:vAlign w:val="bottom"/>
            <w:tcBorders>
              <w:bottom w:val="single" w:sz="8" w:color="BFBFBF"/>
            </w:tcBorders>
          </w:tcPr>
          <w:p>
            <w:pPr>
              <w:spacing w:after="0"/>
              <w:rPr>
                <w:sz w:val="22"/>
                <w:szCs w:val="22"/>
                <w:color w:val="auto"/>
              </w:rPr>
            </w:pPr>
          </w:p>
        </w:tc>
      </w:tr>
      <w:tr>
        <w:trPr>
          <w:trHeight w:val="210"/>
        </w:trPr>
        <w:tc>
          <w:tcPr>
            <w:tcW w:w="3500" w:type="dxa"/>
            <w:vAlign w:val="bottom"/>
            <w:tcBorders>
              <w:left w:val="single" w:sz="8" w:color="BFBFBF"/>
            </w:tcBorders>
            <w:gridSpan w:val="3"/>
          </w:tcPr>
          <w:p>
            <w:pPr>
              <w:ind w:left="120"/>
              <w:spacing w:after="0" w:line="210" w:lineRule="exact"/>
              <w:rPr>
                <w:sz w:val="20"/>
                <w:szCs w:val="20"/>
                <w:color w:val="auto"/>
              </w:rPr>
            </w:pPr>
            <w:r>
              <w:rPr>
                <w:rFonts w:ascii="Arial" w:cs="Arial" w:eastAsia="Arial" w:hAnsi="Arial"/>
                <w:sz w:val="20"/>
                <w:szCs w:val="20"/>
                <w:color w:val="auto"/>
              </w:rPr>
              <w:t>Cash</w:t>
            </w:r>
          </w:p>
        </w:tc>
        <w:tc>
          <w:tcPr>
            <w:tcW w:w="2700" w:type="dxa"/>
            <w:vAlign w:val="bottom"/>
          </w:tcPr>
          <w:p>
            <w:pPr>
              <w:spacing w:after="0"/>
              <w:rPr>
                <w:sz w:val="18"/>
                <w:szCs w:val="18"/>
                <w:color w:val="auto"/>
              </w:rPr>
            </w:pPr>
          </w:p>
        </w:tc>
        <w:tc>
          <w:tcPr>
            <w:tcW w:w="3860" w:type="dxa"/>
            <w:vAlign w:val="bottom"/>
            <w:tcBorders>
              <w:right w:val="single" w:sz="8" w:color="BFBFBF"/>
            </w:tcBorders>
          </w:tcPr>
          <w:p>
            <w:pPr>
              <w:spacing w:after="0"/>
              <w:rPr>
                <w:sz w:val="18"/>
                <w:szCs w:val="18"/>
                <w:color w:val="auto"/>
              </w:rPr>
            </w:pPr>
          </w:p>
        </w:tc>
        <w:tc>
          <w:tcPr>
            <w:tcW w:w="1180" w:type="dxa"/>
            <w:vAlign w:val="bottom"/>
            <w:tcBorders>
              <w:right w:val="single" w:sz="8" w:color="BFBFBF"/>
            </w:tcBorders>
          </w:tcPr>
          <w:p>
            <w:pPr>
              <w:jc w:val="right"/>
              <w:ind w:right="601"/>
              <w:spacing w:after="0" w:line="210" w:lineRule="exact"/>
              <w:rPr>
                <w:sz w:val="20"/>
                <w:szCs w:val="20"/>
                <w:color w:val="auto"/>
              </w:rPr>
            </w:pPr>
            <w:r>
              <w:rPr>
                <w:rFonts w:ascii="Arial" w:cs="Arial" w:eastAsia="Arial" w:hAnsi="Arial"/>
                <w:sz w:val="20"/>
                <w:szCs w:val="20"/>
                <w:color w:val="auto"/>
              </w:rPr>
              <w:t>[***]</w:t>
            </w:r>
          </w:p>
        </w:tc>
      </w:tr>
      <w:tr>
        <w:trPr>
          <w:trHeight w:val="188"/>
        </w:trPr>
        <w:tc>
          <w:tcPr>
            <w:tcW w:w="1220" w:type="dxa"/>
            <w:vAlign w:val="bottom"/>
            <w:tcBorders>
              <w:left w:val="single" w:sz="8" w:color="BFBFBF"/>
              <w:bottom w:val="single" w:sz="8" w:color="BFBFBF"/>
            </w:tcBorders>
          </w:tcPr>
          <w:p>
            <w:pPr>
              <w:spacing w:after="0"/>
              <w:rPr>
                <w:sz w:val="16"/>
                <w:szCs w:val="16"/>
                <w:color w:val="auto"/>
              </w:rPr>
            </w:pPr>
          </w:p>
        </w:tc>
        <w:tc>
          <w:tcPr>
            <w:tcW w:w="1660" w:type="dxa"/>
            <w:vAlign w:val="bottom"/>
            <w:tcBorders>
              <w:bottom w:val="single" w:sz="8" w:color="BFBFBF"/>
            </w:tcBorders>
          </w:tcPr>
          <w:p>
            <w:pPr>
              <w:spacing w:after="0"/>
              <w:rPr>
                <w:sz w:val="16"/>
                <w:szCs w:val="16"/>
                <w:color w:val="auto"/>
              </w:rPr>
            </w:pPr>
          </w:p>
        </w:tc>
        <w:tc>
          <w:tcPr>
            <w:tcW w:w="620" w:type="dxa"/>
            <w:vAlign w:val="bottom"/>
            <w:tcBorders>
              <w:bottom w:val="single" w:sz="8" w:color="BFBFBF"/>
            </w:tcBorders>
          </w:tcPr>
          <w:p>
            <w:pPr>
              <w:spacing w:after="0"/>
              <w:rPr>
                <w:sz w:val="16"/>
                <w:szCs w:val="16"/>
                <w:color w:val="auto"/>
              </w:rPr>
            </w:pPr>
          </w:p>
        </w:tc>
        <w:tc>
          <w:tcPr>
            <w:tcW w:w="2700" w:type="dxa"/>
            <w:vAlign w:val="bottom"/>
            <w:tcBorders>
              <w:bottom w:val="single" w:sz="8" w:color="BFBFBF"/>
            </w:tcBorders>
          </w:tcPr>
          <w:p>
            <w:pPr>
              <w:spacing w:after="0"/>
              <w:rPr>
                <w:sz w:val="16"/>
                <w:szCs w:val="16"/>
                <w:color w:val="auto"/>
              </w:rPr>
            </w:pPr>
          </w:p>
        </w:tc>
        <w:tc>
          <w:tcPr>
            <w:tcW w:w="3860" w:type="dxa"/>
            <w:vAlign w:val="bottom"/>
            <w:tcBorders>
              <w:bottom w:val="single" w:sz="8" w:color="BFBFBF"/>
              <w:right w:val="single" w:sz="8" w:color="BFBFBF"/>
            </w:tcBorders>
          </w:tcPr>
          <w:p>
            <w:pPr>
              <w:spacing w:after="0"/>
              <w:rPr>
                <w:sz w:val="16"/>
                <w:szCs w:val="16"/>
                <w:color w:val="auto"/>
              </w:rPr>
            </w:pPr>
          </w:p>
        </w:tc>
        <w:tc>
          <w:tcPr>
            <w:tcW w:w="1180" w:type="dxa"/>
            <w:vAlign w:val="bottom"/>
            <w:tcBorders>
              <w:bottom w:val="single" w:sz="8" w:color="BFBFBF"/>
              <w:right w:val="single" w:sz="8" w:color="BFBFBF"/>
            </w:tcBorders>
          </w:tcPr>
          <w:p>
            <w:pPr>
              <w:spacing w:after="0"/>
              <w:rPr>
                <w:sz w:val="16"/>
                <w:szCs w:val="16"/>
                <w:color w:val="auto"/>
              </w:rPr>
            </w:pPr>
          </w:p>
        </w:tc>
      </w:tr>
      <w:tr>
        <w:trPr>
          <w:trHeight w:val="210"/>
        </w:trPr>
        <w:tc>
          <w:tcPr>
            <w:tcW w:w="3500" w:type="dxa"/>
            <w:vAlign w:val="bottom"/>
            <w:tcBorders>
              <w:left w:val="single" w:sz="8" w:color="BFBFBF"/>
            </w:tcBorders>
            <w:gridSpan w:val="3"/>
          </w:tcPr>
          <w:p>
            <w:pPr>
              <w:ind w:left="120"/>
              <w:spacing w:after="0" w:line="210" w:lineRule="exact"/>
              <w:rPr>
                <w:sz w:val="20"/>
                <w:szCs w:val="20"/>
                <w:color w:val="auto"/>
              </w:rPr>
            </w:pPr>
            <w:r>
              <w:rPr>
                <w:rFonts w:ascii="Arial" w:cs="Arial" w:eastAsia="Arial" w:hAnsi="Arial"/>
                <w:sz w:val="20"/>
                <w:szCs w:val="20"/>
                <w:color w:val="auto"/>
                <w:w w:val="99"/>
              </w:rPr>
              <w:t>US Government Money Market Funds</w:t>
            </w:r>
          </w:p>
        </w:tc>
        <w:tc>
          <w:tcPr>
            <w:tcW w:w="2700" w:type="dxa"/>
            <w:vAlign w:val="bottom"/>
          </w:tcPr>
          <w:p>
            <w:pPr>
              <w:spacing w:after="0"/>
              <w:rPr>
                <w:sz w:val="18"/>
                <w:szCs w:val="18"/>
                <w:color w:val="auto"/>
              </w:rPr>
            </w:pPr>
          </w:p>
        </w:tc>
        <w:tc>
          <w:tcPr>
            <w:tcW w:w="3860" w:type="dxa"/>
            <w:vAlign w:val="bottom"/>
            <w:tcBorders>
              <w:right w:val="single" w:sz="8" w:color="BFBFBF"/>
            </w:tcBorders>
          </w:tcPr>
          <w:p>
            <w:pPr>
              <w:spacing w:after="0"/>
              <w:rPr>
                <w:sz w:val="18"/>
                <w:szCs w:val="18"/>
                <w:color w:val="auto"/>
              </w:rPr>
            </w:pPr>
          </w:p>
        </w:tc>
        <w:tc>
          <w:tcPr>
            <w:tcW w:w="1180" w:type="dxa"/>
            <w:vAlign w:val="bottom"/>
            <w:tcBorders>
              <w:right w:val="single" w:sz="8" w:color="BFBFBF"/>
            </w:tcBorders>
          </w:tcPr>
          <w:p>
            <w:pPr>
              <w:jc w:val="right"/>
              <w:ind w:right="601"/>
              <w:spacing w:after="0" w:line="210" w:lineRule="exact"/>
              <w:rPr>
                <w:sz w:val="20"/>
                <w:szCs w:val="20"/>
                <w:color w:val="auto"/>
              </w:rPr>
            </w:pPr>
            <w:r>
              <w:rPr>
                <w:rFonts w:ascii="Arial" w:cs="Arial" w:eastAsia="Arial" w:hAnsi="Arial"/>
                <w:sz w:val="20"/>
                <w:szCs w:val="20"/>
                <w:color w:val="auto"/>
              </w:rPr>
              <w:t>[***]</w:t>
            </w:r>
          </w:p>
        </w:tc>
      </w:tr>
      <w:tr>
        <w:trPr>
          <w:trHeight w:val="165"/>
        </w:trPr>
        <w:tc>
          <w:tcPr>
            <w:tcW w:w="1220" w:type="dxa"/>
            <w:vAlign w:val="bottom"/>
            <w:tcBorders>
              <w:left w:val="single" w:sz="8" w:color="BFBFBF"/>
              <w:bottom w:val="single" w:sz="8" w:color="BFBFBF"/>
            </w:tcBorders>
          </w:tcPr>
          <w:p>
            <w:pPr>
              <w:spacing w:after="0"/>
              <w:rPr>
                <w:sz w:val="14"/>
                <w:szCs w:val="14"/>
                <w:color w:val="auto"/>
              </w:rPr>
            </w:pPr>
          </w:p>
        </w:tc>
        <w:tc>
          <w:tcPr>
            <w:tcW w:w="1660" w:type="dxa"/>
            <w:vAlign w:val="bottom"/>
            <w:tcBorders>
              <w:bottom w:val="single" w:sz="8" w:color="BFBFBF"/>
            </w:tcBorders>
          </w:tcPr>
          <w:p>
            <w:pPr>
              <w:spacing w:after="0"/>
              <w:rPr>
                <w:sz w:val="14"/>
                <w:szCs w:val="14"/>
                <w:color w:val="auto"/>
              </w:rPr>
            </w:pPr>
          </w:p>
        </w:tc>
        <w:tc>
          <w:tcPr>
            <w:tcW w:w="620" w:type="dxa"/>
            <w:vAlign w:val="bottom"/>
            <w:tcBorders>
              <w:bottom w:val="single" w:sz="8" w:color="BFBFBF"/>
            </w:tcBorders>
          </w:tcPr>
          <w:p>
            <w:pPr>
              <w:spacing w:after="0"/>
              <w:rPr>
                <w:sz w:val="14"/>
                <w:szCs w:val="14"/>
                <w:color w:val="auto"/>
              </w:rPr>
            </w:pPr>
          </w:p>
        </w:tc>
        <w:tc>
          <w:tcPr>
            <w:tcW w:w="2700" w:type="dxa"/>
            <w:vAlign w:val="bottom"/>
            <w:tcBorders>
              <w:bottom w:val="single" w:sz="8" w:color="BFBFBF"/>
            </w:tcBorders>
          </w:tcPr>
          <w:p>
            <w:pPr>
              <w:spacing w:after="0"/>
              <w:rPr>
                <w:sz w:val="14"/>
                <w:szCs w:val="14"/>
                <w:color w:val="auto"/>
              </w:rPr>
            </w:pPr>
          </w:p>
        </w:tc>
        <w:tc>
          <w:tcPr>
            <w:tcW w:w="3860" w:type="dxa"/>
            <w:vAlign w:val="bottom"/>
            <w:tcBorders>
              <w:bottom w:val="single" w:sz="8" w:color="BFBFBF"/>
              <w:right w:val="single" w:sz="8" w:color="BFBFBF"/>
            </w:tcBorders>
          </w:tcPr>
          <w:p>
            <w:pPr>
              <w:spacing w:after="0"/>
              <w:rPr>
                <w:sz w:val="14"/>
                <w:szCs w:val="14"/>
                <w:color w:val="auto"/>
              </w:rPr>
            </w:pPr>
          </w:p>
        </w:tc>
        <w:tc>
          <w:tcPr>
            <w:tcW w:w="1180" w:type="dxa"/>
            <w:vAlign w:val="bottom"/>
            <w:tcBorders>
              <w:bottom w:val="single" w:sz="8" w:color="BFBFBF"/>
              <w:right w:val="single" w:sz="8" w:color="BFBFBF"/>
            </w:tcBorders>
          </w:tcPr>
          <w:p>
            <w:pPr>
              <w:spacing w:after="0"/>
              <w:rPr>
                <w:sz w:val="14"/>
                <w:szCs w:val="14"/>
                <w:color w:val="auto"/>
              </w:rPr>
            </w:pPr>
          </w:p>
        </w:tc>
      </w:tr>
      <w:tr>
        <w:trPr>
          <w:trHeight w:val="244"/>
        </w:trPr>
        <w:tc>
          <w:tcPr>
            <w:tcW w:w="3500" w:type="dxa"/>
            <w:vAlign w:val="bottom"/>
            <w:tcBorders>
              <w:left w:val="single" w:sz="8" w:color="BFBFBF"/>
            </w:tcBorders>
            <w:gridSpan w:val="3"/>
          </w:tcPr>
          <w:p>
            <w:pPr>
              <w:ind w:left="120"/>
              <w:spacing w:after="0"/>
              <w:rPr>
                <w:sz w:val="20"/>
                <w:szCs w:val="20"/>
                <w:color w:val="auto"/>
              </w:rPr>
            </w:pPr>
            <w:r>
              <w:rPr>
                <w:rFonts w:ascii="Arial" w:cs="Arial" w:eastAsia="Arial" w:hAnsi="Arial"/>
                <w:sz w:val="20"/>
                <w:szCs w:val="20"/>
                <w:color w:val="auto"/>
                <w:w w:val="93"/>
              </w:rPr>
              <w:t>FDIC Insttutonal Insured Liquid Deposits</w:t>
            </w:r>
          </w:p>
        </w:tc>
        <w:tc>
          <w:tcPr>
            <w:tcW w:w="2700" w:type="dxa"/>
            <w:vAlign w:val="bottom"/>
          </w:tcPr>
          <w:p>
            <w:pPr>
              <w:spacing w:after="0"/>
              <w:rPr>
                <w:sz w:val="21"/>
                <w:szCs w:val="21"/>
                <w:color w:val="auto"/>
              </w:rPr>
            </w:pPr>
          </w:p>
        </w:tc>
        <w:tc>
          <w:tcPr>
            <w:tcW w:w="3860" w:type="dxa"/>
            <w:vAlign w:val="bottom"/>
            <w:tcBorders>
              <w:right w:val="single" w:sz="8" w:color="BFBFBF"/>
            </w:tcBorders>
          </w:tcPr>
          <w:p>
            <w:pPr>
              <w:spacing w:after="0"/>
              <w:rPr>
                <w:sz w:val="21"/>
                <w:szCs w:val="21"/>
                <w:color w:val="auto"/>
              </w:rPr>
            </w:pPr>
          </w:p>
        </w:tc>
        <w:tc>
          <w:tcPr>
            <w:tcW w:w="1180" w:type="dxa"/>
            <w:vAlign w:val="bottom"/>
            <w:tcBorders>
              <w:right w:val="single" w:sz="8" w:color="BFBFBF"/>
            </w:tcBorders>
          </w:tcPr>
          <w:p>
            <w:pPr>
              <w:jc w:val="right"/>
              <w:ind w:right="601"/>
              <w:spacing w:after="0"/>
              <w:rPr>
                <w:sz w:val="20"/>
                <w:szCs w:val="20"/>
                <w:color w:val="auto"/>
              </w:rPr>
            </w:pPr>
            <w:r>
              <w:rPr>
                <w:rFonts w:ascii="Arial" w:cs="Arial" w:eastAsia="Arial" w:hAnsi="Arial"/>
                <w:sz w:val="20"/>
                <w:szCs w:val="20"/>
                <w:color w:val="auto"/>
              </w:rPr>
              <w:t>[***]</w:t>
            </w:r>
          </w:p>
        </w:tc>
      </w:tr>
      <w:tr>
        <w:trPr>
          <w:trHeight w:val="546"/>
        </w:trPr>
        <w:tc>
          <w:tcPr>
            <w:tcW w:w="1220" w:type="dxa"/>
            <w:vAlign w:val="bottom"/>
            <w:tcBorders>
              <w:left w:val="single" w:sz="8" w:color="BFBFBF"/>
              <w:bottom w:val="single" w:sz="8" w:color="BFBFBF"/>
            </w:tcBorders>
          </w:tcPr>
          <w:p>
            <w:pPr>
              <w:spacing w:after="0"/>
              <w:rPr>
                <w:sz w:val="24"/>
                <w:szCs w:val="24"/>
                <w:color w:val="auto"/>
              </w:rPr>
            </w:pPr>
          </w:p>
        </w:tc>
        <w:tc>
          <w:tcPr>
            <w:tcW w:w="166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2700" w:type="dxa"/>
            <w:vAlign w:val="bottom"/>
            <w:tcBorders>
              <w:bottom w:val="single" w:sz="8" w:color="BFBFBF"/>
            </w:tcBorders>
          </w:tcPr>
          <w:p>
            <w:pPr>
              <w:spacing w:after="0"/>
              <w:rPr>
                <w:sz w:val="24"/>
                <w:szCs w:val="24"/>
                <w:color w:val="auto"/>
              </w:rPr>
            </w:pPr>
          </w:p>
        </w:tc>
        <w:tc>
          <w:tcPr>
            <w:tcW w:w="3860" w:type="dxa"/>
            <w:vAlign w:val="bottom"/>
            <w:tcBorders>
              <w:bottom w:val="single" w:sz="8" w:color="BFBFBF"/>
              <w:right w:val="single" w:sz="8" w:color="BFBFBF"/>
            </w:tcBorders>
          </w:tcPr>
          <w:p>
            <w:pPr>
              <w:spacing w:after="0"/>
              <w:rPr>
                <w:sz w:val="24"/>
                <w:szCs w:val="24"/>
                <w:color w:val="auto"/>
              </w:rPr>
            </w:pPr>
          </w:p>
        </w:tc>
        <w:tc>
          <w:tcPr>
            <w:tcW w:w="1180" w:type="dxa"/>
            <w:vAlign w:val="bottom"/>
            <w:tcBorders>
              <w:bottom w:val="single" w:sz="8" w:color="BFBFBF"/>
              <w:right w:val="single" w:sz="8" w:color="BFBFBF"/>
            </w:tcBorders>
          </w:tcPr>
          <w:p>
            <w:pPr>
              <w:spacing w:after="0"/>
              <w:rPr>
                <w:sz w:val="24"/>
                <w:szCs w:val="24"/>
                <w:color w:val="auto"/>
              </w:rPr>
            </w:pPr>
          </w:p>
        </w:tc>
      </w:tr>
      <w:tr>
        <w:trPr>
          <w:trHeight w:val="244"/>
        </w:trPr>
        <w:tc>
          <w:tcPr>
            <w:tcW w:w="3500" w:type="dxa"/>
            <w:vAlign w:val="bottom"/>
            <w:tcBorders>
              <w:left w:val="single" w:sz="8" w:color="BFBFBF"/>
            </w:tcBorders>
            <w:gridSpan w:val="3"/>
          </w:tcPr>
          <w:p>
            <w:pPr>
              <w:ind w:left="120"/>
              <w:spacing w:after="0"/>
              <w:rPr>
                <w:sz w:val="20"/>
                <w:szCs w:val="20"/>
                <w:color w:val="auto"/>
              </w:rPr>
            </w:pPr>
            <w:r>
              <w:rPr>
                <w:rFonts w:ascii="Arial" w:cs="Arial" w:eastAsia="Arial" w:hAnsi="Arial"/>
                <w:sz w:val="20"/>
                <w:szCs w:val="20"/>
                <w:color w:val="auto"/>
              </w:rPr>
              <w:t>All Other Types of Collateral</w:t>
            </w:r>
          </w:p>
        </w:tc>
        <w:tc>
          <w:tcPr>
            <w:tcW w:w="2700" w:type="dxa"/>
            <w:vAlign w:val="bottom"/>
          </w:tcPr>
          <w:p>
            <w:pPr>
              <w:spacing w:after="0"/>
              <w:rPr>
                <w:sz w:val="21"/>
                <w:szCs w:val="21"/>
                <w:color w:val="auto"/>
              </w:rPr>
            </w:pPr>
          </w:p>
        </w:tc>
        <w:tc>
          <w:tcPr>
            <w:tcW w:w="3860" w:type="dxa"/>
            <w:vAlign w:val="bottom"/>
            <w:tcBorders>
              <w:right w:val="single" w:sz="8" w:color="BFBFBF"/>
            </w:tcBorders>
          </w:tcPr>
          <w:p>
            <w:pPr>
              <w:spacing w:after="0"/>
              <w:rPr>
                <w:sz w:val="21"/>
                <w:szCs w:val="21"/>
                <w:color w:val="auto"/>
              </w:rPr>
            </w:pPr>
          </w:p>
        </w:tc>
        <w:tc>
          <w:tcPr>
            <w:tcW w:w="1180" w:type="dxa"/>
            <w:vAlign w:val="bottom"/>
            <w:tcBorders>
              <w:right w:val="single" w:sz="8" w:color="BFBFBF"/>
            </w:tcBorders>
          </w:tcPr>
          <w:p>
            <w:pPr>
              <w:jc w:val="right"/>
              <w:ind w:right="601"/>
              <w:spacing w:after="0"/>
              <w:rPr>
                <w:sz w:val="20"/>
                <w:szCs w:val="20"/>
                <w:color w:val="auto"/>
              </w:rPr>
            </w:pPr>
            <w:r>
              <w:rPr>
                <w:rFonts w:ascii="Arial" w:cs="Arial" w:eastAsia="Arial" w:hAnsi="Arial"/>
                <w:sz w:val="20"/>
                <w:szCs w:val="20"/>
                <w:color w:val="auto"/>
              </w:rPr>
              <w:t>[***]</w:t>
            </w:r>
          </w:p>
        </w:tc>
      </w:tr>
      <w:tr>
        <w:trPr>
          <w:trHeight w:val="168"/>
        </w:trPr>
        <w:tc>
          <w:tcPr>
            <w:tcW w:w="1220" w:type="dxa"/>
            <w:vAlign w:val="bottom"/>
            <w:tcBorders>
              <w:left w:val="single" w:sz="8" w:color="BFBFBF"/>
              <w:bottom w:val="single" w:sz="8" w:color="BFBFBF"/>
            </w:tcBorders>
          </w:tcPr>
          <w:p>
            <w:pPr>
              <w:spacing w:after="0"/>
              <w:rPr>
                <w:sz w:val="14"/>
                <w:szCs w:val="14"/>
                <w:color w:val="auto"/>
              </w:rPr>
            </w:pPr>
          </w:p>
        </w:tc>
        <w:tc>
          <w:tcPr>
            <w:tcW w:w="1660" w:type="dxa"/>
            <w:vAlign w:val="bottom"/>
            <w:tcBorders>
              <w:bottom w:val="single" w:sz="8" w:color="BFBFBF"/>
            </w:tcBorders>
          </w:tcPr>
          <w:p>
            <w:pPr>
              <w:spacing w:after="0"/>
              <w:rPr>
                <w:sz w:val="14"/>
                <w:szCs w:val="14"/>
                <w:color w:val="auto"/>
              </w:rPr>
            </w:pPr>
          </w:p>
        </w:tc>
        <w:tc>
          <w:tcPr>
            <w:tcW w:w="620" w:type="dxa"/>
            <w:vAlign w:val="bottom"/>
            <w:tcBorders>
              <w:bottom w:val="single" w:sz="8" w:color="BFBFBF"/>
            </w:tcBorders>
          </w:tcPr>
          <w:p>
            <w:pPr>
              <w:spacing w:after="0"/>
              <w:rPr>
                <w:sz w:val="14"/>
                <w:szCs w:val="14"/>
                <w:color w:val="auto"/>
              </w:rPr>
            </w:pPr>
          </w:p>
        </w:tc>
        <w:tc>
          <w:tcPr>
            <w:tcW w:w="2700" w:type="dxa"/>
            <w:vAlign w:val="bottom"/>
            <w:tcBorders>
              <w:bottom w:val="single" w:sz="8" w:color="BFBFBF"/>
            </w:tcBorders>
          </w:tcPr>
          <w:p>
            <w:pPr>
              <w:spacing w:after="0"/>
              <w:rPr>
                <w:sz w:val="14"/>
                <w:szCs w:val="14"/>
                <w:color w:val="auto"/>
              </w:rPr>
            </w:pPr>
          </w:p>
        </w:tc>
        <w:tc>
          <w:tcPr>
            <w:tcW w:w="3860" w:type="dxa"/>
            <w:vAlign w:val="bottom"/>
            <w:tcBorders>
              <w:bottom w:val="single" w:sz="8" w:color="BFBFBF"/>
              <w:right w:val="single" w:sz="8" w:color="BFBFBF"/>
            </w:tcBorders>
          </w:tcPr>
          <w:p>
            <w:pPr>
              <w:spacing w:after="0"/>
              <w:rPr>
                <w:sz w:val="14"/>
                <w:szCs w:val="14"/>
                <w:color w:val="auto"/>
              </w:rPr>
            </w:pPr>
          </w:p>
        </w:tc>
        <w:tc>
          <w:tcPr>
            <w:tcW w:w="1180" w:type="dxa"/>
            <w:vAlign w:val="bottom"/>
            <w:tcBorders>
              <w:bottom w:val="single" w:sz="8" w:color="BFBFBF"/>
              <w:right w:val="single" w:sz="8" w:color="BFBFBF"/>
            </w:tcBorders>
          </w:tcPr>
          <w:p>
            <w:pPr>
              <w:spacing w:after="0"/>
              <w:rPr>
                <w:sz w:val="14"/>
                <w:szCs w:val="14"/>
                <w:color w:val="auto"/>
              </w:rPr>
            </w:pPr>
          </w:p>
        </w:tc>
      </w:tr>
    </w:tbl>
    <w:p>
      <w:pPr>
        <w:spacing w:after="0" w:line="353" w:lineRule="exact"/>
        <w:rPr>
          <w:sz w:val="20"/>
          <w:szCs w:val="20"/>
          <w:color w:val="auto"/>
        </w:rPr>
      </w:pPr>
    </w:p>
    <w:p>
      <w:pPr>
        <w:ind w:right="300" w:firstLine="358"/>
        <w:spacing w:after="0" w:line="274" w:lineRule="auto"/>
        <w:rPr>
          <w:sz w:val="20"/>
          <w:szCs w:val="20"/>
          <w:color w:val="auto"/>
        </w:rPr>
      </w:pPr>
      <w:r>
        <w:rPr>
          <w:rFonts w:ascii="Arial" w:cs="Arial" w:eastAsia="Arial" w:hAnsi="Arial"/>
          <w:sz w:val="20"/>
          <w:szCs w:val="20"/>
          <w:b w:val="1"/>
          <w:bCs w:val="1"/>
          <w:color w:val="auto"/>
        </w:rPr>
        <w:t xml:space="preserve">“US Government Money Market Funds” </w:t>
      </w:r>
      <w:r>
        <w:rPr>
          <w:rFonts w:ascii="Arial" w:cs="Arial" w:eastAsia="Arial" w:hAnsi="Arial"/>
          <w:sz w:val="20"/>
          <w:szCs w:val="20"/>
          <w:color w:val="auto"/>
        </w:rPr>
        <w:t>means readily available investments in AAA-rated money market funds that invest solely in</w:t>
      </w:r>
      <w:r>
        <w:rPr>
          <w:rFonts w:ascii="Arial" w:cs="Arial" w:eastAsia="Arial" w:hAnsi="Arial"/>
          <w:sz w:val="20"/>
          <w:szCs w:val="20"/>
          <w:b w:val="1"/>
          <w:bCs w:val="1"/>
          <w:color w:val="auto"/>
        </w:rPr>
        <w:t xml:space="preserve"> </w:t>
      </w:r>
      <w:r>
        <w:rPr>
          <w:rFonts w:ascii="Arial" w:cs="Arial" w:eastAsia="Arial" w:hAnsi="Arial"/>
          <w:sz w:val="20"/>
          <w:szCs w:val="20"/>
          <w:color w:val="auto"/>
        </w:rPr>
        <w:t>United States government securites.</w:t>
      </w:r>
    </w:p>
    <w:p>
      <w:pPr>
        <w:spacing w:after="0" w:line="200" w:lineRule="exact"/>
        <w:rPr>
          <w:sz w:val="20"/>
          <w:szCs w:val="20"/>
          <w:color w:val="auto"/>
        </w:rPr>
      </w:pPr>
    </w:p>
    <w:p>
      <w:pPr>
        <w:spacing w:after="0" w:line="287" w:lineRule="exact"/>
        <w:rPr>
          <w:sz w:val="20"/>
          <w:szCs w:val="20"/>
          <w:color w:val="auto"/>
        </w:rPr>
      </w:pPr>
    </w:p>
    <w:p>
      <w:pPr>
        <w:jc w:val="both"/>
        <w:ind w:firstLine="757"/>
        <w:spacing w:after="0" w:line="258" w:lineRule="auto"/>
        <w:tabs>
          <w:tab w:leader="none" w:pos="1095" w:val="left"/>
        </w:tabs>
        <w:numPr>
          <w:ilvl w:val="1"/>
          <w:numId w:val="51"/>
        </w:numPr>
        <w:rPr>
          <w:rFonts w:ascii="Arial" w:cs="Arial" w:eastAsia="Arial" w:hAnsi="Arial"/>
          <w:sz w:val="20"/>
          <w:szCs w:val="20"/>
          <w:color w:val="auto"/>
        </w:rPr>
      </w:pPr>
      <w:r>
        <w:rPr>
          <w:rFonts w:ascii="Arial" w:cs="Arial" w:eastAsia="Arial" w:hAnsi="Arial"/>
          <w:sz w:val="20"/>
          <w:szCs w:val="20"/>
          <w:color w:val="auto"/>
        </w:rPr>
        <w:t>TERMINATION; RELEASE. On the date on which all Secured Obligatons have been paid and performed in full, the Secured Party will, at the request and sole expense of Grantor, (a) duly assign, transfer and deliver to or at the directon of Grantor (without recourse and without any representaton or warranty) such Collateral as may then remain in the possession of the Secured Party, together with any monies at the tme held by the Secured Party hereunder, and (b) execute and deliver to Grantor a proper instrument or instruments acknowledging the satsfacton and terminaton of this Agreement.</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jc w:val="both"/>
        <w:ind w:firstLine="371"/>
        <w:spacing w:after="0" w:line="264" w:lineRule="auto"/>
        <w:tabs>
          <w:tab w:leader="none" w:pos="727" w:val="left"/>
        </w:tabs>
        <w:numPr>
          <w:ilvl w:val="0"/>
          <w:numId w:val="52"/>
        </w:numPr>
        <w:rPr>
          <w:rFonts w:ascii="Arial" w:cs="Arial" w:eastAsia="Arial" w:hAnsi="Arial"/>
          <w:sz w:val="20"/>
          <w:szCs w:val="20"/>
          <w:color w:val="auto"/>
        </w:rPr>
      </w:pPr>
      <w:r>
        <w:rPr>
          <w:rFonts w:ascii="Arial" w:cs="Arial" w:eastAsia="Arial" w:hAnsi="Arial"/>
          <w:sz w:val="20"/>
          <w:szCs w:val="20"/>
          <w:color w:val="auto"/>
        </w:rPr>
        <w:t>OBLIGATIONS OF SECURED PARTY. Secured Party has no obligaton to make any loans hereunder. Any money received by Secured Party in respect of the Collateral may be deposited, at Secured Party's opton, into a non-interest bearing account over which Grantor shall have no control, and</w:t>
      </w:r>
    </w:p>
    <w:p>
      <w:pPr>
        <w:spacing w:after="0" w:line="389"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C-750SA_ALL.docx (08/22)</w:t>
            </w:r>
          </w:p>
        </w:tc>
        <w:tc>
          <w:tcPr>
            <w:tcW w:w="202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7" w:name="page78"/>
    <w:bookmarkEnd w:id="77"/>
    <w:p>
      <w:pPr>
        <w:jc w:val="both"/>
        <w:spacing w:after="0" w:line="256" w:lineRule="auto"/>
        <w:rPr>
          <w:sz w:val="20"/>
          <w:szCs w:val="20"/>
          <w:color w:val="auto"/>
        </w:rPr>
      </w:pPr>
      <w:r>
        <w:rPr>
          <w:rFonts w:ascii="Arial" w:cs="Arial" w:eastAsia="Arial" w:hAnsi="Arial"/>
          <w:sz w:val="20"/>
          <w:szCs w:val="20"/>
          <w:color w:val="auto"/>
        </w:rPr>
        <w:t>the same shall, for all purposes, be deemed Collateral hereunder. Secured Party shall not be required to apply such money to the Indebtedness or other obligatons secured hereby or to remit such money to Grantor or to any other party untl the full payment of all Indebtedness of Grantor to Secured Party, and the terminaton of all commitments of Secured Party to extend credit to Grantor. Secured Party shall have no duty to take any steps necessary to preserve the rights of Grantor against prior partes, or to initate any acton to protect against the possibility of a decline in the market value of the Collateral or Proceeds. Secured Party shall not be obligated to take any acton with respect to the Collateral or Proceeds requested by Grantor unless such request is made in writng and Secured Party determines, in its sole discreton, that the requested acton would not unreasonably jeopardize the value of the Collateral and Proceeds as security for the Indebtedness.</w:t>
      </w:r>
    </w:p>
    <w:p>
      <w:pPr>
        <w:spacing w:after="0" w:line="200" w:lineRule="exact"/>
        <w:rPr>
          <w:sz w:val="20"/>
          <w:szCs w:val="20"/>
          <w:color w:val="auto"/>
        </w:rPr>
      </w:pPr>
    </w:p>
    <w:p>
      <w:pPr>
        <w:spacing w:after="0" w:line="308" w:lineRule="exact"/>
        <w:rPr>
          <w:sz w:val="20"/>
          <w:szCs w:val="20"/>
          <w:color w:val="auto"/>
        </w:rPr>
      </w:pPr>
    </w:p>
    <w:p>
      <w:pPr>
        <w:jc w:val="both"/>
        <w:ind w:firstLine="374"/>
        <w:spacing w:after="0" w:line="286" w:lineRule="auto"/>
        <w:tabs>
          <w:tab w:leader="none" w:pos="7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REPRESENTATIONS AND WARRANTIES. Grantor represents and warrants to Secured Party that: (a) Grantor's legal name is exactly as set forth on the frst page of this Agreement, and all of Grantor's organizatonal documents or agreements delivered to Secured Party are complete and accurate in every respect; (b) Grantor is the owner of the Collateral and Proceeds; (c) Grantor has the exclusive right to grant a security interest in the Collateral and Proceeds; (d) all Collateral and Proceeds are genuine, free from liens, adverse claims, setofs, default, prepayment, defenses and conditons precedent of any kind or character, except the lien created hereby or as otherwise agreed to by Secured Party, or heretofore disclosed by Grantor to Secured Party, in writng; (e) all statements contained herein and, where applicable, in the Collateral, are true and complete in all material respects; (f) no fnancing statement or control agreement covering any of the Collateral or Proceeds, and naming any secured party other than Secured Party, exists or is on fle in any public ofce or remains in efect; (g) no person or entty, other than Grantor, Secured Party and Intermediary, has any interest in or control over the Collateral; and (h) specifcally with respect to Collateral and Proceeds consistng of investment securites, instruments, chatel paper, documents, contracts, insurance policies or any like property, (i) all persons appearing to be obligated thereon have authority and capacity to contract and are bound as they appear to be, and (ii) the same comply with applicable laws concerning form, content and manner of preparaton and executon.</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720" w:hanging="354"/>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COVENANTS OF GRANTOR.</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jc w:val="both"/>
        <w:ind w:firstLine="757"/>
        <w:spacing w:after="0" w:line="291" w:lineRule="auto"/>
        <w:tabs>
          <w:tab w:leader="none" w:pos="1091" w:val="left"/>
        </w:tabs>
        <w:numPr>
          <w:ilvl w:val="1"/>
          <w:numId w:val="53"/>
        </w:numPr>
        <w:rPr>
          <w:rFonts w:ascii="Arial" w:cs="Arial" w:eastAsia="Arial" w:hAnsi="Arial"/>
          <w:sz w:val="18"/>
          <w:szCs w:val="18"/>
          <w:color w:val="auto"/>
        </w:rPr>
      </w:pPr>
      <w:r>
        <w:rPr>
          <w:rFonts w:ascii="Arial" w:cs="Arial" w:eastAsia="Arial" w:hAnsi="Arial"/>
          <w:sz w:val="18"/>
          <w:szCs w:val="18"/>
          <w:color w:val="auto"/>
        </w:rPr>
        <w:t>Grantor agrees in general: (i) to permit Secured Party to exercise its powers; (ii) to execute and deliver such documents as Secured Party deems necessary to create, perfect and contnue the security interests contemplated hereby; (iii) not to change its name, and as applicable, its chief executve ofce, its principal residence or the jurisdicton in which it is organized and/or registered without giving Secured Party prior writen notce thereof; (iv) not to change the places where Grantor keeps any Collateral or Grantor's records concerning the Collateral and Proceeds without giving Secured Party prior writen notce of the address to which Grantor is moving same; and (v) to cooperate with Secured Party in perfectng all security interests granted herein and in obtaining such agreements from third partes as</w:t>
      </w:r>
    </w:p>
    <w:p>
      <w:pPr>
        <w:spacing w:after="0" w:line="371"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C-750SA_ALL.docx (08/22)</w:t>
            </w:r>
          </w:p>
        </w:tc>
        <w:tc>
          <w:tcPr>
            <w:tcW w:w="2020" w:type="dxa"/>
            <w:vAlign w:val="bottom"/>
          </w:tcPr>
          <w:p>
            <w:pPr>
              <w:jc w:val="right"/>
              <w:spacing w:after="0"/>
              <w:rPr>
                <w:sz w:val="20"/>
                <w:szCs w:val="20"/>
                <w:color w:val="auto"/>
              </w:rPr>
            </w:pPr>
            <w:r>
              <w:rPr>
                <w:rFonts w:ascii="Arial" w:cs="Arial" w:eastAsia="Arial" w:hAnsi="Arial"/>
                <w:sz w:val="14"/>
                <w:szCs w:val="14"/>
                <w:color w:val="auto"/>
              </w:rPr>
              <w:t>-6-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8" w:name="page79"/>
    <w:bookmarkEnd w:id="78"/>
    <w:p>
      <w:pPr>
        <w:spacing w:after="0" w:line="274" w:lineRule="auto"/>
        <w:rPr>
          <w:sz w:val="20"/>
          <w:szCs w:val="20"/>
          <w:color w:val="auto"/>
        </w:rPr>
      </w:pPr>
      <w:r>
        <w:rPr>
          <w:rFonts w:ascii="Arial" w:cs="Arial" w:eastAsia="Arial" w:hAnsi="Arial"/>
          <w:sz w:val="20"/>
          <w:szCs w:val="20"/>
          <w:color w:val="auto"/>
        </w:rPr>
        <w:t>Secured Party deems necessary, proper or convenient in connecton with the preservaton, perfecton or enforcement of any of its rights hereunder.</w:t>
      </w:r>
    </w:p>
    <w:p>
      <w:pPr>
        <w:spacing w:after="0" w:line="200" w:lineRule="exact"/>
        <w:rPr>
          <w:sz w:val="20"/>
          <w:szCs w:val="20"/>
          <w:color w:val="auto"/>
        </w:rPr>
      </w:pPr>
    </w:p>
    <w:p>
      <w:pPr>
        <w:spacing w:after="0" w:line="287" w:lineRule="exact"/>
        <w:rPr>
          <w:sz w:val="20"/>
          <w:szCs w:val="20"/>
          <w:color w:val="auto"/>
        </w:rPr>
      </w:pPr>
    </w:p>
    <w:p>
      <w:pPr>
        <w:jc w:val="both"/>
        <w:ind w:firstLine="370"/>
        <w:spacing w:after="0" w:line="284" w:lineRule="auto"/>
        <w:tabs>
          <w:tab w:leader="none" w:pos="7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Grantor agrees with regard to the Collateral and Proceeds, unless Secured Party agrees otherwise in writng: (i) that Secured Party is authorized to fle fnancing statements in the name of Grantor to perfect Secured Party's security interest in Collateral and Proceeds; (ii) not to permit any security interest in or lien on the Collateral or Proceeds, except in favor of Secured Party and except liens in favor of Intermediary to the extent expressly permited by Secured Party in writng; (iii) not to hypothecate (including, by illustraton, by merger, conversion or division), or permit the transfer by operaton of law of any of the Collateral or Proceeds or any interest therein; (iv) to keep, in accordance with generally accepted accountng principles, complete and accurate records regarding all Collateral and Proceeds, and to permit Secured Party to inspect the same and make copies thereof pursuant to the terms of the Credit Agreement; (v) if requested in writng by Secured Party, to receive and use reasonable diligence to collect Proceeds, in trust and as the property of Secured Party, and to immediately endorse as appropriate and deliver such Proceeds to Secured Party daily in the exact form in which they are received together with a collecton report in form satsfactory to Secured Party; (vi) in the event Secured Party elects to receive payments of Proceeds hereunder, to pay all expenses incurred by Secured Party in connecton therewith, including expenses of accountng, correspondence, collecton eforts, fling, recording, record keeping and expenses incidental thereto; (vii) to provide any service and do any other acts which may be necessary to keep all Collateral and Proceeds free and clear of all defenses, rights of ofset and counterclaims; and (viii) if the Collateral or Proceeds consists of securites and so long as no Event of Default exists, to vote said securites and to give consents, waivers and ratfcatons with respect thereto, provided that no vote shall be cast or consent, waiver or ratfcaton given or acton taken which would impair Secured Party's interests in the Collateral and Proceeds or be inconsistent with or violate any provisions of this Agreement. Grantor further agrees that any party now or at any tme hereafer authorized by Grantor to advise or otherwise act with respect to the Securites Account shall be subject to all terms and conditons contained herein and in any control, custodial or other similar agreement at any tme in efect among Secured Party, Grantor and Intermediary relatng to the Collateral.</w:t>
      </w: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jc w:val="both"/>
        <w:ind w:firstLine="387"/>
        <w:spacing w:after="0" w:line="255" w:lineRule="auto"/>
        <w:tabs>
          <w:tab w:leader="none" w:pos="758" w:val="left"/>
        </w:tabs>
        <w:numPr>
          <w:ilvl w:val="1"/>
          <w:numId w:val="54"/>
        </w:numPr>
        <w:rPr>
          <w:rFonts w:ascii="Arial" w:cs="Arial" w:eastAsia="Arial" w:hAnsi="Arial"/>
          <w:sz w:val="20"/>
          <w:szCs w:val="20"/>
          <w:color w:val="auto"/>
        </w:rPr>
      </w:pPr>
      <w:r>
        <w:rPr>
          <w:rFonts w:ascii="Arial" w:cs="Arial" w:eastAsia="Arial" w:hAnsi="Arial"/>
          <w:sz w:val="20"/>
          <w:szCs w:val="20"/>
          <w:color w:val="auto"/>
        </w:rPr>
        <w:t>POWERS OF SECURED PARTY. Grantor appoints Secured Party its true atorney in fact to perform any of the following powers, which are coupled with an interest, are irrevocable untl terminaton of this Agreement and may be exercised from tme to tme during the contnuance of an Event of Default by Secured Party's ofcers and employees, or any of them: (a) to perform any obligaton of Grantor hereunder in Grantor's name or otherwise; (b) to notfy any person obligated on any security, instrument or other document subject to this Agreement of Secured Party's rights hereunder; (c) to collect by legal proceedings or otherwise all dividends, interest, principal or other sums now or hereafer payable upon or on account of the Collateral or Proceeds; (d) to enter into any extension, modifcaton, reorganizaton, deposit, merger or consolidaton agreement, or any other agreement relatng to or afectng the Collateral or Proceeds, and in connecton therewith to deposit or surrender control of the Collateral and Proceeds, to accept other property in exchange for the Collateral and Proceeds, and to do and perform such acts and things as Secured Party may deem proper, with any money or property received in exchange for the</w:t>
      </w:r>
    </w:p>
    <w:p>
      <w:pPr>
        <w:spacing w:after="0" w:line="392"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C-750SA_ALL.docx (08/22)</w:t>
            </w:r>
          </w:p>
        </w:tc>
        <w:tc>
          <w:tcPr>
            <w:tcW w:w="202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9" w:name="page80"/>
    <w:bookmarkEnd w:id="79"/>
    <w:p>
      <w:pPr>
        <w:jc w:val="both"/>
        <w:spacing w:after="0" w:line="284" w:lineRule="auto"/>
        <w:rPr>
          <w:sz w:val="20"/>
          <w:szCs w:val="20"/>
          <w:color w:val="auto"/>
        </w:rPr>
      </w:pPr>
      <w:r>
        <w:rPr>
          <w:rFonts w:ascii="Arial" w:cs="Arial" w:eastAsia="Arial" w:hAnsi="Arial"/>
          <w:sz w:val="18"/>
          <w:szCs w:val="18"/>
          <w:color w:val="auto"/>
        </w:rPr>
        <w:t>Collateral or Proceeds, at Secured Party's opton, to be applied to the Indebtedness or held by Secured Party under this Agreement; (e) to make any compromise or setlement Secured Party deems desirable or proper in respect of the Collateral and Proceeds; (f) to insure, process and preserve the Collateral and Proceeds; (g) to exercise all rights, powers and remedies which Grantor would have, but for this Agreement, with respect to all Collateral and Proceeds subject hereto; and (h) to do all acts and things and execute all documents in the name of Grantor or otherwise, deemed by Secured Party as necessary, proper and convenient in connecton with the preservaton, perfecton or enforcement of its rights hereunder. To efect the purposes of this Agreement or otherwise upon instructons of Grantor, or any of them, Secured Party may cause any Collateral and/or Proceeds to be transferred to Secured Party's name or the name of Secured Party's nominee. If an Event of Default has occurred and is contnuing, any or all Collateral and/or Proceeds consistng of securites may be registered, without notce, in the name of Secured Party or its nominee, and thereafer Secured Party or its nominee may exercise, without notce, all votng and corporate rights at any meetng of the shareholders of the issuer thereof, any and all rights of conversion, exchange or subscripton, or any other rights, privileges or optons pertaining to such Collateral and/or Proceeds, all as if it were the absolute owner thereof. The foregoing shall include, without limitaton, the right of Secured Party or its nominee to exchange, at its discreton, any and all Collateral and/or Proceeds upon the merger, consolidaton, reorganizaton, recapitalizaton or other readjustment of the issuer thereof, or upon the exercise by the issuer thereof or Secured Party of any right, privilege or opton pertaining to any shares of the Collateral and/or Proceeds, and in connecton therewith, the right to deposit and deliver any and all of the Collateral and/or Proceeds with any commitee, depository, transfer agent, registrar or other designated agency upon such terms and conditons as Secured Party may determine. All of the foregoing rights, privileges or optons may be exercised without liability on the part of Secured Party or its nominee except to account for property actually received by Secured Party. Secured Party shall have no duty to exercise any of the foregoing, or any other rights, privileges or optons with respect to the Collateral or Proceeds and shall not be responsible for any failure to do so or delay in so doing.</w:t>
      </w:r>
    </w:p>
    <w:p>
      <w:pPr>
        <w:spacing w:after="0" w:line="200" w:lineRule="exact"/>
        <w:rPr>
          <w:sz w:val="20"/>
          <w:szCs w:val="20"/>
          <w:color w:val="auto"/>
        </w:rPr>
      </w:pPr>
    </w:p>
    <w:p>
      <w:pPr>
        <w:spacing w:after="0" w:line="290" w:lineRule="exact"/>
        <w:rPr>
          <w:sz w:val="20"/>
          <w:szCs w:val="20"/>
          <w:color w:val="auto"/>
        </w:rPr>
      </w:pPr>
    </w:p>
    <w:p>
      <w:pPr>
        <w:jc w:val="both"/>
        <w:ind w:firstLine="380"/>
        <w:spacing w:after="0" w:line="272" w:lineRule="auto"/>
        <w:tabs>
          <w:tab w:leader="none" w:pos="743" w:val="left"/>
        </w:tabs>
        <w:numPr>
          <w:ilvl w:val="1"/>
          <w:numId w:val="55"/>
        </w:numPr>
        <w:rPr>
          <w:rFonts w:ascii="Arial" w:cs="Arial" w:eastAsia="Arial" w:hAnsi="Arial"/>
          <w:sz w:val="19"/>
          <w:szCs w:val="19"/>
          <w:color w:val="auto"/>
        </w:rPr>
      </w:pPr>
      <w:r>
        <w:rPr>
          <w:rFonts w:ascii="Arial" w:cs="Arial" w:eastAsia="Arial" w:hAnsi="Arial"/>
          <w:sz w:val="19"/>
          <w:szCs w:val="19"/>
          <w:color w:val="auto"/>
        </w:rPr>
        <w:t>PAYMENT OF PREMIUMS, TAXES, CHARGES, LIENS AND ASSESSMENTS. Grantor agrees to pay, prior to delinquency, all insurance premiums, taxes, charges, liens and assessments against the Collateral and Proceeds, and upon the failure of Grantor to do so, Secured Party at its opton may pay any of them and shall be the sole judge of the legality or validity thereof and the amount necessary to discharge the same. Any such payments made by Secured Party shall be obligatons of Grantor to Secured Party, due and payable immediately upon demand, and at Secured Party’s opton and subject to any restrictons under applicable law pertaining to usury, together with interest at a rate determined in accordance with the provisions of this Agreement, and shall be secured by the Collateral and Proceeds, subject to all terms and conditons of this Agreement.</w:t>
      </w:r>
    </w:p>
    <w:p>
      <w:pPr>
        <w:spacing w:after="0" w:line="200" w:lineRule="exact"/>
        <w:rPr>
          <w:rFonts w:ascii="Arial" w:cs="Arial" w:eastAsia="Arial" w:hAnsi="Arial"/>
          <w:sz w:val="19"/>
          <w:szCs w:val="19"/>
          <w:color w:val="auto"/>
        </w:rPr>
      </w:pPr>
    </w:p>
    <w:p>
      <w:pPr>
        <w:spacing w:after="0" w:line="307" w:lineRule="exact"/>
        <w:rPr>
          <w:rFonts w:ascii="Arial" w:cs="Arial" w:eastAsia="Arial" w:hAnsi="Arial"/>
          <w:sz w:val="19"/>
          <w:szCs w:val="19"/>
          <w:color w:val="auto"/>
        </w:rPr>
      </w:pPr>
    </w:p>
    <w:p>
      <w:pPr>
        <w:ind w:left="720" w:hanging="354"/>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C-750SA_ALL.docx (08/22)</w:t>
            </w:r>
          </w:p>
        </w:tc>
        <w:tc>
          <w:tcPr>
            <w:tcW w:w="2020" w:type="dxa"/>
            <w:vAlign w:val="bottom"/>
          </w:tcPr>
          <w:p>
            <w:pPr>
              <w:jc w:val="right"/>
              <w:spacing w:after="0"/>
              <w:rPr>
                <w:sz w:val="20"/>
                <w:szCs w:val="20"/>
                <w:color w:val="auto"/>
              </w:rPr>
            </w:pPr>
            <w:r>
              <w:rPr>
                <w:rFonts w:ascii="Arial" w:cs="Arial" w:eastAsia="Arial" w:hAnsi="Arial"/>
                <w:sz w:val="14"/>
                <w:szCs w:val="14"/>
                <w:color w:val="auto"/>
              </w:rPr>
              <w:t>-8-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0" w:name="page81"/>
    <w:bookmarkEnd w:id="80"/>
    <w:p>
      <w:pPr>
        <w:jc w:val="both"/>
        <w:ind w:firstLine="392"/>
        <w:spacing w:after="0" w:line="283" w:lineRule="auto"/>
        <w:tabs>
          <w:tab w:leader="none" w:pos="767"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REMEDIES. Upon the occurrence of any Event of Default, Secured Party shall have all rights, powers, privileges and remedies granted to a secured party upon default under the Uniform Commercial Code or the Business and Commerce Code of the jurisdicton identfed in Secton 22 below or otherwise provided by law, including without limitaton, the right (a) to contact all persons obligated to Grantor on any Collateral or Proceeds and to instruct such persons to deliver all Collateral and/or Proceeds directly to Secured Party, and (b) to sell, lease, license or otherwise dispose of any or all Collateral. In additon to any other remedies set forth in this Agreement, Grantor authorizes Secured Party to engage in “electronic self-help” as defned in and in accordance with applicable law. All rights, powers, privileges and remedies of Secured Party shall be cumulatve. No delay, failure or discontnuance of Secured Party in exercising any right, power, privilege or remedy hereunder shall afect or operate as a waiver of such right, power, privilege or remedy; nor shall any single or partal exercise of any such right, power, privilege or remedy preclude, waive or otherwise afect any other or further exercise thereof or the exercise of any other right, power, privilege or remedy. Any waiver, permit, consent or approval of any kind by Secured Party of any default hereunder, or any such waiver of any provisions or conditons hereof, must be in writng and shall be efectve only to the extent set forth in writng. It is agreed that public or private sales or other dispositons, for cash or on credit, to a wholesaler or retailer or investor, or user of property of the types subject to this Agreement, or public auctons, are all commercially reasonable since diferences in the prices generally realized in the diferent kinds of dispositons are ordinarily ofset by the diferences in the costs and credit risks of such dispositons. While an Event of Default exists: (a) Grantor will not dispose of any Collateral or Proceeds except on terms approved by Secured Party; (b) Secured Party may appropriate the Collateral and apply all Proceeds toward repayment of the Indebtedness secured hereby in such order of applicaton as Secured Party may from tme to tme elect; (c) Secured Party may, at any tme, liquidate any tme deposits pledged to Secured Party hereunder and apply the proceeds thereof to payment of the Indebtedness secured, whether or not said tme deposits have matured and notwithstanding the fact that such liquidaton may give rise to penaltes for early withdrawal of funds, (d) Secured Party may take any acton with respect to the Collateral contemplated by any control, custodial or other similar agreement then in efect among Secured Party, Grantor and Intermediary; and (e) at Secured Party's request, Grantor will assemble and deliver all books and records pertaining to the Collateral or Proceeds to Secured Party at a reasonably convenient place designated by Secured Party. For any Collateral or Proceeds consistng of securites, Secured Party shall have no obligaton to delay a dispositon of any porton thereof for the period of tme necessary to permit the issuer thereof to register such securites for public sale under any applicable state or Federal law, even if the issuer thereof would agree to do so. Grantor further agrees that Secured Party shall have no obligaton to process or prepare any Collateral for sale or other dispositon.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2" w:lineRule="exact"/>
        <w:rPr>
          <w:rFonts w:ascii="Arial" w:cs="Arial" w:eastAsia="Arial" w:hAnsi="Arial"/>
          <w:sz w:val="18"/>
          <w:szCs w:val="18"/>
          <w:color w:val="auto"/>
        </w:rPr>
      </w:pPr>
    </w:p>
    <w:p>
      <w:pPr>
        <w:jc w:val="both"/>
        <w:ind w:firstLine="379"/>
        <w:spacing w:after="0" w:line="273" w:lineRule="auto"/>
        <w:tabs>
          <w:tab w:leader="none" w:pos="741" w:val="left"/>
        </w:tabs>
        <w:numPr>
          <w:ilvl w:val="0"/>
          <w:numId w:val="58"/>
        </w:numPr>
        <w:rPr>
          <w:rFonts w:ascii="Arial" w:cs="Arial" w:eastAsia="Arial" w:hAnsi="Arial"/>
          <w:sz w:val="19"/>
          <w:szCs w:val="19"/>
          <w:color w:val="auto"/>
        </w:rPr>
      </w:pPr>
      <w:r>
        <w:rPr>
          <w:rFonts w:ascii="Arial" w:cs="Arial" w:eastAsia="Arial" w:hAnsi="Arial"/>
          <w:sz w:val="19"/>
          <w:szCs w:val="19"/>
          <w:color w:val="auto"/>
        </w:rPr>
        <w:t>DISPOSITION OF COLLATERAL AND PROCEEDS; TRANSFER OF INDEBTEDNESS. In disposing of Collateral hereunder, Secured Party may disclaim all warrantes of ttle, possession, quiet enjoyment and the like. Any proceeds of any dispositon of any Collateral or Proceeds, or any part thereof, may be applied by Secured Party to the payment of expenses incurred by Secured Party in connecton with the foregoing, including reasonable atorneys' fees, and the balance of such proceeds may be applied by Secured Party toward the payment of the Indebtedness secured hereby in such order of applicaton as Secured Party may from tme to tme elect. Upon the transfer of all or any part of the Indebtedness secured hereby,</w:t>
      </w:r>
    </w:p>
    <w:p>
      <w:pPr>
        <w:spacing w:after="0" w:line="386"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C-750SA_ALL.docx (08/22)</w:t>
            </w:r>
          </w:p>
        </w:tc>
        <w:tc>
          <w:tcPr>
            <w:tcW w:w="2020" w:type="dxa"/>
            <w:vAlign w:val="bottom"/>
          </w:tcPr>
          <w:p>
            <w:pPr>
              <w:jc w:val="right"/>
              <w:spacing w:after="0"/>
              <w:rPr>
                <w:sz w:val="20"/>
                <w:szCs w:val="20"/>
                <w:color w:val="auto"/>
              </w:rPr>
            </w:pPr>
            <w:r>
              <w:rPr>
                <w:rFonts w:ascii="Arial" w:cs="Arial" w:eastAsia="Arial" w:hAnsi="Arial"/>
                <w:sz w:val="14"/>
                <w:szCs w:val="14"/>
                <w:color w:val="auto"/>
              </w:rPr>
              <w:t>-9-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1" w:name="page82"/>
    <w:bookmarkEnd w:id="81"/>
    <w:p>
      <w:pPr>
        <w:jc w:val="both"/>
        <w:spacing w:after="0" w:line="260" w:lineRule="auto"/>
        <w:rPr>
          <w:sz w:val="20"/>
          <w:szCs w:val="20"/>
          <w:color w:val="auto"/>
        </w:rPr>
      </w:pPr>
      <w:r>
        <w:rPr>
          <w:rFonts w:ascii="Arial" w:cs="Arial" w:eastAsia="Arial" w:hAnsi="Arial"/>
          <w:sz w:val="20"/>
          <w:szCs w:val="20"/>
          <w:color w:val="auto"/>
        </w:rPr>
        <w:t>Secured Party may transfer all or any part of the Collateral or Proceeds and shall be fully discharged thereafer from all liability and responsibility with respect to any of the foregoing so transferred, and the transferee shall be vested with all rights and powers of Secured Party hereunder with respect to any of the foregoing so transferred; but with respect to any Collateral or Proceeds not so transferred, Secured Party shall retain all rights, powers, privileges and remedies herein given.</w:t>
      </w:r>
    </w:p>
    <w:p>
      <w:pPr>
        <w:spacing w:after="0" w:line="200" w:lineRule="exact"/>
        <w:rPr>
          <w:sz w:val="20"/>
          <w:szCs w:val="20"/>
          <w:color w:val="auto"/>
        </w:rPr>
      </w:pPr>
    </w:p>
    <w:p>
      <w:pPr>
        <w:spacing w:after="0" w:line="302" w:lineRule="exact"/>
        <w:rPr>
          <w:sz w:val="20"/>
          <w:szCs w:val="20"/>
          <w:color w:val="auto"/>
        </w:rPr>
      </w:pPr>
    </w:p>
    <w:p>
      <w:pPr>
        <w:jc w:val="both"/>
        <w:ind w:firstLine="367"/>
        <w:spacing w:after="0" w:line="257" w:lineRule="auto"/>
        <w:tabs>
          <w:tab w:leader="none" w:pos="718" w:val="left"/>
        </w:tabs>
        <w:numPr>
          <w:ilvl w:val="0"/>
          <w:numId w:val="59"/>
        </w:numPr>
        <w:rPr>
          <w:rFonts w:ascii="Arial" w:cs="Arial" w:eastAsia="Arial" w:hAnsi="Arial"/>
          <w:sz w:val="20"/>
          <w:szCs w:val="20"/>
          <w:color w:val="auto"/>
        </w:rPr>
      </w:pPr>
      <w:r>
        <w:rPr>
          <w:rFonts w:ascii="Arial" w:cs="Arial" w:eastAsia="Arial" w:hAnsi="Arial"/>
          <w:sz w:val="20"/>
          <w:szCs w:val="20"/>
          <w:color w:val="auto"/>
        </w:rPr>
        <w:t>STATUTE OF LIMITATIONS. Untl all Indebtedness secured hereby shall have been paid in full and all commitments by Secured Party to extend credit to Grantor have been terminated, the power of sale or other dispositon and all other rights, powers, privileges and remedies granted to Secured Party hereunder shall, to the extent permited by law, contnue to exist and may be exercised by Secured Party at any tme and from tme to tme irrespectve of the fact that the Indebtedness secured hereby or any part thereof may have become barred by any statute of limitatons, or that the personal liability of Grantor may have ceased, unless such liability shall have ceased due to the payment in full of all Indebtedness secured hereby.</w:t>
      </w:r>
    </w:p>
    <w:p>
      <w:pPr>
        <w:spacing w:after="0" w:line="200" w:lineRule="exact"/>
        <w:rPr>
          <w:rFonts w:ascii="Arial" w:cs="Arial" w:eastAsia="Arial" w:hAnsi="Arial"/>
          <w:sz w:val="20"/>
          <w:szCs w:val="20"/>
          <w:color w:val="auto"/>
        </w:rPr>
      </w:pPr>
    </w:p>
    <w:p>
      <w:pPr>
        <w:spacing w:after="0" w:line="320" w:lineRule="exact"/>
        <w:rPr>
          <w:rFonts w:ascii="Arial" w:cs="Arial" w:eastAsia="Arial" w:hAnsi="Arial"/>
          <w:sz w:val="20"/>
          <w:szCs w:val="20"/>
          <w:color w:val="auto"/>
        </w:rPr>
      </w:pPr>
    </w:p>
    <w:p>
      <w:pPr>
        <w:jc w:val="both"/>
        <w:ind w:firstLine="371"/>
        <w:spacing w:after="0" w:line="273" w:lineRule="auto"/>
        <w:tabs>
          <w:tab w:leader="none" w:pos="725" w:val="left"/>
        </w:tabs>
        <w:numPr>
          <w:ilvl w:val="0"/>
          <w:numId w:val="59"/>
        </w:numPr>
        <w:rPr>
          <w:rFonts w:ascii="Arial" w:cs="Arial" w:eastAsia="Arial" w:hAnsi="Arial"/>
          <w:sz w:val="19"/>
          <w:szCs w:val="19"/>
          <w:color w:val="auto"/>
        </w:rPr>
      </w:pPr>
      <w:r>
        <w:rPr>
          <w:rFonts w:ascii="Arial" w:cs="Arial" w:eastAsia="Arial" w:hAnsi="Arial"/>
          <w:sz w:val="19"/>
          <w:szCs w:val="19"/>
          <w:color w:val="auto"/>
        </w:rPr>
        <w:t>MISCELLANEOUS. Grantor hereby waives any right to require Secured Party to (i) proceed against Grantor or any other person, (ii) marshal assets or proceed against or exhaust any security from Grantor or any other person, (iii) perform any obligaton of Grantor with respect to any Collateral or Proceeds, and (iv) make any presentment or demand, or give any notces of any kind, including without limitaton, any notce of nonpayment or nonperformance, protest, notce of protest, notce of dishonor, notce of intenton to accelerate or notce of acceleraton hereunder or in connecton with any Collateral or Proceeds. Grantor further waives any right to direct the applicaton of payments or security for any Indebtedness of Grantor or indebtedness of customers of Grantor.</w:t>
      </w:r>
    </w:p>
    <w:p>
      <w:pPr>
        <w:spacing w:after="0" w:line="200" w:lineRule="exact"/>
        <w:rPr>
          <w:rFonts w:ascii="Arial" w:cs="Arial" w:eastAsia="Arial" w:hAnsi="Arial"/>
          <w:sz w:val="19"/>
          <w:szCs w:val="19"/>
          <w:color w:val="auto"/>
        </w:rPr>
      </w:pPr>
    </w:p>
    <w:p>
      <w:pPr>
        <w:spacing w:after="0" w:line="293" w:lineRule="exact"/>
        <w:rPr>
          <w:rFonts w:ascii="Arial" w:cs="Arial" w:eastAsia="Arial" w:hAnsi="Arial"/>
          <w:sz w:val="19"/>
          <w:szCs w:val="19"/>
          <w:color w:val="auto"/>
        </w:rPr>
      </w:pPr>
    </w:p>
    <w:p>
      <w:pPr>
        <w:jc w:val="both"/>
        <w:ind w:firstLine="373"/>
        <w:spacing w:after="0" w:line="257" w:lineRule="auto"/>
        <w:tabs>
          <w:tab w:leader="none" w:pos="730"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NOTICES. (a) All notces, requests and demands required under this Agreement must be in writng, addressed to Secured Party at the address specifed in any other loan documents entered into between Grantor and Secured Party and to Grantor at the address of its chief executve ofce specifed below or to such other address as any party may designate by writen notce to each other party, and shall be deemed to have been given or made as follows: (i) if personally delivered, upon delivery; (ii) if sent by mail, upon the earlier of the date of receipt or three (3) days afer deposit in the U.S. mail, frst class and postage prepaid; and (iii) if sent by telecopy or overnight courier service, upon receipt. Notces delivered through electronic communicatons to the extent provided in paragraph (b) below, shall be efectve as provided in said paragraph (b).</w:t>
      </w:r>
    </w:p>
    <w:p>
      <w:pPr>
        <w:spacing w:after="0" w:line="200" w:lineRule="exact"/>
        <w:rPr>
          <w:sz w:val="20"/>
          <w:szCs w:val="20"/>
          <w:color w:val="auto"/>
        </w:rPr>
      </w:pPr>
    </w:p>
    <w:p>
      <w:pPr>
        <w:spacing w:after="0" w:line="304" w:lineRule="exact"/>
        <w:rPr>
          <w:sz w:val="20"/>
          <w:szCs w:val="20"/>
          <w:color w:val="auto"/>
        </w:rPr>
      </w:pPr>
    </w:p>
    <w:p>
      <w:pPr>
        <w:jc w:val="both"/>
        <w:ind w:firstLine="369"/>
        <w:spacing w:after="0" w:line="278" w:lineRule="auto"/>
        <w:tabs>
          <w:tab w:leader="none" w:pos="721" w:val="left"/>
        </w:tabs>
        <w:numPr>
          <w:ilvl w:val="0"/>
          <w:numId w:val="60"/>
        </w:numPr>
        <w:rPr>
          <w:rFonts w:ascii="Arial" w:cs="Arial" w:eastAsia="Arial" w:hAnsi="Arial"/>
          <w:sz w:val="19"/>
          <w:szCs w:val="19"/>
          <w:color w:val="auto"/>
        </w:rPr>
      </w:pPr>
      <w:r>
        <w:rPr>
          <w:rFonts w:ascii="Arial" w:cs="Arial" w:eastAsia="Arial" w:hAnsi="Arial"/>
          <w:sz w:val="19"/>
          <w:szCs w:val="19"/>
          <w:color w:val="auto"/>
        </w:rPr>
        <w:t>ELECTRONIC COMMUNICATIONS. Notces and other communicatons to Secured Party hereunder may be delivered or furnished by electronic communicaton (including e-mail and Internet or intranet websites) pursuant to procedures approved by Secured Party. Secured Party or Grantor may, in its discreton, agree to accept notces and other communicatons to it hereunder by electronic communicatons pursuant to procedures approved by it, provided that approval of such procedures may</w:t>
      </w:r>
    </w:p>
    <w:p>
      <w:pPr>
        <w:spacing w:after="0" w:line="379"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C-750SA_ALL.docx (08/22)</w:t>
            </w:r>
          </w:p>
        </w:tc>
        <w:tc>
          <w:tcPr>
            <w:tcW w:w="208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2" w:name="page83"/>
    <w:bookmarkEnd w:id="82"/>
    <w:p>
      <w:pPr>
        <w:jc w:val="both"/>
        <w:spacing w:after="0" w:line="271" w:lineRule="auto"/>
        <w:rPr>
          <w:sz w:val="20"/>
          <w:szCs w:val="20"/>
          <w:color w:val="auto"/>
        </w:rPr>
      </w:pPr>
      <w:r>
        <w:rPr>
          <w:rFonts w:ascii="Arial" w:cs="Arial" w:eastAsia="Arial" w:hAnsi="Arial"/>
          <w:sz w:val="19"/>
          <w:szCs w:val="19"/>
          <w:color w:val="auto"/>
        </w:rPr>
        <w:t>be limited to partcular notces or communicatons. Unless Secured Party otherwise prescribes, (i) notces and other communicatons sent to an e-mail address shall be deemed received upon the sender’s receipt of an acknowledgement from the intended recipient (such as by the “return receipt requested” functon, as available, return e-mail or other writen acknowledgement), and (ii) notces or communicatons posted to an Internet or intranet website shall be deemed received upon the deemed receipt by the intended recipient at its e-mail address as described in the foregoing clause (i) of notfcaton that such notce or communicaton is available and identfying the website address therefor; provided that, for both clauses (i) and (ii) above, if such notce, email or other communicaton is not sent during the normal business hours of the recipient, such notce, email or other communicaton shall be deemed to have been sent at the opening of business on the next business day for the recipient.</w:t>
      </w:r>
    </w:p>
    <w:p>
      <w:pPr>
        <w:spacing w:after="0" w:line="200" w:lineRule="exact"/>
        <w:rPr>
          <w:sz w:val="20"/>
          <w:szCs w:val="20"/>
          <w:color w:val="auto"/>
        </w:rPr>
      </w:pPr>
    </w:p>
    <w:p>
      <w:pPr>
        <w:spacing w:after="0" w:line="297" w:lineRule="exact"/>
        <w:rPr>
          <w:sz w:val="20"/>
          <w:szCs w:val="20"/>
          <w:color w:val="auto"/>
        </w:rPr>
      </w:pPr>
    </w:p>
    <w:p>
      <w:pPr>
        <w:jc w:val="both"/>
        <w:ind w:firstLine="392"/>
        <w:spacing w:after="0" w:line="285" w:lineRule="auto"/>
        <w:tabs>
          <w:tab w:leader="none" w:pos="769"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COSTS, EXPENSES AND ATTORNEYS' FEES. Grantor shall pay to Secured Party promptly upon demand the full amount of all payments, advances, charges, costs and expenses, including, to the extent permited by applicable law, reasonable and documented atorneys' fees (to include outside counsel fees and all allocated costs of Secured Party's in-house counsel to the extent permissible), expended or incurred by Secured Party in connecton with (a) the perfecton and preservaton of the Collateral or Secured Party's interest therein, and (b) the realizaton, enforcement and exercise of any right, power, privilege or remedy conferred by this Agreement, whether or not suit is brought or foreclosure is commenced, and where suit is brought, whether incurred at the trial or appellate level, in an arbitraton proceeding or otherwise, and including any of the foregoing incurred in connecton with any bankruptcy proceeding (including without limitaton, any adversary proceeding, contested mater or moton brought by Secured Party or any other person) relatng to Grantor or in any way afectng any of the Collateral or Secured Party's ability to exercise any of its rights or remedies with respect thereto. Notwithstanding anything in this Agreement to the contrary, reasonable atorneys’ fees shall not exceed the amount permited by law. Whenever in this Agreement Grantor is obligated to pay for the atorneys' fees of Secured Party, or the phrase "reasonable atorneys' fees" or a similar phrase is used, it shall be Grantor's obligaton to pay the atorneys' fees actually incurred or allocated, at standard hourly rates, without regard to any statutory interpretaton, which shall not apply, Grantor hereby waiving the applicaton of any such statute.</w:t>
      </w: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jc w:val="both"/>
        <w:ind w:firstLine="391"/>
        <w:spacing w:after="0" w:line="264" w:lineRule="auto"/>
        <w:tabs>
          <w:tab w:leader="none" w:pos="766" w:val="left"/>
        </w:tabs>
        <w:numPr>
          <w:ilvl w:val="1"/>
          <w:numId w:val="61"/>
        </w:numPr>
        <w:rPr>
          <w:rFonts w:ascii="Arial" w:cs="Arial" w:eastAsia="Arial" w:hAnsi="Arial"/>
          <w:sz w:val="20"/>
          <w:szCs w:val="20"/>
          <w:color w:val="auto"/>
        </w:rPr>
      </w:pPr>
      <w:r>
        <w:rPr>
          <w:rFonts w:ascii="Arial" w:cs="Arial" w:eastAsia="Arial" w:hAnsi="Arial"/>
          <w:sz w:val="20"/>
          <w:szCs w:val="20"/>
          <w:color w:val="auto"/>
        </w:rPr>
        <w:t>SUCCESSORS; ASSIGNS; AMENDMENT. This Agreement shall be binding upon and inure to the beneft of the heirs, executors, administrators, legal representatves, successors and assigns of the partes, and may be amended or modifed only in writng signed by Secured Party and Grantor.</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jc w:val="both"/>
        <w:ind w:firstLine="370"/>
        <w:spacing w:after="0" w:line="264" w:lineRule="auto"/>
        <w:tabs>
          <w:tab w:leader="none" w:pos="724" w:val="left"/>
        </w:tabs>
        <w:numPr>
          <w:ilvl w:val="0"/>
          <w:numId w:val="62"/>
        </w:numPr>
        <w:rPr>
          <w:rFonts w:ascii="Arial" w:cs="Arial" w:eastAsia="Arial" w:hAnsi="Arial"/>
          <w:sz w:val="20"/>
          <w:szCs w:val="20"/>
          <w:color w:val="auto"/>
        </w:rPr>
      </w:pPr>
      <w:r>
        <w:rPr>
          <w:rFonts w:ascii="Arial" w:cs="Arial" w:eastAsia="Arial" w:hAnsi="Arial"/>
          <w:sz w:val="20"/>
          <w:szCs w:val="20"/>
          <w:color w:val="auto"/>
        </w:rPr>
        <w:t>SEVERABILITY OF PROVISIONS. If any provision of this Agreement shall be held to be prohibited by or invalid under applicable law, such provision shall be inefectve only to the extent of such prohibiton or invalidity, without invalidatng the remainder of such provision or any remaining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C-750SA_ALL.docx (08/22)</w:t>
            </w:r>
          </w:p>
        </w:tc>
        <w:tc>
          <w:tcPr>
            <w:tcW w:w="208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3" w:name="page84"/>
    <w:bookmarkEnd w:id="83"/>
    <w:p>
      <w:pPr>
        <w:ind w:firstLine="366"/>
        <w:spacing w:after="0" w:line="274" w:lineRule="auto"/>
        <w:tabs>
          <w:tab w:leader="none" w:pos="716" w:val="left"/>
        </w:tabs>
        <w:numPr>
          <w:ilvl w:val="0"/>
          <w:numId w:val="63"/>
        </w:numPr>
        <w:rPr>
          <w:rFonts w:ascii="Arial" w:cs="Arial" w:eastAsia="Arial" w:hAnsi="Arial"/>
          <w:sz w:val="20"/>
          <w:szCs w:val="20"/>
          <w:color w:val="auto"/>
        </w:rPr>
      </w:pPr>
      <w:r>
        <w:rPr>
          <w:rFonts w:ascii="Arial" w:cs="Arial" w:eastAsia="Arial" w:hAnsi="Arial"/>
          <w:sz w:val="20"/>
          <w:szCs w:val="20"/>
          <w:color w:val="auto"/>
        </w:rPr>
        <w:t>GOVERNING LAW. This Agreement shall be governed by and construed in accordance with the laws of New York, but giving efect to federal laws applicable to natonal banks.</w:t>
      </w: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Grantor warrants that Grantor is an organizaton registered under the laws of Delaware.</w:t>
      </w:r>
    </w:p>
    <w:p>
      <w:pPr>
        <w:spacing w:after="0" w:line="200" w:lineRule="exact"/>
        <w:rPr>
          <w:sz w:val="20"/>
          <w:szCs w:val="20"/>
          <w:color w:val="auto"/>
        </w:rPr>
      </w:pPr>
    </w:p>
    <w:p>
      <w:pPr>
        <w:spacing w:after="0" w:line="353" w:lineRule="exact"/>
        <w:rPr>
          <w:sz w:val="20"/>
          <w:szCs w:val="20"/>
          <w:color w:val="auto"/>
        </w:rPr>
      </w:pPr>
    </w:p>
    <w:p>
      <w:pPr>
        <w:ind w:right="20" w:firstLine="358"/>
        <w:spacing w:after="0" w:line="274" w:lineRule="auto"/>
        <w:rPr>
          <w:sz w:val="20"/>
          <w:szCs w:val="20"/>
          <w:color w:val="auto"/>
        </w:rPr>
      </w:pPr>
      <w:r>
        <w:rPr>
          <w:rFonts w:ascii="Arial" w:cs="Arial" w:eastAsia="Arial" w:hAnsi="Arial"/>
          <w:sz w:val="20"/>
          <w:szCs w:val="20"/>
          <w:color w:val="auto"/>
        </w:rPr>
        <w:t>Grantor warrants that its chief executve ofce (or principal residence, if applicable) is located at the following address: 10628 Science Center Drive, Suite 250, San Diego, California, 92121.</w:t>
      </w: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 WITNESS WHEREOF, the partes hereto have executed this Agreement as of the date frst writen above.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GRANTOR: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ARCTURUS THERAPEUTICS, INC.</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By: [***]</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Title: [***]</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SECURED PARTY: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By: [***]</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C-750SA_ALL.docx (08/22)</w:t>
            </w:r>
          </w:p>
        </w:tc>
        <w:tc>
          <w:tcPr>
            <w:tcW w:w="208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US_ACTIVE\123471302\V-2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17" w:right="499" w:bottom="1440" w:gutter="0" w:footer="0" w:header="0"/>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ind w:right="600"/>
        <w:spacing w:after="0" w:line="231" w:lineRule="auto"/>
        <w:rPr>
          <w:sz w:val="20"/>
          <w:szCs w:val="20"/>
          <w:color w:val="auto"/>
        </w:rPr>
      </w:pPr>
      <w:r>
        <w:rPr>
          <w:rFonts w:ascii="Arial" w:cs="Arial" w:eastAsia="Arial" w:hAnsi="Arial"/>
          <w:sz w:val="20"/>
          <w:szCs w:val="20"/>
          <w:color w:val="auto"/>
        </w:rPr>
        <w:t>CERTAIN CONFIDENTIAL INFORMATION CONTAINED IN THIS DOCUMENT, MARKED BY [***], HAS BEEN OMITTED BECAUSE IT IS BOTH (I) NOT MATERIAL AND (II) IS THE TYPE THAT THE REGISTRANT TREATS AS PRIVATE OR CONFIDENTIAL</w:t>
      </w:r>
    </w:p>
    <w:p>
      <w:pPr>
        <w:spacing w:after="0" w:line="1" w:lineRule="exact"/>
        <w:rPr>
          <w:sz w:val="20"/>
          <w:szCs w:val="20"/>
          <w:color w:val="auto"/>
        </w:rPr>
      </w:pPr>
    </w:p>
    <w:p>
      <w:pPr>
        <w:ind w:left="9900"/>
        <w:spacing w:after="0"/>
        <w:rPr>
          <w:sz w:val="20"/>
          <w:szCs w:val="20"/>
          <w:color w:val="auto"/>
        </w:rPr>
      </w:pPr>
      <w:r>
        <w:rPr>
          <w:rFonts w:ascii="Arial" w:cs="Arial" w:eastAsia="Arial" w:hAnsi="Arial"/>
          <w:sz w:val="19"/>
          <w:szCs w:val="19"/>
          <w:b w:val="1"/>
          <w:bCs w:val="1"/>
          <w:color w:val="auto"/>
        </w:rPr>
        <w:t>EXHIBIT 10.30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REVOLVING LINE OF CREDIT NOTE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740" w:val="left"/>
        </w:tabs>
        <w:rPr>
          <w:sz w:val="20"/>
          <w:szCs w:val="20"/>
          <w:color w:val="auto"/>
        </w:rPr>
      </w:pPr>
      <w:r>
        <w:rPr>
          <w:rFonts w:ascii="Arial" w:cs="Arial" w:eastAsia="Arial" w:hAnsi="Arial"/>
          <w:sz w:val="20"/>
          <w:szCs w:val="20"/>
          <w:color w:val="auto"/>
        </w:rPr>
        <w:t>$50,000,000.00</w:t>
      </w:r>
      <w:r>
        <w:rPr>
          <w:sz w:val="20"/>
          <w:szCs w:val="20"/>
          <w:color w:val="auto"/>
        </w:rPr>
        <w:tab/>
      </w:r>
      <w:r>
        <w:rPr>
          <w:rFonts w:ascii="Arial" w:cs="Arial" w:eastAsia="Arial" w:hAnsi="Arial"/>
          <w:sz w:val="19"/>
          <w:szCs w:val="19"/>
          <w:color w:val="auto"/>
        </w:rPr>
        <w:t>New York, NY</w:t>
      </w:r>
    </w:p>
    <w:p>
      <w:pPr>
        <w:ind w:left="10020"/>
        <w:spacing w:after="0"/>
        <w:rPr>
          <w:sz w:val="20"/>
          <w:szCs w:val="20"/>
          <w:color w:val="auto"/>
        </w:rPr>
      </w:pPr>
      <w:r>
        <w:rPr>
          <w:rFonts w:ascii="Arial" w:cs="Arial" w:eastAsia="Arial" w:hAnsi="Arial"/>
          <w:sz w:val="19"/>
          <w:szCs w:val="19"/>
          <w:color w:val="auto"/>
        </w:rPr>
        <w:t>April 21, 2023</w:t>
      </w:r>
    </w:p>
    <w:p>
      <w:pPr>
        <w:spacing w:after="0" w:line="200" w:lineRule="exact"/>
        <w:rPr>
          <w:sz w:val="20"/>
          <w:szCs w:val="20"/>
          <w:color w:val="auto"/>
        </w:rPr>
      </w:pPr>
    </w:p>
    <w:p>
      <w:pPr>
        <w:spacing w:after="0" w:line="216" w:lineRule="exact"/>
        <w:rPr>
          <w:sz w:val="20"/>
          <w:szCs w:val="20"/>
          <w:color w:val="auto"/>
        </w:rPr>
      </w:pPr>
    </w:p>
    <w:p>
      <w:pPr>
        <w:jc w:val="both"/>
        <w:ind w:firstLine="484"/>
        <w:spacing w:after="0" w:line="230" w:lineRule="auto"/>
        <w:rPr>
          <w:sz w:val="20"/>
          <w:szCs w:val="20"/>
          <w:color w:val="auto"/>
        </w:rPr>
      </w:pPr>
      <w:r>
        <w:rPr>
          <w:rFonts w:ascii="Arial" w:cs="Arial" w:eastAsia="Arial" w:hAnsi="Arial"/>
          <w:sz w:val="20"/>
          <w:szCs w:val="20"/>
          <w:color w:val="auto"/>
        </w:rPr>
        <w:t>FOR VALUE RECEIVED, the undersigned ARCTURUS THERAPEUTICS, INC., a Delaware corporation (“</w:t>
      </w:r>
      <w:r>
        <w:rPr>
          <w:rFonts w:ascii="Arial" w:cs="Arial" w:eastAsia="Arial" w:hAnsi="Arial"/>
          <w:sz w:val="20"/>
          <w:szCs w:val="20"/>
          <w:u w:val="single" w:color="auto"/>
          <w:color w:val="auto"/>
        </w:rPr>
        <w:t>Borrower</w:t>
      </w:r>
      <w:r>
        <w:rPr>
          <w:rFonts w:ascii="Arial" w:cs="Arial" w:eastAsia="Arial" w:hAnsi="Arial"/>
          <w:sz w:val="20"/>
          <w:szCs w:val="20"/>
          <w:color w:val="auto"/>
        </w:rPr>
        <w:t>”), promises to pay to the order of WELLS FARGO BANK, NATIONAL ASSOCIATION (“</w:t>
      </w:r>
      <w:r>
        <w:rPr>
          <w:rFonts w:ascii="Arial" w:cs="Arial" w:eastAsia="Arial" w:hAnsi="Arial"/>
          <w:sz w:val="20"/>
          <w:szCs w:val="20"/>
          <w:u w:val="single" w:color="auto"/>
          <w:color w:val="auto"/>
        </w:rPr>
        <w:t>Bank</w:t>
      </w:r>
      <w:r>
        <w:rPr>
          <w:rFonts w:ascii="Arial" w:cs="Arial" w:eastAsia="Arial" w:hAnsi="Arial"/>
          <w:sz w:val="20"/>
          <w:szCs w:val="20"/>
          <w:color w:val="auto"/>
        </w:rPr>
        <w:t>”) at its office at 30 Hudson Yards, 65th Floor, New York, NY 10001, MAC J0193-650, or at such other place as the holder hereof may designate, in lawful money of the United States of America and in immediately available funds, the principal sum of Fifty Million Dollars ($50,000,000.00), or so much thereof as may be advanced and be outstanding pursuant to the terms of the Credit Agreement, as defined herein, with interest thereon, to be computed on each advance from the date of its disbursement as set forth herein. Capitalized terms used herein but not otherwise defined have the meanings provided to them in the Credit Agreement.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DEFINITIONS:</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As used herein, the following terms shall have the meanings set forth after each, and any other term defined in this</w:t>
      </w:r>
    </w:p>
    <w:p>
      <w:pPr>
        <w:spacing w:after="0"/>
        <w:rPr>
          <w:sz w:val="20"/>
          <w:szCs w:val="20"/>
          <w:color w:val="auto"/>
        </w:rPr>
      </w:pPr>
      <w:r>
        <w:rPr>
          <w:rFonts w:ascii="Arial" w:cs="Arial" w:eastAsia="Arial" w:hAnsi="Arial"/>
          <w:sz w:val="20"/>
          <w:szCs w:val="20"/>
          <w:color w:val="auto"/>
        </w:rPr>
        <w:t>Revolving Line of Credit Note (this “Note”) shall have the meaning set forth at the place defined:</w:t>
      </w:r>
    </w:p>
    <w:p>
      <w:pPr>
        <w:spacing w:after="0" w:line="188" w:lineRule="exact"/>
        <w:rPr>
          <w:sz w:val="20"/>
          <w:szCs w:val="20"/>
          <w:color w:val="auto"/>
        </w:rPr>
      </w:pPr>
    </w:p>
    <w:p>
      <w:pPr>
        <w:ind w:left="1020" w:hanging="263"/>
        <w:spacing w:after="0"/>
        <w:tabs>
          <w:tab w:leader="none" w:pos="10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Floor</w:t>
      </w:r>
      <w:r>
        <w:rPr>
          <w:rFonts w:ascii="Arial" w:cs="Arial" w:eastAsia="Arial" w:hAnsi="Arial"/>
          <w:sz w:val="20"/>
          <w:szCs w:val="20"/>
          <w:color w:val="auto"/>
        </w:rPr>
        <w:t>” means a rate of interest equal to zero percent (0%).</w:t>
      </w:r>
    </w:p>
    <w:p>
      <w:pPr>
        <w:spacing w:after="0" w:line="202" w:lineRule="exact"/>
        <w:rPr>
          <w:rFonts w:ascii="Arial" w:cs="Arial" w:eastAsia="Arial" w:hAnsi="Arial"/>
          <w:sz w:val="20"/>
          <w:szCs w:val="20"/>
          <w:color w:val="auto"/>
        </w:rPr>
      </w:pPr>
    </w:p>
    <w:p>
      <w:pPr>
        <w:jc w:val="both"/>
        <w:ind w:firstLine="757"/>
        <w:spacing w:after="0" w:line="231" w:lineRule="auto"/>
        <w:tabs>
          <w:tab w:leader="none" w:pos="1018" w:val="left"/>
        </w:tabs>
        <w:numPr>
          <w:ilvl w:val="0"/>
          <w:numId w:val="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Conforming Changes</w:t>
      </w:r>
      <w:r>
        <w:rPr>
          <w:rFonts w:ascii="Arial" w:cs="Arial" w:eastAsia="Arial" w:hAnsi="Arial"/>
          <w:sz w:val="20"/>
          <w:szCs w:val="20"/>
          <w:color w:val="auto"/>
        </w:rPr>
        <w:t>” means any technical, administrative or operational changes (including, without limitation, changes to the definition of “U.S. Government Securities Business Day,” the definition of “Interest Period” or any similar or analogous definition, the timing and frequency of determining rates and making payments of interest, prepayment provisions and other technical, administrative or operational matters) that Bank decides may be appropriate to reflect the adoption and implementation of a Benchmark Replacement or to permit the use and administration of Term SOFR or a Benchmark Replacement by Bank.</w:t>
      </w:r>
    </w:p>
    <w:p>
      <w:pPr>
        <w:spacing w:after="0" w:line="183" w:lineRule="exact"/>
        <w:rPr>
          <w:rFonts w:ascii="Arial" w:cs="Arial" w:eastAsia="Arial" w:hAnsi="Arial"/>
          <w:sz w:val="20"/>
          <w:szCs w:val="20"/>
          <w:color w:val="auto"/>
        </w:rPr>
      </w:pPr>
    </w:p>
    <w:p>
      <w:pPr>
        <w:jc w:val="both"/>
        <w:ind w:firstLine="757"/>
        <w:spacing w:after="0" w:line="229" w:lineRule="auto"/>
        <w:tabs>
          <w:tab w:leader="none" w:pos="1018" w:val="left"/>
        </w:tabs>
        <w:numPr>
          <w:ilvl w:val="0"/>
          <w:numId w:val="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means, with respect to any day (a “</w:t>
      </w:r>
      <w:r>
        <w:rPr>
          <w:rFonts w:ascii="Arial" w:cs="Arial" w:eastAsia="Arial" w:hAnsi="Arial"/>
          <w:sz w:val="20"/>
          <w:szCs w:val="20"/>
          <w:u w:val="single" w:color="auto"/>
          <w:color w:val="auto"/>
        </w:rPr>
        <w:t>SOFR Rate Day</w:t>
      </w:r>
      <w:r>
        <w:rPr>
          <w:rFonts w:ascii="Arial" w:cs="Arial" w:eastAsia="Arial" w:hAnsi="Arial"/>
          <w:sz w:val="20"/>
          <w:szCs w:val="20"/>
          <w:color w:val="auto"/>
        </w:rPr>
        <w:t>”), a rate per annum equal to SOFR for the day (such day, the “</w:t>
      </w:r>
      <w:r>
        <w:rPr>
          <w:rFonts w:ascii="Arial" w:cs="Arial" w:eastAsia="Arial" w:hAnsi="Arial"/>
          <w:sz w:val="20"/>
          <w:szCs w:val="20"/>
          <w:u w:val="single" w:color="auto"/>
          <w:color w:val="auto"/>
        </w:rPr>
        <w:t>SOFR Determination Day</w:t>
      </w:r>
      <w:r>
        <w:rPr>
          <w:rFonts w:ascii="Arial" w:cs="Arial" w:eastAsia="Arial" w:hAnsi="Arial"/>
          <w:sz w:val="20"/>
          <w:szCs w:val="20"/>
          <w:color w:val="auto"/>
        </w:rPr>
        <w:t>”)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however, that if Daily Simple SOFR determined as provided above would be less than the Benchmark Floor, then Daily Simple SOFR shall be deemed to be the Benchmark Floor. If by 5:00 p.m. (New York City time) on the second (2</w:t>
      </w:r>
      <w:r>
        <w:rPr>
          <w:rFonts w:ascii="Arial" w:cs="Arial" w:eastAsia="Arial" w:hAnsi="Arial"/>
          <w:sz w:val="13"/>
          <w:szCs w:val="13"/>
          <w:color w:val="auto"/>
        </w:rPr>
        <w:t>nd</w:t>
      </w:r>
      <w:r>
        <w:rPr>
          <w:rFonts w:ascii="Arial" w:cs="Arial" w:eastAsia="Arial" w:hAnsi="Arial"/>
          <w:sz w:val="20"/>
          <w:szCs w:val="20"/>
          <w:color w:val="auto"/>
        </w:rPr>
        <w:t>) U.S. Government Securities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3760" w:type="dxa"/>
            <w:vAlign w:val="bottom"/>
          </w:tcPr>
          <w:p>
            <w:pPr>
              <w:spacing w:after="0"/>
              <w:rPr>
                <w:sz w:val="20"/>
                <w:szCs w:val="20"/>
                <w:color w:val="auto"/>
              </w:rPr>
            </w:pPr>
            <w:r>
              <w:rPr>
                <w:rFonts w:ascii="Arial" w:cs="Arial" w:eastAsia="Arial" w:hAnsi="Arial"/>
                <w:sz w:val="14"/>
                <w:szCs w:val="14"/>
                <w:color w:val="auto"/>
              </w:rPr>
              <w:t>C-180DSSTS.docx (Rev. 12/06/21)</w:t>
            </w:r>
          </w:p>
        </w:tc>
        <w:tc>
          <w:tcPr>
            <w:tcW w:w="1700" w:type="dxa"/>
            <w:vAlign w:val="bottom"/>
          </w:tcPr>
          <w:p>
            <w:pPr>
              <w:jc w:val="right"/>
              <w:spacing w:after="0"/>
              <w:rPr>
                <w:sz w:val="20"/>
                <w:szCs w:val="20"/>
                <w:color w:val="auto"/>
              </w:rPr>
            </w:pPr>
            <w:r>
              <w:rPr>
                <w:rFonts w:ascii="Arial" w:cs="Arial" w:eastAsia="Arial" w:hAnsi="Arial"/>
                <w:sz w:val="14"/>
                <w:szCs w:val="14"/>
                <w:color w:val="auto"/>
              </w:rPr>
              <w:t>-1-</w:t>
            </w:r>
          </w:p>
        </w:tc>
      </w:tr>
    </w:tbl>
    <w:p>
      <w:pPr>
        <w:ind w:left="100"/>
        <w:spacing w:after="0"/>
        <w:rPr>
          <w:sz w:val="20"/>
          <w:szCs w:val="20"/>
          <w:color w:val="auto"/>
        </w:rPr>
      </w:pPr>
      <w:r>
        <w:rPr>
          <w:rFonts w:ascii="Arial" w:cs="Arial" w:eastAsia="Arial" w:hAnsi="Arial"/>
          <w:sz w:val="14"/>
          <w:szCs w:val="14"/>
          <w:color w:val="auto"/>
        </w:rPr>
        <w:t>4883-4318-9847</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5701982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both"/>
        <w:spacing w:after="0" w:line="237" w:lineRule="auto"/>
        <w:rPr>
          <w:sz w:val="20"/>
          <w:szCs w:val="20"/>
          <w:color w:val="auto"/>
        </w:rPr>
      </w:pPr>
      <w:r>
        <w:rPr>
          <w:rFonts w:ascii="Arial" w:cs="Arial" w:eastAsia="Arial" w:hAnsi="Arial"/>
          <w:sz w:val="20"/>
          <w:szCs w:val="20"/>
          <w:color w:val="auto"/>
        </w:rPr>
        <w:t>published in respect of the first preceding U.S. Government Securities Business Day for which SOFR was published on the SOFR Administrator’s Website; provided that any SOFR determined pursuant to this sentence shall be utilized for purposes of calculation of Daily Simple SOFR for no more than three (3) consecutive SOFR Rate Days.</w:t>
      </w:r>
    </w:p>
    <w:p>
      <w:pPr>
        <w:spacing w:after="0" w:line="183" w:lineRule="exact"/>
        <w:rPr>
          <w:sz w:val="20"/>
          <w:szCs w:val="20"/>
          <w:color w:val="auto"/>
        </w:rPr>
      </w:pPr>
    </w:p>
    <w:p>
      <w:pPr>
        <w:ind w:firstLine="757"/>
        <w:spacing w:after="0" w:line="247" w:lineRule="auto"/>
        <w:tabs>
          <w:tab w:leader="none" w:pos="1018"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Business Day</w:t>
      </w:r>
      <w:r>
        <w:rPr>
          <w:rFonts w:ascii="Arial" w:cs="Arial" w:eastAsia="Arial" w:hAnsi="Arial"/>
          <w:sz w:val="20"/>
          <w:szCs w:val="20"/>
          <w:color w:val="auto"/>
        </w:rPr>
        <w:t>” means any day that is not a Saturday, Sunday or other day on which the Federal Reserve Bank of New York is closed.</w:t>
      </w:r>
    </w:p>
    <w:p>
      <w:pPr>
        <w:spacing w:after="0" w:line="174"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means a period commencing on a Federal Reserve Business Day and continuing for one (1) month during which all or a portion of the outstanding principal balance of this Note bears interest determined in relation to Term SOFR with the understanding, that (i) if the day after the end of any Interest Period is not a Federal Reserve Business Day (so that a new Interest Period could not be selected by Borrower to start on such day), then such Interest Period shall continue up to, but shall not include, the next Federal Reserve Business Day after the end of such Interest Period, unless the result of such extension would be to cause any immediately following Interest Period to begin in the next calendar month in which event the Interest Period shall continue up to, but shall not include, the Federal Reserve Business Day immediately preceding the last day of such Interest Period, (ii) no Interest Period shall extend beyond the scheduled maturity date hereof and (iii) no tenor that has been removed from this definition pursuant to the terms of this Note shall be available for designation by Borrower.</w:t>
      </w:r>
    </w:p>
    <w:p>
      <w:pPr>
        <w:spacing w:after="0" w:line="185" w:lineRule="exact"/>
        <w:rPr>
          <w:rFonts w:ascii="Arial" w:cs="Arial" w:eastAsia="Arial" w:hAnsi="Arial"/>
          <w:sz w:val="19"/>
          <w:szCs w:val="19"/>
          <w:color w:val="auto"/>
        </w:rPr>
      </w:pPr>
    </w:p>
    <w:p>
      <w:pPr>
        <w:jc w:val="both"/>
        <w:ind w:firstLine="757"/>
        <w:spacing w:after="0" w:line="246" w:lineRule="auto"/>
        <w:tabs>
          <w:tab w:leader="none" w:pos="10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at any time the rate of interest most recently announced within Bank at its principal office as its prime rate, with the understanding that the Prime Rate is one of Bank’s base rates and serves as the basis upon which effective rates of interest are calculated for those loans making reference thereto, and is evidenced by the recording thereof after its announcement in such internal publication or publications as Bank may designate; provided, however, that if Prime Rate determined as provided above would be less than zero percent (0%), then Prime Rate shall be deemed to be zero percent (0%).</w:t>
      </w:r>
    </w:p>
    <w:p>
      <w:pPr>
        <w:spacing w:after="0" w:line="176" w:lineRule="exact"/>
        <w:rPr>
          <w:rFonts w:ascii="Arial" w:cs="Arial" w:eastAsia="Arial" w:hAnsi="Arial"/>
          <w:sz w:val="19"/>
          <w:szCs w:val="19"/>
          <w:color w:val="auto"/>
        </w:rPr>
      </w:pPr>
    </w:p>
    <w:p>
      <w:pPr>
        <w:ind w:firstLine="757"/>
        <w:spacing w:after="0" w:line="247" w:lineRule="auto"/>
        <w:tabs>
          <w:tab w:leader="none" w:pos="1018"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a rate per annum equal to the secured overnight financing rate as administered by the SOFR Administrator.</w:t>
      </w:r>
    </w:p>
    <w:p>
      <w:pPr>
        <w:spacing w:after="0" w:line="174" w:lineRule="exact"/>
        <w:rPr>
          <w:rFonts w:ascii="Arial" w:cs="Arial" w:eastAsia="Arial" w:hAnsi="Arial"/>
          <w:sz w:val="20"/>
          <w:szCs w:val="20"/>
          <w:color w:val="auto"/>
        </w:rPr>
      </w:pPr>
    </w:p>
    <w:p>
      <w:pPr>
        <w:ind w:firstLine="757"/>
        <w:spacing w:after="0" w:line="247" w:lineRule="auto"/>
        <w:tabs>
          <w:tab w:leader="none" w:pos="1018"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74" w:lineRule="exact"/>
        <w:rPr>
          <w:rFonts w:ascii="Arial" w:cs="Arial" w:eastAsia="Arial" w:hAnsi="Arial"/>
          <w:sz w:val="20"/>
          <w:szCs w:val="20"/>
          <w:color w:val="auto"/>
        </w:rPr>
      </w:pPr>
    </w:p>
    <w:p>
      <w:pPr>
        <w:jc w:val="both"/>
        <w:ind w:firstLine="757"/>
        <w:spacing w:after="0" w:line="237" w:lineRule="auto"/>
        <w:tabs>
          <w:tab w:leader="none" w:pos="1018"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82" w:lineRule="exact"/>
        <w:rPr>
          <w:rFonts w:ascii="Arial" w:cs="Arial" w:eastAsia="Arial" w:hAnsi="Arial"/>
          <w:sz w:val="20"/>
          <w:szCs w:val="20"/>
          <w:color w:val="auto"/>
        </w:rPr>
      </w:pPr>
    </w:p>
    <w:p>
      <w:pPr>
        <w:jc w:val="both"/>
        <w:ind w:firstLine="757"/>
        <w:spacing w:after="0" w:line="229" w:lineRule="auto"/>
        <w:tabs>
          <w:tab w:leader="none" w:pos="1018"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Term SOFR Reference Rate for a tenor comparable to the applicable Interest Period on the day (such day, the “</w:t>
      </w:r>
      <w:r>
        <w:rPr>
          <w:rFonts w:ascii="Arial" w:cs="Arial" w:eastAsia="Arial" w:hAnsi="Arial"/>
          <w:sz w:val="20"/>
          <w:szCs w:val="20"/>
          <w:u w:val="single" w:color="auto"/>
          <w:color w:val="auto"/>
        </w:rPr>
        <w:t>Term SOFR Determination Day</w:t>
      </w:r>
      <w:r>
        <w:rPr>
          <w:rFonts w:ascii="Arial" w:cs="Arial" w:eastAsia="Arial" w:hAnsi="Arial"/>
          <w:sz w:val="20"/>
          <w:szCs w:val="20"/>
          <w:color w:val="auto"/>
        </w:rPr>
        <w:t>”) that is two (2) U.S. Government Securities Business Days prior to the first day of such Interest Period, as such rate is published by the Term SOFR Administrator; provided, however, that (x)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100"/>
              <w:spacing w:after="0"/>
              <w:rPr>
                <w:sz w:val="20"/>
                <w:szCs w:val="20"/>
                <w:color w:val="auto"/>
              </w:rPr>
            </w:pPr>
            <w:r>
              <w:rPr>
                <w:rFonts w:ascii="Arial" w:cs="Arial" w:eastAsia="Arial" w:hAnsi="Arial"/>
                <w:sz w:val="14"/>
                <w:szCs w:val="14"/>
                <w:color w:val="auto"/>
              </w:rPr>
              <w:t>C-180DSSTS.docx (Rev. 12/06/21)</w:t>
            </w:r>
          </w:p>
        </w:tc>
        <w:tc>
          <w:tcPr>
            <w:tcW w:w="7380" w:type="dxa"/>
            <w:vAlign w:val="bottom"/>
          </w:tcPr>
          <w:p>
            <w:pPr>
              <w:jc w:val="right"/>
              <w:ind w:right="5608"/>
              <w:spacing w:after="0"/>
              <w:rPr>
                <w:sz w:val="20"/>
                <w:szCs w:val="20"/>
                <w:color w:val="auto"/>
              </w:rPr>
            </w:pPr>
            <w:r>
              <w:rPr>
                <w:rFonts w:ascii="Arial" w:cs="Arial" w:eastAsia="Arial" w:hAnsi="Arial"/>
                <w:sz w:val="14"/>
                <w:szCs w:val="14"/>
                <w:color w:val="auto"/>
              </w:rPr>
              <w:t>-2-</w:t>
            </w:r>
          </w:p>
        </w:tc>
      </w:tr>
      <w:tr>
        <w:trPr>
          <w:trHeight w:val="329"/>
        </w:trPr>
        <w:tc>
          <w:tcPr>
            <w:tcW w:w="38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7" w:name="page88"/>
    <w:bookmarkEnd w:id="87"/>
    <w:p>
      <w:pPr>
        <w:jc w:val="both"/>
        <w:ind w:firstLine="8"/>
        <w:spacing w:after="0" w:line="237" w:lineRule="auto"/>
        <w:tabs>
          <w:tab w:leader="none" w:pos="309" w:val="left"/>
        </w:tabs>
        <w:numPr>
          <w:ilvl w:val="0"/>
          <w:numId w:val="66"/>
        </w:numPr>
        <w:rPr>
          <w:rFonts w:ascii="Arial" w:cs="Arial" w:eastAsia="Arial" w:hAnsi="Arial"/>
          <w:sz w:val="20"/>
          <w:szCs w:val="20"/>
          <w:color w:val="auto"/>
        </w:rPr>
      </w:pPr>
      <w:r>
        <w:rPr>
          <w:rFonts w:ascii="Arial" w:cs="Arial" w:eastAsia="Arial" w:hAnsi="Arial"/>
          <w:sz w:val="20"/>
          <w:szCs w:val="20"/>
          <w:color w:val="auto"/>
        </w:rPr>
        <w:t>U.S. Government Securities Business Days prior to such Term SOFR Determination Day and (y) if Term SOFR determined as provided above (including pursuant to clause (x) of this proviso) shall ever be less than the Benchmark Floor, then Term SOFR shall be deemed to be the Benchmark Floor.</w:t>
      </w:r>
    </w:p>
    <w:p>
      <w:pPr>
        <w:spacing w:after="0" w:line="182" w:lineRule="exact"/>
        <w:rPr>
          <w:rFonts w:ascii="Arial" w:cs="Arial" w:eastAsia="Arial" w:hAnsi="Arial"/>
          <w:sz w:val="20"/>
          <w:szCs w:val="20"/>
          <w:color w:val="auto"/>
        </w:rPr>
      </w:pPr>
    </w:p>
    <w:p>
      <w:pPr>
        <w:ind w:firstLine="757"/>
        <w:spacing w:after="0" w:line="247" w:lineRule="auto"/>
        <w:tabs>
          <w:tab w:leader="none" w:pos="1018" w:val="left"/>
        </w:tabs>
        <w:numPr>
          <w:ilvl w:val="1"/>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Administrator</w:t>
      </w:r>
      <w:r>
        <w:rPr>
          <w:rFonts w:ascii="Arial" w:cs="Arial" w:eastAsia="Arial" w:hAnsi="Arial"/>
          <w:sz w:val="20"/>
          <w:szCs w:val="20"/>
          <w:color w:val="auto"/>
        </w:rPr>
        <w:t>” means CME Group Benchmark Administration Limited (CBA) (or a successor administrator of the Term SOFR Reference Rate selected by Bank in its reasonable discretion).</w:t>
      </w:r>
    </w:p>
    <w:p>
      <w:pPr>
        <w:spacing w:after="0" w:line="174" w:lineRule="exact"/>
        <w:rPr>
          <w:rFonts w:ascii="Arial" w:cs="Arial" w:eastAsia="Arial" w:hAnsi="Arial"/>
          <w:sz w:val="20"/>
          <w:szCs w:val="20"/>
          <w:color w:val="auto"/>
        </w:rPr>
      </w:pPr>
    </w:p>
    <w:p>
      <w:pPr>
        <w:ind w:left="1020" w:hanging="263"/>
        <w:spacing w:after="0"/>
        <w:tabs>
          <w:tab w:leader="none" w:pos="10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Reference Rate</w:t>
      </w:r>
      <w:r>
        <w:rPr>
          <w:rFonts w:ascii="Arial" w:cs="Arial" w:eastAsia="Arial" w:hAnsi="Arial"/>
          <w:sz w:val="20"/>
          <w:szCs w:val="20"/>
          <w:color w:val="auto"/>
        </w:rPr>
        <w:t>” means the forward-looking term rate based on SOFR.</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(m)“</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INTEREST:</w:t>
      </w:r>
    </w:p>
    <w:p>
      <w:pPr>
        <w:spacing w:after="0" w:line="202" w:lineRule="exact"/>
        <w:rPr>
          <w:sz w:val="20"/>
          <w:szCs w:val="20"/>
          <w:color w:val="auto"/>
        </w:rPr>
      </w:pPr>
    </w:p>
    <w:p>
      <w:pPr>
        <w:jc w:val="both"/>
        <w:ind w:firstLine="455"/>
        <w:spacing w:after="0" w:line="228" w:lineRule="auto"/>
        <w:tabs>
          <w:tab w:leader="none" w:pos="894"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The outstanding principal balance of this Note shall bear interest (computed on the basis of a 360-day year, actual days elapsed) either (i) at a fluctuating rate per annum determined by Bank to be one percent (1.00%) above Daily Simple SOFR in effect from time to time, or (ii) at a fixed rate per annum determined by Bank to be one percent (1.00%) above Term SOFR in effect on the first day of the applicable Interest Period. Bank is hereby authorized to note the date, principal amount and interest rate applicable to this Note and any payments made thereon on Bank’s books and records (either manually or by electronic entry) and/or on any schedule attached to this Note, which notations shall be prima facie evidence of the accuracy of the information noted. Bank shall be permitted to estimate the amount of accrued interest that is payable at any time hereunder on the applicable invoice provided by Bank to Borrower in respect thereof, in which case Borrower shall pay such estimated amount and Bank shall to the extent necessary, include on the next invoice an adjustment to correct any difference between the amount on the applicable invoice and the amount of interest that actually accrued pursuant to the terms of this Note.</w:t>
      </w:r>
    </w:p>
    <w:p>
      <w:pPr>
        <w:spacing w:after="0" w:line="188" w:lineRule="exact"/>
        <w:rPr>
          <w:rFonts w:ascii="Arial" w:cs="Arial" w:eastAsia="Arial" w:hAnsi="Arial"/>
          <w:sz w:val="20"/>
          <w:szCs w:val="20"/>
          <w:color w:val="auto"/>
        </w:rPr>
      </w:pPr>
    </w:p>
    <w:p>
      <w:pPr>
        <w:jc w:val="both"/>
        <w:ind w:firstLine="468"/>
        <w:spacing w:after="0" w:line="229" w:lineRule="auto"/>
        <w:tabs>
          <w:tab w:leader="none" w:pos="921" w:val="left"/>
        </w:tabs>
        <w:numPr>
          <w:ilvl w:val="1"/>
          <w:numId w:val="67"/>
        </w:numPr>
        <w:rPr>
          <w:rFonts w:ascii="Arial" w:cs="Arial" w:eastAsia="Arial" w:hAnsi="Arial"/>
          <w:sz w:val="20"/>
          <w:szCs w:val="20"/>
          <w:color w:val="auto"/>
        </w:rPr>
      </w:pPr>
      <w:r>
        <w:rPr>
          <w:rFonts w:ascii="Arial" w:cs="Arial" w:eastAsia="Arial" w:hAnsi="Arial"/>
          <w:sz w:val="20"/>
          <w:szCs w:val="20"/>
          <w:u w:val="single" w:color="auto"/>
          <w:color w:val="auto"/>
        </w:rPr>
        <w:t>Selection of Interest Rate Options</w:t>
      </w:r>
      <w:r>
        <w:rPr>
          <w:rFonts w:ascii="Arial" w:cs="Arial" w:eastAsia="Arial" w:hAnsi="Arial"/>
          <w:sz w:val="20"/>
          <w:szCs w:val="20"/>
          <w:color w:val="auto"/>
        </w:rPr>
        <w:t>. Subject to the provisions herein regarding Interest Periods and the prior notice required for the selection of a Term SOFR interest rate, (i) at any time any portion of this Note bears interest determined in relation to Term SOFR for an Interest Period, (A) it may be continued by Borrower at the end of the Interest Period applicable thereto so that all or a portion thereof bears interest determined in relation to Term SOFR for a new Interest Period designated by Borrower or (B) Borrower may convert all or a portion thereof so that it bears interest determined in relation to Daily Simple SOFR, (ii) at any time any portion of this Note bears interest determined in relation to Daily Simple SOFR, Borrower may convert all or a portion thereof so that it bears interest determined in relation to Term SOFR for an Interest Period designated by Borrower, and (iii) at the time an advance is made hereunder, Borrower may choose to have all or a portion thereof bear interest determined in relation to Daily Simple SOFR or to Term SOFR for an Interest Period designated by Borrower.</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To select a Term SOFR option hereunder, Borrower shall give Bank notice thereof that is received by Bank prior to 11:00 a.m. in the time zone of the city referenced on the first page of this Note above the Note date on a Federal Reserve Business Day at least two (2) Federal Reserve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100"/>
              <w:spacing w:after="0"/>
              <w:rPr>
                <w:sz w:val="20"/>
                <w:szCs w:val="20"/>
                <w:color w:val="auto"/>
              </w:rPr>
            </w:pPr>
            <w:r>
              <w:rPr>
                <w:rFonts w:ascii="Arial" w:cs="Arial" w:eastAsia="Arial" w:hAnsi="Arial"/>
                <w:sz w:val="14"/>
                <w:szCs w:val="14"/>
                <w:color w:val="auto"/>
              </w:rPr>
              <w:t>C-180DSSTS.docx (Rev. 12/06/21)</w:t>
            </w:r>
          </w:p>
        </w:tc>
        <w:tc>
          <w:tcPr>
            <w:tcW w:w="7380" w:type="dxa"/>
            <w:vAlign w:val="bottom"/>
          </w:tcPr>
          <w:p>
            <w:pPr>
              <w:jc w:val="right"/>
              <w:ind w:right="5608"/>
              <w:spacing w:after="0"/>
              <w:rPr>
                <w:sz w:val="20"/>
                <w:szCs w:val="20"/>
                <w:color w:val="auto"/>
              </w:rPr>
            </w:pPr>
            <w:r>
              <w:rPr>
                <w:rFonts w:ascii="Arial" w:cs="Arial" w:eastAsia="Arial" w:hAnsi="Arial"/>
                <w:sz w:val="14"/>
                <w:szCs w:val="14"/>
                <w:color w:val="auto"/>
              </w:rPr>
              <w:t>-3-</w:t>
            </w:r>
          </w:p>
        </w:tc>
      </w:tr>
      <w:tr>
        <w:trPr>
          <w:trHeight w:val="330"/>
        </w:trPr>
        <w:tc>
          <w:tcPr>
            <w:tcW w:w="38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8" w:name="page89"/>
    <w:bookmarkEnd w:id="88"/>
    <w:p>
      <w:pPr>
        <w:jc w:val="both"/>
        <w:spacing w:after="0" w:line="228" w:lineRule="auto"/>
        <w:rPr>
          <w:sz w:val="20"/>
          <w:szCs w:val="20"/>
          <w:color w:val="auto"/>
        </w:rPr>
      </w:pPr>
      <w:r>
        <w:rPr>
          <w:rFonts w:ascii="Arial" w:cs="Arial" w:eastAsia="Arial" w:hAnsi="Arial"/>
          <w:sz w:val="20"/>
          <w:szCs w:val="20"/>
          <w:color w:val="auto"/>
        </w:rPr>
        <w:t>Business Days prior to the first day of the Interest Period, or at a later time during such Federal Reserve Business Day if Bank, at its sole option but without obligation to do so, accepts Borrower’s notice and quotes a fixed rate to Borrower. Such notice shall specify: (A) the interest rate option selected by Borrower, (B) the principal amount subject thereto, and (C) for each Term SOFR selection, to the extent Borrower has the option to designate the length of an Interest Period, the length of the applicable Interest Period. If Bank has not received such notice in accordance with the foregoing before an advance is made hereunder or before the end of any Interest Period, Borrower shall be deemed to have made a Daily Simple SOFR interest selection for such advance or the principal amount to which such Interest Period applied. Any such notice may be given by telephone (or such other electronic method as Bank may permit) so long as it is given in accordance with the foregoing and, with respect to each Term SOFR selection, if requested by Bank, Borrower provides to Bank written confirmation thereof not later than three (3) Federal Reserve Business Days after such notice is given. Borrower shall reimburse Bank immediately upon demand for any loss or expense (including any loss or expense incurred by reason of the liquidation or redeployment of funds obtained to fund or maintain a Term SOFR borrowing) incurred by Bank as a result of the failure of Borrower to accept or complete a Term SOFR borrowing hereunder after making a request therefor. Any reasonable determination of such amounts by Bank shall be conclusive and binding upon Borrower.</w:t>
      </w:r>
    </w:p>
    <w:p>
      <w:pPr>
        <w:spacing w:after="0" w:line="181" w:lineRule="exact"/>
        <w:rPr>
          <w:sz w:val="20"/>
          <w:szCs w:val="20"/>
          <w:color w:val="auto"/>
        </w:rPr>
      </w:pPr>
    </w:p>
    <w:p>
      <w:pPr>
        <w:jc w:val="both"/>
        <w:ind w:firstLine="450"/>
        <w:spacing w:after="0" w:line="228" w:lineRule="auto"/>
        <w:tabs>
          <w:tab w:leader="none" w:pos="884"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Taxes and Regulatory Costs</w:t>
      </w:r>
      <w:r>
        <w:rPr>
          <w:rFonts w:ascii="Arial" w:cs="Arial" w:eastAsia="Arial" w:hAnsi="Arial"/>
          <w:sz w:val="20"/>
          <w:szCs w:val="20"/>
          <w:color w:val="auto"/>
        </w:rPr>
        <w:t>. Borrower shall pay to Bank immediately upon demand, in addition to any other amounts due or to become due hereunder, any and all (i) withholdings, interest equalization taxes, stamp taxes or other taxes (except income and franchise taxes) imposed by any domestic or foreign governmental authority and related in any manner to SOFR, Daily Simple SOFR or Term SOFR, and (ii) costs, expenses and liabilities arising from or in connection with reserve percentages prescribed by the Board of Governors of the Federal Reserve System (or any successor) for “Eurocurrency Liabilities” (as defined in Regulation D of the Board of Governors of the Federal Reserve System, as amended), assessment rates imposed by the Federal Deposit Insurance Corporation, or similar requirements or costs imposed by any domestic or foreign governmental authority or resulting from compliance by Bank with any request or directive (whether or not having the force of law) from any central bank or other governmental authority and related in any manner to SOFR, Daily Simple SOFR or Term SOFR. In determining which of the foregoing are attributable to any SOFR, Daily Simple SOFR or Term SOFR option available to Borrower hereunder, any reasonable allocation made by Bank among its operations shall be conclusive and binding upon Borrower.</w:t>
      </w:r>
    </w:p>
    <w:p>
      <w:pPr>
        <w:spacing w:after="0" w:line="186" w:lineRule="exact"/>
        <w:rPr>
          <w:rFonts w:ascii="Arial" w:cs="Arial" w:eastAsia="Arial" w:hAnsi="Arial"/>
          <w:sz w:val="20"/>
          <w:szCs w:val="20"/>
          <w:color w:val="auto"/>
        </w:rPr>
      </w:pPr>
    </w:p>
    <w:p>
      <w:pPr>
        <w:jc w:val="both"/>
        <w:ind w:firstLine="480"/>
        <w:spacing w:after="0" w:line="234" w:lineRule="auto"/>
        <w:tabs>
          <w:tab w:leader="none" w:pos="945"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Default Interest</w:t>
      </w:r>
      <w:r>
        <w:rPr>
          <w:rFonts w:ascii="Arial" w:cs="Arial" w:eastAsia="Arial" w:hAnsi="Arial"/>
          <w:sz w:val="20"/>
          <w:szCs w:val="20"/>
          <w:color w:val="auto"/>
        </w:rPr>
        <w:t>. Bank shall have the option in its sole and absolute discretion to have the outstanding principal balance of this Note and all other Obligations then due and owing under the Loan Documents bear interest at an increased rate per annum (computed on the basis of a 360-day year, actual days elapsed) equal to two percent (2.0%) above the rate of interest from time to time applicable to this Note upon the occurrence and during the continuance of any Event of Default.</w:t>
      </w:r>
    </w:p>
    <w:p>
      <w:pPr>
        <w:spacing w:after="0" w:line="183" w:lineRule="exact"/>
        <w:rPr>
          <w:rFonts w:ascii="Arial" w:cs="Arial" w:eastAsia="Arial" w:hAnsi="Arial"/>
          <w:sz w:val="20"/>
          <w:szCs w:val="20"/>
          <w:color w:val="auto"/>
        </w:rPr>
      </w:pPr>
    </w:p>
    <w:p>
      <w:pPr>
        <w:jc w:val="both"/>
        <w:ind w:firstLine="477"/>
        <w:spacing w:after="0" w:line="230" w:lineRule="auto"/>
        <w:tabs>
          <w:tab w:leader="none" w:pos="939"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Inability to Determine Interest Rates; Illegality</w:t>
      </w:r>
      <w:r>
        <w:rPr>
          <w:rFonts w:ascii="Arial" w:cs="Arial" w:eastAsia="Arial" w:hAnsi="Arial"/>
          <w:sz w:val="20"/>
          <w:szCs w:val="20"/>
          <w:color w:val="auto"/>
        </w:rPr>
        <w:t>. Subject to the Benchmark Replacement Provisions below, if Bank determines (any determination of which shall be conclusive and binding on Borrower) that either (i) Daily Simple SOFR or Term SOFR for the applicable Interest Period cannot be determined pursuant to the definition thereof other than as a result of a Benchmark Transition Event (an “</w:t>
      </w:r>
      <w:r>
        <w:rPr>
          <w:rFonts w:ascii="Arial" w:cs="Arial" w:eastAsia="Arial" w:hAnsi="Arial"/>
          <w:sz w:val="20"/>
          <w:szCs w:val="20"/>
          <w:u w:val="single" w:color="auto"/>
          <w:color w:val="auto"/>
        </w:rPr>
        <w:t>Inability Determination</w:t>
      </w:r>
      <w:r>
        <w:rPr>
          <w:rFonts w:ascii="Arial" w:cs="Arial" w:eastAsia="Arial" w:hAnsi="Arial"/>
          <w:sz w:val="20"/>
          <w:szCs w:val="20"/>
          <w:color w:val="auto"/>
        </w:rPr>
        <w:t>”) or (ii) any law has made it unlawful, or that any governmental authority has asserted that it is unlawful, for Bank to make or maintain an advance based on SOFR, Daily Simple SOFR or Term SOFR, or to determine or charge interest rates based upon SOFR, Daily Simple SOFR or Term SOFR (an “</w:t>
      </w:r>
      <w:r>
        <w:rPr>
          <w:rFonts w:ascii="Arial" w:cs="Arial" w:eastAsia="Arial" w:hAnsi="Arial"/>
          <w:sz w:val="20"/>
          <w:szCs w:val="20"/>
          <w:u w:val="single" w:color="auto"/>
          <w:color w:val="auto"/>
        </w:rPr>
        <w:t>Illegality Determination</w:t>
      </w:r>
      <w:r>
        <w:rPr>
          <w:rFonts w:ascii="Arial" w:cs="Arial" w:eastAsia="Arial" w:hAnsi="Arial"/>
          <w:sz w:val="20"/>
          <w:szCs w:val="20"/>
          <w:color w:val="auto"/>
        </w:rPr>
        <w:t>”), then Bank will so notify Borrower. If the foregoing Inability Determination or Illegality Determination relates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100"/>
              <w:spacing w:after="0"/>
              <w:rPr>
                <w:sz w:val="20"/>
                <w:szCs w:val="20"/>
                <w:color w:val="auto"/>
              </w:rPr>
            </w:pPr>
            <w:r>
              <w:rPr>
                <w:rFonts w:ascii="Arial" w:cs="Arial" w:eastAsia="Arial" w:hAnsi="Arial"/>
                <w:sz w:val="14"/>
                <w:szCs w:val="14"/>
                <w:color w:val="auto"/>
              </w:rPr>
              <w:t>C-180DSSTS.docx (Rev. 12/06/21)</w:t>
            </w:r>
          </w:p>
        </w:tc>
        <w:tc>
          <w:tcPr>
            <w:tcW w:w="7380" w:type="dxa"/>
            <w:vAlign w:val="bottom"/>
          </w:tcPr>
          <w:p>
            <w:pPr>
              <w:jc w:val="right"/>
              <w:ind w:right="5608"/>
              <w:spacing w:after="0"/>
              <w:rPr>
                <w:sz w:val="20"/>
                <w:szCs w:val="20"/>
                <w:color w:val="auto"/>
              </w:rPr>
            </w:pPr>
            <w:r>
              <w:rPr>
                <w:rFonts w:ascii="Arial" w:cs="Arial" w:eastAsia="Arial" w:hAnsi="Arial"/>
                <w:sz w:val="14"/>
                <w:szCs w:val="14"/>
                <w:color w:val="auto"/>
              </w:rPr>
              <w:t>-4-</w:t>
            </w:r>
          </w:p>
        </w:tc>
      </w:tr>
      <w:tr>
        <w:trPr>
          <w:trHeight w:val="330"/>
        </w:trPr>
        <w:tc>
          <w:tcPr>
            <w:tcW w:w="38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9" w:name="page90"/>
    <w:bookmarkEnd w:id="89"/>
    <w:p>
      <w:pPr>
        <w:jc w:val="both"/>
        <w:spacing w:after="0" w:line="227" w:lineRule="auto"/>
        <w:rPr>
          <w:sz w:val="20"/>
          <w:szCs w:val="20"/>
          <w:color w:val="auto"/>
        </w:rPr>
      </w:pPr>
      <w:r>
        <w:rPr>
          <w:rFonts w:ascii="Arial" w:cs="Arial" w:eastAsia="Arial" w:hAnsi="Arial"/>
          <w:sz w:val="20"/>
          <w:szCs w:val="20"/>
          <w:color w:val="auto"/>
        </w:rPr>
        <w:t>to Daily Simple SOFR, then any outstanding principal balance of this Note bearing interest determined in relation to Daily Simple SOFR shall bear interest (x) pursuant to the Term SOFR option herein (if selected by Borrower and to the extent such option is available) or (y) otherwise, at a fluctuating rate per annum determined by Bank to be equal to the Prime Rate in effect from time to time (computed on the basis of a 360-day year, actual days elapsed), from the date of such Inability Determination or such Illegality Determination until Bank revokes such Inability Determination or notifies Borrower that the circumstances giving rise to such Illegality Determination no longer exist, as applicable. If the foregoing Inability Determination or Illegality Determination relates to Term SOFR for any Interest Period, then any outstanding principal balance of this Note bearing interest determined in relation to Term SOFR for any affected Interest Period shall bear interest (x) pursuant to the Daily Simple SOFR option herein (if selected by Borrower and to the extent such option is available) or (y) otherwise, at a fluctuating rate per annum determined by Bank to be the Prime Rate in effect from time to time (computed on the basis of a 360-day year, actual days elapsed), from the date of such Inability Determination or such Illegality Determination until Bank revokes such Inability Determination or notifies Borrower that the circumstances giving rise to such Illegality Determination no longer exist, as applicable; provided, however, that, with respect to any outstanding principal balance of this Note bearing interest determined in relation to Term SOFR for any affected Interest Period, no such determination of interest shall take effect during any applicable Interest Period as a result of an Inability Determination. When interest is determined in relation to the Prime Rate, each change in the rate of interest hereunder shall become effective on the date each Prime Rate change is announced within Bank. Notwithstanding any of the foregoing to the contrary, if a Benchmark Replacement is subsequently determined in accordance with applicable Benchmark Replacement Provisions, that Benchmark Replacement, plus any applicable margin, will then supersede the foregoing with respect to the replaced Benchmark.</w:t>
      </w:r>
    </w:p>
    <w:p>
      <w:pPr>
        <w:spacing w:after="0" w:line="187" w:lineRule="exact"/>
        <w:rPr>
          <w:sz w:val="20"/>
          <w:szCs w:val="20"/>
          <w:color w:val="auto"/>
        </w:rPr>
      </w:pPr>
    </w:p>
    <w:p>
      <w:pPr>
        <w:jc w:val="both"/>
        <w:ind w:firstLine="467"/>
        <w:spacing w:after="0" w:line="234" w:lineRule="auto"/>
        <w:tabs>
          <w:tab w:leader="none" w:pos="919"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Term SOFR Conforming Changes</w:t>
      </w:r>
      <w:r>
        <w:rPr>
          <w:rFonts w:ascii="Arial" w:cs="Arial" w:eastAsia="Arial" w:hAnsi="Arial"/>
          <w:sz w:val="20"/>
          <w:szCs w:val="20"/>
          <w:color w:val="auto"/>
        </w:rPr>
        <w:t>. In connection with the use or administration of Term SOFR, Bank will have the right to make Conforming Changes from time to time and any amendments implementing such Conforming Changes will become effective without any further action or consent of Borrower. Bank will promptly notify Borrower of the effectiveness of any Conforming Changes in connection with the use or administration of Term SOFR.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BENCHMARK REPLACEMENT PROVISIONS:</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Notwithstanding anything to the contrary contained in this Note or in any related loan document (for the purposes of these Benchmark Replacement Provisions, a swap agreement by and between Borrower and Bank or any of its affiliates is not a loan document):</w:t>
      </w:r>
    </w:p>
    <w:p>
      <w:pPr>
        <w:spacing w:after="0" w:line="183" w:lineRule="exact"/>
        <w:rPr>
          <w:sz w:val="20"/>
          <w:szCs w:val="20"/>
          <w:color w:val="auto"/>
        </w:rPr>
      </w:pPr>
    </w:p>
    <w:p>
      <w:pPr>
        <w:jc w:val="both"/>
        <w:ind w:firstLine="757"/>
        <w:spacing w:after="0" w:line="234" w:lineRule="auto"/>
        <w:tabs>
          <w:tab w:leader="none" w:pos="1387"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Benchmark Replacement</w:t>
      </w:r>
      <w:r>
        <w:rPr>
          <w:rFonts w:ascii="Arial" w:cs="Arial" w:eastAsia="Arial" w:hAnsi="Arial"/>
          <w:sz w:val="20"/>
          <w:szCs w:val="20"/>
          <w:color w:val="auto"/>
        </w:rPr>
        <w:t>. If a Benchmark Transition Event with respect to any applicable then-current Benchmark, occurs, the applicable Benchmark Replacement will replace such Benchmark for all purposes under this Note or under any related loan document. Any Benchmark Replacement will become effective on the applicable Benchmark Replacement Date without any further action or consent of Borrower.</w:t>
      </w:r>
    </w:p>
    <w:p>
      <w:pPr>
        <w:spacing w:after="0" w:line="183" w:lineRule="exact"/>
        <w:rPr>
          <w:rFonts w:ascii="Arial" w:cs="Arial" w:eastAsia="Arial" w:hAnsi="Arial"/>
          <w:sz w:val="20"/>
          <w:szCs w:val="20"/>
          <w:color w:val="auto"/>
        </w:rPr>
      </w:pPr>
    </w:p>
    <w:p>
      <w:pPr>
        <w:jc w:val="both"/>
        <w:ind w:firstLine="757"/>
        <w:spacing w:after="0" w:line="237" w:lineRule="auto"/>
        <w:tabs>
          <w:tab w:leader="none" w:pos="1386"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use, administration, adoption or implementation of a Benchmark Replacement, Bank will have the right to make Conforming Changes from time to time and any amendments implementing such Conforming Changes will become effective without any further action or consent of Borrower.</w:t>
      </w:r>
    </w:p>
    <w:p>
      <w:pPr>
        <w:spacing w:after="0" w:line="182" w:lineRule="exact"/>
        <w:rPr>
          <w:rFonts w:ascii="Arial" w:cs="Arial" w:eastAsia="Arial" w:hAnsi="Arial"/>
          <w:sz w:val="20"/>
          <w:szCs w:val="20"/>
          <w:color w:val="auto"/>
        </w:rPr>
      </w:pPr>
    </w:p>
    <w:p>
      <w:pPr>
        <w:ind w:firstLine="757"/>
        <w:spacing w:after="0" w:line="247" w:lineRule="auto"/>
        <w:tabs>
          <w:tab w:leader="none" w:pos="140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Notices; Standards for Decisions and Determinations</w:t>
      </w:r>
      <w:r>
        <w:rPr>
          <w:rFonts w:ascii="Arial" w:cs="Arial" w:eastAsia="Arial" w:hAnsi="Arial"/>
          <w:sz w:val="20"/>
          <w:szCs w:val="20"/>
          <w:color w:val="auto"/>
        </w:rPr>
        <w:t>. Bank will promptly notify Borrower of (i) the implementation of any Benchmark Replacement, (ii) the effectiveness of 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100"/>
              <w:spacing w:after="0"/>
              <w:rPr>
                <w:sz w:val="20"/>
                <w:szCs w:val="20"/>
                <w:color w:val="auto"/>
              </w:rPr>
            </w:pPr>
            <w:r>
              <w:rPr>
                <w:rFonts w:ascii="Arial" w:cs="Arial" w:eastAsia="Arial" w:hAnsi="Arial"/>
                <w:sz w:val="14"/>
                <w:szCs w:val="14"/>
                <w:color w:val="auto"/>
              </w:rPr>
              <w:t>C-180DSSTS.docx (Rev. 12/06/21)</w:t>
            </w:r>
          </w:p>
        </w:tc>
        <w:tc>
          <w:tcPr>
            <w:tcW w:w="7380" w:type="dxa"/>
            <w:vAlign w:val="bottom"/>
          </w:tcPr>
          <w:p>
            <w:pPr>
              <w:jc w:val="right"/>
              <w:ind w:right="5608"/>
              <w:spacing w:after="0"/>
              <w:rPr>
                <w:sz w:val="20"/>
                <w:szCs w:val="20"/>
                <w:color w:val="auto"/>
              </w:rPr>
            </w:pPr>
            <w:r>
              <w:rPr>
                <w:rFonts w:ascii="Arial" w:cs="Arial" w:eastAsia="Arial" w:hAnsi="Arial"/>
                <w:sz w:val="14"/>
                <w:szCs w:val="14"/>
                <w:color w:val="auto"/>
              </w:rPr>
              <w:t>-5-</w:t>
            </w:r>
          </w:p>
        </w:tc>
      </w:tr>
      <w:tr>
        <w:trPr>
          <w:trHeight w:val="329"/>
        </w:trPr>
        <w:tc>
          <w:tcPr>
            <w:tcW w:w="38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Conforming Changes in connection with the use, administration, adoption or implementation of a Benchmark Replacement and</w:t>
      </w:r>
    </w:p>
    <w:p>
      <w:pPr>
        <w:jc w:val="both"/>
        <w:ind w:firstLine="8"/>
        <w:spacing w:after="0" w:line="229" w:lineRule="auto"/>
        <w:tabs>
          <w:tab w:leader="none" w:pos="352"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removal or reinstatement of any tenor of a Benchmark pursuant to the provisions of this Note. Any determination, decision or election that may be made by Bank pursuant to these Benchmark Replacement Provisions, including any determination with respect to a tenor, rate or adjustment or of the occurrence or non-occurrence of an event, circumstance or date and any decision to take or refrain from taking any action or any selection, will be conclusive and binding absent manifest error and will be made in its sole discretion and without Borrower consent.</w:t>
      </w:r>
    </w:p>
    <w:p>
      <w:pPr>
        <w:spacing w:after="0" w:line="184" w:lineRule="exact"/>
        <w:rPr>
          <w:rFonts w:ascii="Arial" w:cs="Arial" w:eastAsia="Arial" w:hAnsi="Arial"/>
          <w:sz w:val="20"/>
          <w:szCs w:val="20"/>
          <w:color w:val="auto"/>
        </w:rPr>
      </w:pPr>
    </w:p>
    <w:p>
      <w:pPr>
        <w:jc w:val="both"/>
        <w:ind w:firstLine="464"/>
        <w:spacing w:after="0" w:line="227" w:lineRule="auto"/>
        <w:tabs>
          <w:tab w:leader="none" w:pos="912"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Unavailability of Tenor of Benchmark</w:t>
      </w:r>
      <w:r>
        <w:rPr>
          <w:rFonts w:ascii="Arial" w:cs="Arial" w:eastAsia="Arial" w:hAnsi="Arial"/>
          <w:sz w:val="20"/>
          <w:szCs w:val="20"/>
          <w:color w:val="auto"/>
        </w:rPr>
        <w: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Bank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Bank may modify the definition of “Interest Period” (or any similar or analogous definition) for any Benchmark settings at or after the occurrence of either (A) or (B) above to remove such unavailable, non-representative, non-compliant or non-aligned tenor and (ii) if a tenor that was removed pursuant to clause (i) above either (A) is subsequently displayed on a screen or information service for a Benchmark (including a Benchmark Replacement) as selected by Bank in its reasonable discretion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Bank may modify the definition of “Interest Period” (or any similar or analogous definition) for all Benchmark settings at or after such time to reinstate such previously removed tenor.</w:t>
      </w:r>
    </w:p>
    <w:p>
      <w:pPr>
        <w:spacing w:after="0" w:line="193" w:lineRule="exact"/>
        <w:rPr>
          <w:sz w:val="20"/>
          <w:szCs w:val="20"/>
          <w:color w:val="auto"/>
        </w:rPr>
      </w:pPr>
    </w:p>
    <w:p>
      <w:pPr>
        <w:ind w:right="340" w:firstLine="757"/>
        <w:spacing w:after="0" w:line="247" w:lineRule="auto"/>
        <w:tabs>
          <w:tab w:leader="none" w:pos="133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Certain Defined Terms</w:t>
      </w:r>
      <w:r>
        <w:rPr>
          <w:rFonts w:ascii="Arial" w:cs="Arial" w:eastAsia="Arial" w:hAnsi="Arial"/>
          <w:sz w:val="20"/>
          <w:szCs w:val="20"/>
          <w:color w:val="auto"/>
        </w:rPr>
        <w:t>. As used in this Note, each of the following capitalized terms has the meaning given to such term below:</w:t>
      </w:r>
    </w:p>
    <w:p>
      <w:pPr>
        <w:spacing w:after="0" w:line="175" w:lineRule="exact"/>
        <w:rPr>
          <w:sz w:val="20"/>
          <w:szCs w:val="20"/>
          <w:color w:val="auto"/>
        </w:rPr>
      </w:pPr>
    </w:p>
    <w:p>
      <w:pPr>
        <w:jc w:val="both"/>
        <w:ind w:right="340" w:firstLine="757"/>
        <w:spacing w:after="0" w:line="231" w:lineRule="auto"/>
        <w:tabs>
          <w:tab w:leader="none" w:pos="1010"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Tenor</w:t>
      </w:r>
      <w:r>
        <w:rPr>
          <w:rFonts w:ascii="Arial" w:cs="Arial" w:eastAsia="Arial" w:hAnsi="Arial"/>
          <w:sz w:val="20"/>
          <w:szCs w:val="20"/>
          <w:color w:val="auto"/>
        </w:rPr>
        <w:t>” means, as of any date of determination and with respect to any then-current Benchmark, as applicable, (A) if such Benchmark is a term rate, any tenor for such Benchmark that is or may be used for determining the length of an interest period pursuant to this Note or (B) otherwise, any payment period for interest calculated with reference to such Benchmark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the provisions of this Note.</w:t>
      </w:r>
    </w:p>
    <w:p>
      <w:pPr>
        <w:spacing w:after="0" w:line="183" w:lineRule="exact"/>
        <w:rPr>
          <w:rFonts w:ascii="Arial" w:cs="Arial" w:eastAsia="Arial" w:hAnsi="Arial"/>
          <w:sz w:val="20"/>
          <w:szCs w:val="20"/>
          <w:color w:val="auto"/>
        </w:rPr>
      </w:pPr>
    </w:p>
    <w:p>
      <w:pPr>
        <w:jc w:val="both"/>
        <w:ind w:firstLine="757"/>
        <w:spacing w:after="0" w:line="234" w:lineRule="auto"/>
        <w:tabs>
          <w:tab w:leader="none" w:pos="1018"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means, initially, Daily Simple SOFR or the Term SOFR Reference Rate, as applicable; provided, however, that if a Benchmark Transition Event has occurred with respect to Daily Simple SOFR, the Term SOFR Reference Rate or the applicable then-current Benchmark, then “Benchmark” means the applicable Benchmark Replacement to the extent that such Benchmark Replacement has become effective pursuant to the provisions of this Note.</w:t>
      </w:r>
    </w:p>
    <w:p>
      <w:pPr>
        <w:spacing w:after="0" w:line="183" w:lineRule="exact"/>
        <w:rPr>
          <w:sz w:val="20"/>
          <w:szCs w:val="20"/>
          <w:color w:val="auto"/>
        </w:rPr>
      </w:pPr>
    </w:p>
    <w:p>
      <w:pPr>
        <w:ind w:firstLine="749"/>
        <w:spacing w:after="0" w:line="247"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Benchmark Administrator</w:t>
      </w:r>
      <w:r>
        <w:rPr>
          <w:rFonts w:ascii="Arial" w:cs="Arial" w:eastAsia="Arial" w:hAnsi="Arial"/>
          <w:sz w:val="20"/>
          <w:szCs w:val="20"/>
          <w:color w:val="auto"/>
        </w:rPr>
        <w:t>” means, with respect to any then-current Benchmark, initially, the SOFR Administrator or the Term SOFR Administrator, as applicable, or any successor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100"/>
              <w:spacing w:after="0"/>
              <w:rPr>
                <w:sz w:val="20"/>
                <w:szCs w:val="20"/>
                <w:color w:val="auto"/>
              </w:rPr>
            </w:pPr>
            <w:r>
              <w:rPr>
                <w:rFonts w:ascii="Arial" w:cs="Arial" w:eastAsia="Arial" w:hAnsi="Arial"/>
                <w:sz w:val="14"/>
                <w:szCs w:val="14"/>
                <w:color w:val="auto"/>
              </w:rPr>
              <w:t>C-180DSSTS.docx (Rev. 12/06/21)</w:t>
            </w:r>
          </w:p>
        </w:tc>
        <w:tc>
          <w:tcPr>
            <w:tcW w:w="7380" w:type="dxa"/>
            <w:vAlign w:val="bottom"/>
          </w:tcPr>
          <w:p>
            <w:pPr>
              <w:jc w:val="right"/>
              <w:ind w:right="5608"/>
              <w:spacing w:after="0"/>
              <w:rPr>
                <w:sz w:val="20"/>
                <w:szCs w:val="20"/>
                <w:color w:val="auto"/>
              </w:rPr>
            </w:pPr>
            <w:r>
              <w:rPr>
                <w:rFonts w:ascii="Arial" w:cs="Arial" w:eastAsia="Arial" w:hAnsi="Arial"/>
                <w:sz w:val="14"/>
                <w:szCs w:val="14"/>
                <w:color w:val="auto"/>
              </w:rPr>
              <w:t>-6-</w:t>
            </w:r>
          </w:p>
        </w:tc>
      </w:tr>
      <w:tr>
        <w:trPr>
          <w:trHeight w:val="330"/>
        </w:trPr>
        <w:tc>
          <w:tcPr>
            <w:tcW w:w="38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1" w:name="page92"/>
    <w:bookmarkEnd w:id="91"/>
    <w:p>
      <w:pPr>
        <w:spacing w:after="0"/>
        <w:rPr>
          <w:sz w:val="20"/>
          <w:szCs w:val="20"/>
          <w:color w:val="auto"/>
        </w:rPr>
      </w:pPr>
      <w:r>
        <w:rPr>
          <w:rFonts w:ascii="Arial" w:cs="Arial" w:eastAsia="Arial" w:hAnsi="Arial"/>
          <w:sz w:val="20"/>
          <w:szCs w:val="20"/>
          <w:color w:val="auto"/>
        </w:rPr>
        <w:t>administrator of such Benchmark or any insolvency or resolution official with authority over such administrator.</w:t>
      </w:r>
    </w:p>
    <w:p>
      <w:pPr>
        <w:spacing w:after="0" w:line="202" w:lineRule="exact"/>
        <w:rPr>
          <w:sz w:val="20"/>
          <w:szCs w:val="20"/>
          <w:color w:val="auto"/>
        </w:rPr>
      </w:pPr>
    </w:p>
    <w:p>
      <w:pPr>
        <w:ind w:firstLine="749"/>
        <w:spacing w:after="0" w:line="244"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 means, with respect to any Benchmark Transition Event, the sum of: (A) the alternate reference rate that has been selected by Bank and Borrower as the replacement for the applicable then-current Benchmark; and</w:t>
      </w:r>
    </w:p>
    <w:p>
      <w:pPr>
        <w:spacing w:after="0" w:line="2" w:lineRule="exact"/>
        <w:rPr>
          <w:sz w:val="20"/>
          <w:szCs w:val="20"/>
          <w:color w:val="auto"/>
        </w:rPr>
      </w:pPr>
    </w:p>
    <w:p>
      <w:pPr>
        <w:jc w:val="both"/>
        <w:ind w:firstLine="8"/>
        <w:spacing w:after="0" w:line="227" w:lineRule="auto"/>
        <w:tabs>
          <w:tab w:leader="none" w:pos="357"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spread adjustment, or method for calculating or determining such spread adjustment, (which may be a positive or negative value or zero) that has been selected by Bank and Borrower, in each case, giving due consideration to (x) any selection or recommendation by the Relevant Governmental Body at such time for a replacement reference rate, the mechanism for determining such a rate, the methodology or conventions applicable to such alternate reference rate, or the spread adjustment, or method for calculating or determining such spread adjustment, for such rate, or (y) any evolving or then-prevailing market convention for determining an alternate reference rate as a replacement to the applicable then-current Benchmark, the methodology or conventions applicable to such rate, or the spread adjustment, or method for calculating or determining such spread adjustment, for such rate for U.S. dollar-denominated syndicated or bilateral credit facilities; provided, however, that if the applicable Benchmark Replacement as determined as provided above would be less than the Benchmark Floor, then the applicable Benchmark Replacement shall be deemed to be the Benchmark Floor for the purposes of this Note and the related loan documents, subject to any other applicable floor rate provision.</w:t>
      </w:r>
    </w:p>
    <w:p>
      <w:pPr>
        <w:spacing w:after="0" w:line="185" w:lineRule="exact"/>
        <w:rPr>
          <w:rFonts w:ascii="Arial" w:cs="Arial" w:eastAsia="Arial" w:hAnsi="Arial"/>
          <w:sz w:val="20"/>
          <w:szCs w:val="20"/>
          <w:color w:val="auto"/>
        </w:rPr>
      </w:pPr>
    </w:p>
    <w:p>
      <w:pPr>
        <w:ind w:right="340" w:firstLine="757"/>
        <w:spacing w:after="0" w:line="247" w:lineRule="auto"/>
        <w:tabs>
          <w:tab w:leader="none" w:pos="1010" w:val="left"/>
        </w:tabs>
        <w:numPr>
          <w:ilvl w:val="1"/>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the date specified by Bank in a notice to Borrower following a Benchmark Transition Event.</w:t>
      </w:r>
    </w:p>
    <w:p>
      <w:pPr>
        <w:spacing w:after="0" w:line="175" w:lineRule="exact"/>
        <w:rPr>
          <w:sz w:val="20"/>
          <w:szCs w:val="20"/>
          <w:color w:val="auto"/>
        </w:rPr>
      </w:pPr>
    </w:p>
    <w:p>
      <w:pPr>
        <w:jc w:val="both"/>
        <w:ind w:right="340" w:firstLine="749"/>
        <w:spacing w:after="0" w:line="230" w:lineRule="auto"/>
        <w:rPr>
          <w:sz w:val="20"/>
          <w:szCs w:val="20"/>
          <w:color w:val="auto"/>
        </w:rPr>
      </w:pPr>
      <w:r>
        <w:rPr>
          <w:rFonts w:ascii="Arial" w:cs="Arial" w:eastAsia="Arial" w:hAnsi="Arial"/>
          <w:sz w:val="20"/>
          <w:szCs w:val="20"/>
          <w:color w:val="auto"/>
        </w:rPr>
        <w:t xml:space="preserve">(vi)“ </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the occurrence of one or more of the following events with respect to any then-current Benchmark: a public statement or publication of information by or on behalf of the Benchmark Administrator or a regulatory supervisor for the Benchmark Administrator announcing that (A) the Benchmark Administrator has ceased or will cease to provide such Benchmark, or, if such Benchmark is a term rate, all Available Tenors of such Benchmark, permanently or indefinitely, or (B) such Benchmark is, or, if such Benchmark is a term rate, all Available Tenors of such Benchmark are, not, or as of a specified future date will not be, representative of underlying markets or in compliance with or aligned with the International Organization of Securities Commissions (IOSCO) Principles for Financial Benchmarks.</w:t>
      </w:r>
    </w:p>
    <w:p>
      <w:pPr>
        <w:spacing w:after="0" w:line="185" w:lineRule="exact"/>
        <w:rPr>
          <w:sz w:val="20"/>
          <w:szCs w:val="20"/>
          <w:color w:val="auto"/>
        </w:rPr>
      </w:pPr>
    </w:p>
    <w:p>
      <w:pPr>
        <w:jc w:val="both"/>
        <w:ind w:right="340" w:firstLine="749"/>
        <w:spacing w:after="0" w:line="237" w:lineRule="auto"/>
        <w:rPr>
          <w:sz w:val="20"/>
          <w:szCs w:val="20"/>
          <w:color w:val="auto"/>
        </w:rPr>
      </w:pPr>
      <w:r>
        <w:rPr>
          <w:rFonts w:ascii="Arial" w:cs="Arial" w:eastAsia="Arial" w:hAnsi="Arial"/>
          <w:sz w:val="20"/>
          <w:szCs w:val="20"/>
          <w:color w:val="auto"/>
        </w:rPr>
        <w:t>(vii)“</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xml:space="preserve"> ”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BORROWING AND REPAYMENT:</w:t>
      </w:r>
    </w:p>
    <w:p>
      <w:pPr>
        <w:spacing w:after="0" w:line="202" w:lineRule="exact"/>
        <w:rPr>
          <w:sz w:val="20"/>
          <w:szCs w:val="20"/>
          <w:color w:val="auto"/>
        </w:rPr>
      </w:pPr>
    </w:p>
    <w:p>
      <w:pPr>
        <w:jc w:val="both"/>
        <w:ind w:firstLine="456"/>
        <w:spacing w:after="0" w:line="231" w:lineRule="auto"/>
        <w:tabs>
          <w:tab w:leader="none" w:pos="896"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Borrowing and Repayment of Principal</w:t>
      </w:r>
      <w:r>
        <w:rPr>
          <w:rFonts w:ascii="Arial" w:cs="Arial" w:eastAsia="Arial" w:hAnsi="Arial"/>
          <w:sz w:val="20"/>
          <w:szCs w:val="20"/>
          <w:color w:val="auto"/>
        </w:rPr>
        <w:t>. Borrower may from time to time during the term of this Note borrow, partially or wholly repay its outstanding borrowings, and reborrow, subject to all of the limitations, terms and conditions of this Note and of any document executed in connection with or governing this Note; provided however, that the total outstanding borrowings under this Note shall not at any time exceed the principal amount stated above. The unpaid principal balance of this obligation at any time shall be the total amounts advanced hereunder by the holder hereof less the amount of principal payments made hereon by or for Borrower, which</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100"/>
              <w:spacing w:after="0"/>
              <w:rPr>
                <w:sz w:val="20"/>
                <w:szCs w:val="20"/>
                <w:color w:val="auto"/>
              </w:rPr>
            </w:pPr>
            <w:r>
              <w:rPr>
                <w:rFonts w:ascii="Arial" w:cs="Arial" w:eastAsia="Arial" w:hAnsi="Arial"/>
                <w:sz w:val="14"/>
                <w:szCs w:val="14"/>
                <w:color w:val="auto"/>
              </w:rPr>
              <w:t>C-180DSSTS.docx (Rev. 12/06/21)</w:t>
            </w:r>
          </w:p>
        </w:tc>
        <w:tc>
          <w:tcPr>
            <w:tcW w:w="7380" w:type="dxa"/>
            <w:vAlign w:val="bottom"/>
          </w:tcPr>
          <w:p>
            <w:pPr>
              <w:jc w:val="right"/>
              <w:ind w:right="5608"/>
              <w:spacing w:after="0"/>
              <w:rPr>
                <w:sz w:val="20"/>
                <w:szCs w:val="20"/>
                <w:color w:val="auto"/>
              </w:rPr>
            </w:pPr>
            <w:r>
              <w:rPr>
                <w:rFonts w:ascii="Arial" w:cs="Arial" w:eastAsia="Arial" w:hAnsi="Arial"/>
                <w:sz w:val="14"/>
                <w:szCs w:val="14"/>
                <w:color w:val="auto"/>
              </w:rPr>
              <w:t>-7-</w:t>
            </w:r>
          </w:p>
        </w:tc>
      </w:tr>
      <w:tr>
        <w:trPr>
          <w:trHeight w:val="329"/>
        </w:trPr>
        <w:tc>
          <w:tcPr>
            <w:tcW w:w="38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2" w:name="page93"/>
    <w:bookmarkEnd w:id="92"/>
    <w:p>
      <w:pPr>
        <w:spacing w:after="0" w:line="247" w:lineRule="auto"/>
        <w:rPr>
          <w:sz w:val="20"/>
          <w:szCs w:val="20"/>
          <w:color w:val="auto"/>
        </w:rPr>
      </w:pPr>
      <w:r>
        <w:rPr>
          <w:rFonts w:ascii="Arial" w:cs="Arial" w:eastAsia="Arial" w:hAnsi="Arial"/>
          <w:sz w:val="20"/>
          <w:szCs w:val="20"/>
          <w:color w:val="auto"/>
        </w:rPr>
        <w:t>balance may be endorsed hereon from time to time by the holder. The outstanding principal balance of this Note shall be due and payable in full on April 21, 2025.</w:t>
      </w:r>
    </w:p>
    <w:p>
      <w:pPr>
        <w:spacing w:after="0" w:line="175" w:lineRule="exact"/>
        <w:rPr>
          <w:sz w:val="20"/>
          <w:szCs w:val="20"/>
          <w:color w:val="auto"/>
        </w:rPr>
      </w:pPr>
    </w:p>
    <w:p>
      <w:pPr>
        <w:ind w:firstLine="454"/>
        <w:spacing w:after="0" w:line="247" w:lineRule="auto"/>
        <w:tabs>
          <w:tab w:leader="none" w:pos="89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Payment of Interest</w:t>
      </w:r>
      <w:r>
        <w:rPr>
          <w:rFonts w:ascii="Arial" w:cs="Arial" w:eastAsia="Arial" w:hAnsi="Arial"/>
          <w:sz w:val="20"/>
          <w:szCs w:val="20"/>
          <w:color w:val="auto"/>
        </w:rPr>
        <w:t>. Interest accrued on this Note shall be payable on the last day of each month, commencing April 30, 2023, and on the maturity date set forth above.</w:t>
      </w:r>
    </w:p>
    <w:p>
      <w:pPr>
        <w:spacing w:after="0" w:line="174" w:lineRule="exact"/>
        <w:rPr>
          <w:rFonts w:ascii="Arial" w:cs="Arial" w:eastAsia="Arial" w:hAnsi="Arial"/>
          <w:sz w:val="20"/>
          <w:szCs w:val="20"/>
          <w:color w:val="auto"/>
        </w:rPr>
      </w:pPr>
    </w:p>
    <w:p>
      <w:pPr>
        <w:jc w:val="both"/>
        <w:ind w:firstLine="451"/>
        <w:spacing w:after="0" w:line="229" w:lineRule="auto"/>
        <w:tabs>
          <w:tab w:leader="none" w:pos="887"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Advances</w:t>
      </w:r>
      <w:r>
        <w:rPr>
          <w:rFonts w:ascii="Arial" w:cs="Arial" w:eastAsia="Arial" w:hAnsi="Arial"/>
          <w:sz w:val="20"/>
          <w:szCs w:val="20"/>
          <w:color w:val="auto"/>
        </w:rPr>
        <w:t>. Advances hereunder, to the total amount of the principal sum stated above, may be made by the holder at the written request of (i) [***] or [***], any one acting alone (subject to any of Bank’s applicable authentication policies or procedures, which may require that a particular individual—including another specific individual listed above—provide verification of the identity of the requestor), who are authorized to request advances and direct the disposition of any advances until written notice of the revocation of such authority is received by the holder at the office designated above, or (ii) any person, with respect to advances deposited to the credit of any deposit account of Borrower, which advances, when so deposited, shall be conclusively presumed to have been made to or for the benefit of Borrower regardless of the fact that persons other than those authorized to request advances may have authority to draw against such account. The holder shall have no obligation to determine whether any person requesting an advance is or has been authorized by Borrower.</w:t>
      </w:r>
    </w:p>
    <w:p>
      <w:pPr>
        <w:spacing w:after="0" w:line="185" w:lineRule="exact"/>
        <w:rPr>
          <w:sz w:val="20"/>
          <w:szCs w:val="20"/>
          <w:color w:val="auto"/>
        </w:rPr>
      </w:pPr>
    </w:p>
    <w:p>
      <w:pPr>
        <w:jc w:val="both"/>
        <w:ind w:firstLine="482"/>
        <w:spacing w:after="0" w:line="232" w:lineRule="auto"/>
        <w:tabs>
          <w:tab w:leader="none" w:pos="947"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Application of Payments</w:t>
      </w:r>
      <w:r>
        <w:rPr>
          <w:rFonts w:ascii="Arial" w:cs="Arial" w:eastAsia="Arial" w:hAnsi="Arial"/>
          <w:sz w:val="20"/>
          <w:szCs w:val="20"/>
          <w:color w:val="auto"/>
        </w:rPr>
        <w:t>. Each payment made on this Note shall be credited first, to any interest then due and second, to the outstanding principal balance hereof. All payments credited to principal shall be applied first, to the outstanding principal balance of this Note which bears interest determined in relation to Daily Simple SOFR, if any, and second, to the outstanding principal balance of this Note which bears interest determined in relation to Term SOFR, with such payments applied to the oldest Interest Period first.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PAYMENTS:</w:t>
      </w:r>
    </w:p>
    <w:p>
      <w:pPr>
        <w:spacing w:after="0" w:line="20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If any payment of principal or interest to be made pursuant to this Note, other than a prepayment or a payment due on the maturity date of this Note, shall fall due on a day that is not a Federal Reserve Business Day, payment shall be made on the next succeeding Federal Reserve Business Day, except that, if such next succeeding Federal Reserve Business Day would fall in the next calendar month, such payment shall be made on the immediately preceding Federal Reserve Business Day. Any extension or contraction of time shall be reflected in computing interest or fees, as the case may be.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PREPAYMENT:</w:t>
      </w:r>
    </w:p>
    <w:p>
      <w:pPr>
        <w:spacing w:after="0" w:line="202" w:lineRule="exact"/>
        <w:rPr>
          <w:sz w:val="20"/>
          <w:szCs w:val="20"/>
          <w:color w:val="auto"/>
        </w:rPr>
      </w:pPr>
    </w:p>
    <w:p>
      <w:pPr>
        <w:ind w:firstLine="466"/>
        <w:spacing w:after="0" w:line="247" w:lineRule="auto"/>
        <w:tabs>
          <w:tab w:leader="none" w:pos="916"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Daily Simple SOFR</w:t>
      </w:r>
      <w:r>
        <w:rPr>
          <w:rFonts w:ascii="Arial" w:cs="Arial" w:eastAsia="Arial" w:hAnsi="Arial"/>
          <w:sz w:val="20"/>
          <w:szCs w:val="20"/>
          <w:color w:val="auto"/>
        </w:rPr>
        <w:t>. Borrower may prepay principal on any portion of this Note which bears interest determined in relation to Daily Simple SOFR, in any amount and without penalty.</w:t>
      </w:r>
    </w:p>
    <w:p>
      <w:pPr>
        <w:spacing w:after="0" w:line="174" w:lineRule="exact"/>
        <w:rPr>
          <w:rFonts w:ascii="Arial" w:cs="Arial" w:eastAsia="Arial" w:hAnsi="Arial"/>
          <w:sz w:val="20"/>
          <w:szCs w:val="20"/>
          <w:color w:val="auto"/>
        </w:rPr>
      </w:pPr>
    </w:p>
    <w:p>
      <w:pPr>
        <w:jc w:val="both"/>
        <w:ind w:firstLine="453"/>
        <w:spacing w:after="0" w:line="234" w:lineRule="auto"/>
        <w:tabs>
          <w:tab w:leader="none" w:pos="89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Term SOFR</w:t>
      </w:r>
      <w:r>
        <w:rPr>
          <w:rFonts w:ascii="Arial" w:cs="Arial" w:eastAsia="Arial" w:hAnsi="Arial"/>
          <w:sz w:val="20"/>
          <w:szCs w:val="20"/>
          <w:color w:val="auto"/>
        </w:rPr>
        <w:t>. Borrower may prepay principal on any portion of this Note which bears interest determined in relation to Term SOFR. In consideration of Bank providing this prepayment option to Borrower, or if any such portion of this Note shall become due and payable at any time prior to the last day of any Interest Period by acceleration or otherwise, Borrower shall pay to Bank immediately upon demand a fee which is the amount, if any, by which (i) exceeds (ii) below:</w:t>
      </w:r>
    </w:p>
    <w:p>
      <w:pPr>
        <w:spacing w:after="0" w:line="183" w:lineRule="exact"/>
        <w:rPr>
          <w:rFonts w:ascii="Arial" w:cs="Arial" w:eastAsia="Arial" w:hAnsi="Arial"/>
          <w:sz w:val="20"/>
          <w:szCs w:val="20"/>
          <w:color w:val="auto"/>
        </w:rPr>
      </w:pPr>
    </w:p>
    <w:p>
      <w:pPr>
        <w:ind w:left="1500" w:hanging="862"/>
        <w:spacing w:after="0" w:line="247" w:lineRule="auto"/>
        <w:tabs>
          <w:tab w:leader="none" w:pos="1523" w:val="left"/>
        </w:tabs>
        <w:numPr>
          <w:ilvl w:val="2"/>
          <w:numId w:val="79"/>
        </w:numPr>
        <w:rPr>
          <w:rFonts w:ascii="Arial" w:cs="Arial" w:eastAsia="Arial" w:hAnsi="Arial"/>
          <w:sz w:val="20"/>
          <w:szCs w:val="20"/>
          <w:color w:val="auto"/>
        </w:rPr>
      </w:pPr>
      <w:r>
        <w:rPr>
          <w:rFonts w:ascii="Arial" w:cs="Arial" w:eastAsia="Arial" w:hAnsi="Arial"/>
          <w:sz w:val="20"/>
          <w:szCs w:val="20"/>
          <w:color w:val="auto"/>
        </w:rPr>
        <w:t>The amount of interest that would have accrued on the amount prepaid at the interest rate applicable to such amount had it remained outstanding until the last day of the Interest Period applicable thereto.</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100"/>
              <w:spacing w:after="0"/>
              <w:rPr>
                <w:sz w:val="20"/>
                <w:szCs w:val="20"/>
                <w:color w:val="auto"/>
              </w:rPr>
            </w:pPr>
            <w:r>
              <w:rPr>
                <w:rFonts w:ascii="Arial" w:cs="Arial" w:eastAsia="Arial" w:hAnsi="Arial"/>
                <w:sz w:val="14"/>
                <w:szCs w:val="14"/>
                <w:color w:val="auto"/>
              </w:rPr>
              <w:t>C-180DSSTS.docx (Rev. 12/06/21)</w:t>
            </w:r>
          </w:p>
        </w:tc>
        <w:tc>
          <w:tcPr>
            <w:tcW w:w="7380" w:type="dxa"/>
            <w:vAlign w:val="bottom"/>
          </w:tcPr>
          <w:p>
            <w:pPr>
              <w:jc w:val="right"/>
              <w:ind w:right="5608"/>
              <w:spacing w:after="0"/>
              <w:rPr>
                <w:sz w:val="20"/>
                <w:szCs w:val="20"/>
                <w:color w:val="auto"/>
              </w:rPr>
            </w:pPr>
            <w:r>
              <w:rPr>
                <w:rFonts w:ascii="Arial" w:cs="Arial" w:eastAsia="Arial" w:hAnsi="Arial"/>
                <w:sz w:val="14"/>
                <w:szCs w:val="14"/>
                <w:color w:val="auto"/>
              </w:rPr>
              <w:t>-8-</w:t>
            </w:r>
          </w:p>
        </w:tc>
      </w:tr>
      <w:tr>
        <w:trPr>
          <w:trHeight w:val="330"/>
        </w:trPr>
        <w:tc>
          <w:tcPr>
            <w:tcW w:w="38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3" w:name="page94"/>
    <w:bookmarkEnd w:id="93"/>
    <w:p>
      <w:pPr>
        <w:jc w:val="both"/>
        <w:ind w:left="1500" w:hanging="690"/>
        <w:spacing w:after="0" w:line="234" w:lineRule="auto"/>
        <w:tabs>
          <w:tab w:leader="none" w:pos="1524"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amount of interest that would have accrued on the amount prepaid at Term SOFR (without adding any spread or margin specified in part (a) under the “INTEREST” section of this Note) that would have been applicable to such amount had this Note been disbursed on the repayment date and remained outstanding until the last day of the Interest Period applicable thereto.</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Borrower acknowledges that prepayment of such amount may result in Bank incurring additional costs, expenses and/or liabilities, and that it is difficult to ascertain the full extent of such costs, expenses and/or liabilities. Borrower, therefore, agrees to pay the above-described prepayment fee and agrees that said amount represents a reasonable estimate of the prepayment costs, expenses and/or liabilities of Bank.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EVENTS OF DEFAULT:</w:t>
      </w:r>
    </w:p>
    <w:p>
      <w:pPr>
        <w:spacing w:after="0" w:line="202" w:lineRule="exact"/>
        <w:rPr>
          <w:sz w:val="20"/>
          <w:szCs w:val="20"/>
          <w:color w:val="auto"/>
        </w:rPr>
      </w:pPr>
    </w:p>
    <w:p>
      <w:pPr>
        <w:jc w:val="both"/>
        <w:ind w:firstLine="480"/>
        <w:spacing w:after="0" w:line="237" w:lineRule="auto"/>
        <w:rPr>
          <w:sz w:val="20"/>
          <w:szCs w:val="20"/>
          <w:color w:val="auto"/>
        </w:rPr>
      </w:pPr>
      <w:r>
        <w:rPr>
          <w:rFonts w:ascii="Arial" w:cs="Arial" w:eastAsia="Arial" w:hAnsi="Arial"/>
          <w:sz w:val="20"/>
          <w:szCs w:val="20"/>
          <w:color w:val="auto"/>
        </w:rPr>
        <w:t>This Note is made pursuant to and is subject to the terms and conditions of that certain Credit Agreement between Borrower and Bank dated April 21, 2023, as amended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Any default in the payment or performance of any obligation under this Note shall constitute an Event of Default under the Credit Agreement.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MISCELLANEOUS:</w:t>
      </w:r>
    </w:p>
    <w:p>
      <w:pPr>
        <w:spacing w:after="0" w:line="202" w:lineRule="exact"/>
        <w:rPr>
          <w:sz w:val="20"/>
          <w:szCs w:val="20"/>
          <w:color w:val="auto"/>
        </w:rPr>
      </w:pPr>
    </w:p>
    <w:p>
      <w:pPr>
        <w:jc w:val="both"/>
        <w:ind w:firstLine="458"/>
        <w:spacing w:after="0" w:line="228" w:lineRule="auto"/>
        <w:tabs>
          <w:tab w:leader="none" w:pos="900"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Upon the occurrence of any Event of Default, the holder of this Note, at the holder’s option, may declare (or upon the occurrence of an Event of Default specified in Section 7.1(f) or Section 7.1(g)(v) of the Credit Agreement, automatically and without notice) all sums of principal and interest outstanding hereunder to be immediately due and payable without presentment, demand, notice of nonperformance, notice of protest, protest or notice of dishonor, all of which are expressly waived by Borrower, and the obligation, if any, of the holder to extend any further credit hereunder shall immediately cease and terminate. Borrower shall pay to the holder immediately upon demand the full amount of all payments, advances, charges, costs and expenses, including reasonable and documented attorneys’ fees (to include outside counsel fees and all allocated costs of the holder’s in-house counsel), expended or incurred by the holder in connection with the enforcement of the holder’s rights and/or the collection of any amounts which become due to the holder under this Note whether or not suit is brought, and the prosecution or defense of any action in any way related to this Note, including without limitation, any action for declaratory relief, whether incurred at the trial or appellate level, in an arbitration proceeding or otherwise, and including any of the foregoing incurred in connection with any bankruptcy proceeding (including without limitation, any adversary proceeding, contested matter or motion brought by Bank or any other person) relating to Borrower or any other person or entity.</w:t>
      </w:r>
    </w:p>
    <w:p>
      <w:pPr>
        <w:spacing w:after="0" w:line="183" w:lineRule="exact"/>
        <w:rPr>
          <w:rFonts w:ascii="Arial" w:cs="Arial" w:eastAsia="Arial" w:hAnsi="Arial"/>
          <w:sz w:val="20"/>
          <w:szCs w:val="20"/>
          <w:color w:val="auto"/>
        </w:rPr>
      </w:pPr>
    </w:p>
    <w:p>
      <w:pPr>
        <w:ind w:left="880" w:hanging="432"/>
        <w:spacing w:after="0"/>
        <w:tabs>
          <w:tab w:leader="none" w:pos="88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757"/>
        <w:spacing w:after="0" w:line="237" w:lineRule="auto"/>
        <w:tabs>
          <w:tab w:leader="none" w:pos="1360" w:val="left"/>
        </w:tabs>
        <w:numPr>
          <w:ilvl w:val="2"/>
          <w:numId w:val="8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Note shall be governed by and construed in accordance with the laws of New York, but giving effect to federal laws applicable to national banks, without reference to the conflicts of law or choice of law principles thereof.</w:t>
      </w:r>
    </w:p>
    <w:p>
      <w:pPr>
        <w:spacing w:after="0" w:line="182" w:lineRule="exact"/>
        <w:rPr>
          <w:rFonts w:ascii="Arial" w:cs="Arial" w:eastAsia="Arial" w:hAnsi="Arial"/>
          <w:sz w:val="20"/>
          <w:szCs w:val="20"/>
          <w:color w:val="auto"/>
        </w:rPr>
      </w:pPr>
    </w:p>
    <w:p>
      <w:pPr>
        <w:jc w:val="both"/>
        <w:ind w:firstLine="453"/>
        <w:spacing w:after="0" w:line="234" w:lineRule="auto"/>
        <w:tabs>
          <w:tab w:leader="none" w:pos="891"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The effective date of this Note shall be the date that Bank has accepted this Note and all conditions to the effectiveness of the Credit Agreement have been fulfilled to Bank’s satisfaction. Notwithstanding the occurrence of the effective date of this Note, Bank shall not be obligated to extend credit under this Note until all conditions to each extension of credit set forth in the Credit Agreement have been fulfilled to Bank’s satisfaction.</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100"/>
              <w:spacing w:after="0"/>
              <w:rPr>
                <w:sz w:val="20"/>
                <w:szCs w:val="20"/>
                <w:color w:val="auto"/>
              </w:rPr>
            </w:pPr>
            <w:r>
              <w:rPr>
                <w:rFonts w:ascii="Arial" w:cs="Arial" w:eastAsia="Arial" w:hAnsi="Arial"/>
                <w:sz w:val="14"/>
                <w:szCs w:val="14"/>
                <w:color w:val="auto"/>
              </w:rPr>
              <w:t>C-180DSSTS.docx (Rev. 12/06/21)</w:t>
            </w:r>
          </w:p>
        </w:tc>
        <w:tc>
          <w:tcPr>
            <w:tcW w:w="7380" w:type="dxa"/>
            <w:vAlign w:val="bottom"/>
          </w:tcPr>
          <w:p>
            <w:pPr>
              <w:jc w:val="right"/>
              <w:ind w:right="5608"/>
              <w:spacing w:after="0"/>
              <w:rPr>
                <w:sz w:val="20"/>
                <w:szCs w:val="20"/>
                <w:color w:val="auto"/>
              </w:rPr>
            </w:pPr>
            <w:r>
              <w:rPr>
                <w:rFonts w:ascii="Arial" w:cs="Arial" w:eastAsia="Arial" w:hAnsi="Arial"/>
                <w:sz w:val="14"/>
                <w:szCs w:val="14"/>
                <w:color w:val="auto"/>
              </w:rPr>
              <w:t>-9-</w:t>
            </w:r>
          </w:p>
        </w:tc>
      </w:tr>
      <w:tr>
        <w:trPr>
          <w:trHeight w:val="330"/>
        </w:trPr>
        <w:tc>
          <w:tcPr>
            <w:tcW w:w="38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4" w:name="page95"/>
    <w:bookmarkEnd w:id="94"/>
    <w:p>
      <w:pPr>
        <w:ind w:right="420" w:firstLine="448"/>
        <w:spacing w:after="0" w:line="273" w:lineRule="auto"/>
        <w:tabs>
          <w:tab w:leader="none" w:pos="88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Savings Clause</w:t>
      </w:r>
      <w:r>
        <w:rPr>
          <w:rFonts w:ascii="Arial" w:cs="Arial" w:eastAsia="Arial" w:hAnsi="Arial"/>
          <w:sz w:val="19"/>
          <w:szCs w:val="19"/>
          <w:color w:val="auto"/>
        </w:rPr>
        <w:t>. If at any time the interest rate set forth in this Note exceeds the maximum interest rate allowable under applicable law, the interest rate shall be deemed to be such maximum interest rate allowable under applicable law.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ind w:left="100"/>
              <w:spacing w:after="0"/>
              <w:rPr>
                <w:sz w:val="20"/>
                <w:szCs w:val="20"/>
                <w:color w:val="auto"/>
              </w:rPr>
            </w:pPr>
            <w:r>
              <w:rPr>
                <w:rFonts w:ascii="Arial" w:cs="Arial" w:eastAsia="Arial" w:hAnsi="Arial"/>
                <w:sz w:val="14"/>
                <w:szCs w:val="14"/>
                <w:color w:val="auto"/>
              </w:rPr>
              <w:t>C-180DSSTS.docx (Rev. 12/06/21)</w:t>
            </w:r>
          </w:p>
        </w:tc>
        <w:tc>
          <w:tcPr>
            <w:tcW w:w="7400" w:type="dxa"/>
            <w:vAlign w:val="bottom"/>
          </w:tcPr>
          <w:p>
            <w:pPr>
              <w:jc w:val="right"/>
              <w:ind w:right="5568"/>
              <w:spacing w:after="0"/>
              <w:rPr>
                <w:sz w:val="20"/>
                <w:szCs w:val="20"/>
                <w:color w:val="auto"/>
              </w:rPr>
            </w:pPr>
            <w:r>
              <w:rPr>
                <w:rFonts w:ascii="Arial" w:cs="Arial" w:eastAsia="Arial" w:hAnsi="Arial"/>
                <w:sz w:val="14"/>
                <w:szCs w:val="14"/>
                <w:color w:val="auto"/>
              </w:rPr>
              <w:t>-10-</w:t>
            </w:r>
          </w:p>
        </w:tc>
      </w:tr>
      <w:tr>
        <w:trPr>
          <w:trHeight w:val="329"/>
        </w:trPr>
        <w:tc>
          <w:tcPr>
            <w:tcW w:w="384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5" w:name="page96"/>
    <w:bookmarkEnd w:id="95"/>
    <w:p>
      <w:pPr>
        <w:ind w:left="760"/>
        <w:spacing w:after="0"/>
        <w:rPr>
          <w:sz w:val="20"/>
          <w:szCs w:val="20"/>
          <w:color w:val="auto"/>
        </w:rPr>
      </w:pPr>
      <w:r>
        <w:rPr>
          <w:rFonts w:ascii="Arial" w:cs="Arial" w:eastAsia="Arial" w:hAnsi="Arial"/>
          <w:sz w:val="19"/>
          <w:szCs w:val="19"/>
          <w:color w:val="auto"/>
        </w:rPr>
        <w:t>IN WITNESS WHEREOF, the undersigned has executed this Note to be effective as of the effective date set forth</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herein.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ARCTURUS THERAPEUTICS, INC.</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25" w:lineRule="auto"/>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4" w:lineRule="exact"/>
        <w:rPr>
          <w:sz w:val="20"/>
          <w:szCs w:val="20"/>
          <w:color w:val="auto"/>
        </w:rPr>
      </w:pPr>
    </w:p>
    <w:p>
      <w:pPr>
        <w:jc w:val="center"/>
        <w:ind w:right="-599"/>
        <w:spacing w:after="0"/>
        <w:rPr>
          <w:sz w:val="20"/>
          <w:szCs w:val="20"/>
          <w:color w:val="auto"/>
        </w:rPr>
      </w:pPr>
      <w:r>
        <w:rPr>
          <w:rFonts w:ascii="Arial" w:cs="Arial" w:eastAsia="Arial" w:hAnsi="Arial"/>
          <w:sz w:val="20"/>
          <w:szCs w:val="20"/>
          <w:color w:val="auto"/>
        </w:rPr>
        <w:t>Signature Page to</w:t>
      </w:r>
    </w:p>
    <w:p>
      <w:pPr>
        <w:jc w:val="center"/>
        <w:ind w:right="-599"/>
        <w:spacing w:after="0" w:line="225" w:lineRule="auto"/>
        <w:rPr>
          <w:sz w:val="20"/>
          <w:szCs w:val="20"/>
          <w:color w:val="auto"/>
        </w:rPr>
      </w:pPr>
      <w:r>
        <w:rPr>
          <w:rFonts w:ascii="Arial" w:cs="Arial" w:eastAsia="Arial" w:hAnsi="Arial"/>
          <w:sz w:val="20"/>
          <w:szCs w:val="20"/>
          <w:color w:val="auto"/>
        </w:rPr>
        <w:t>Revolving Line of Credit Note</w:t>
      </w:r>
    </w:p>
    <w:p>
      <w:pPr>
        <w:jc w:val="center"/>
        <w:ind w:right="-599"/>
        <w:spacing w:after="0"/>
        <w:rPr>
          <w:sz w:val="20"/>
          <w:szCs w:val="20"/>
          <w:color w:val="auto"/>
        </w:rPr>
      </w:pPr>
      <w:r>
        <w:rPr>
          <w:rFonts w:ascii="Arial" w:cs="Arial" w:eastAsia="Arial" w:hAnsi="Arial"/>
          <w:sz w:val="20"/>
          <w:szCs w:val="20"/>
          <w:color w:val="auto"/>
        </w:rPr>
        <w:t>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38" w:right="939"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25"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Joseph E. Payne</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Andy Sassine, certify that:</w:t>
      </w:r>
    </w:p>
    <w:p>
      <w:pPr>
        <w:spacing w:after="0" w:line="225"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Andy Sassine</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June 30,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55"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Joseph E. Payne</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June 30,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55"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Andy Sassine</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lvl w:ilvl="1">
      <w:lvlJc w:val="left"/>
      <w:lvlText w:val="o"/>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lvl w:ilvl="1">
      <w:lvlJc w:val="left"/>
      <w:lvlText w:val="%2"/>
      <w:numFmt w:val="decimal"/>
      <w:start w:val="104"/>
    </w:lvl>
  </w:abstractNum>
  <w:abstractNum w:abstractNumId="8">
    <w:nsid w:val="6DE91B18"/>
    <w:multiLevelType w:val="hybridMultilevel"/>
    <w:lvl w:ilvl="0">
      <w:lvlJc w:val="left"/>
      <w:lvlText w:val="**"/>
      <w:numFmt w:val="bullet"/>
      <w:start w:val="1"/>
    </w:lvl>
    <w:lvl w:ilvl="1">
      <w:lvlJc w:val="left"/>
      <w:lvlText w:val="%2"/>
      <w:numFmt w:val="decimal"/>
      <w:start w:val="1"/>
    </w:lvl>
  </w:abstractNum>
  <w:abstractNum w:abstractNumId="9">
    <w:nsid w:val="38437FDB"/>
    <w:multiLevelType w:val="hybridMultilevel"/>
    <w:lvl w:ilvl="0">
      <w:lvlJc w:val="left"/>
      <w:lvlText w:val="(%1)"/>
      <w:numFmt w:val="lowerLetter"/>
      <w:start w:val="1"/>
    </w:lvl>
  </w:abstractNum>
  <w:abstractNum w:abstractNumId="10">
    <w:nsid w:val="7644A45C"/>
    <w:multiLevelType w:val="hybridMultilevel"/>
    <w:lvl w:ilvl="0">
      <w:lvlJc w:val="left"/>
      <w:lvlText w:val="(%1)"/>
      <w:numFmt w:val="lowerLetter"/>
      <w:start w:val="3"/>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1"/>
    </w:lvl>
  </w:abstractNum>
  <w:abstractNum w:abstractNumId="13">
    <w:nsid w:val="579478FE"/>
    <w:multiLevelType w:val="hybridMultilevel"/>
    <w:lvl w:ilvl="0">
      <w:lvlJc w:val="left"/>
      <w:lvlText w:val="(%1)"/>
      <w:numFmt w:val="lowerLetter"/>
      <w:start w:val="2"/>
    </w:lvl>
  </w:abstractNum>
  <w:abstractNum w:abstractNumId="14">
    <w:nsid w:val="749ABB43"/>
    <w:multiLevelType w:val="hybridMultilevel"/>
    <w:lvl w:ilvl="0">
      <w:lvlJc w:val="left"/>
      <w:lvlText w:val="(%1)"/>
      <w:numFmt w:val="lowerLetter"/>
      <w:start w:val="1"/>
    </w:lvl>
  </w:abstractNum>
  <w:abstractNum w:abstractNumId="15">
    <w:nsid w:val="3DC240FB"/>
    <w:multiLevelType w:val="hybridMultilevel"/>
    <w:lvl w:ilvl="0">
      <w:lvlJc w:val="left"/>
      <w:lvlText w:val="(%1)"/>
      <w:numFmt w:val="lowerLetter"/>
      <w:start w:val="1"/>
    </w:lvl>
    <w:lvl w:ilvl="1">
      <w:lvlJc w:val="left"/>
      <w:lvlText w:val="(%2)"/>
      <w:numFmt w:val="lowerLetter"/>
      <w:start w:val="2"/>
    </w:lvl>
  </w:abstractNum>
  <w:abstractNum w:abstractNumId="16">
    <w:nsid w:val="1BA026FA"/>
    <w:multiLevelType w:val="hybridMultilevel"/>
    <w:lvl w:ilvl="0">
      <w:lvlJc w:val="left"/>
      <w:lvlText w:val="(%1)"/>
      <w:numFmt w:val="lowerLetter"/>
      <w:start w:val="3"/>
    </w:lvl>
    <w:lvl w:ilvl="1">
      <w:lvlJc w:val="left"/>
      <w:lvlText w:val="(%2)"/>
      <w:numFmt w:val="lowerLetter"/>
      <w:start w:val="4"/>
    </w:lvl>
  </w:abstractNum>
  <w:abstractNum w:abstractNumId="17">
    <w:nsid w:val="79A1DEAA"/>
    <w:multiLevelType w:val="hybridMultilevel"/>
    <w:lvl w:ilvl="0">
      <w:lvlJc w:val="left"/>
      <w:lvlText w:val="(%1)"/>
      <w:numFmt w:val="lowerLetter"/>
      <w:start w:val="1"/>
    </w:lvl>
    <w:lvl w:ilvl="1">
      <w:lvlJc w:val="left"/>
      <w:lvlText w:val="(%2)"/>
      <w:numFmt w:val="lowerRoman"/>
      <w:start w:val="1"/>
    </w:lvl>
  </w:abstractNum>
  <w:abstractNum w:abstractNumId="18">
    <w:nsid w:val="75C6C33A"/>
    <w:multiLevelType w:val="hybridMultilevel"/>
    <w:lvl w:ilvl="0">
      <w:lvlJc w:val="left"/>
      <w:lvlText w:val="%1"/>
      <w:numFmt w:val="lowerLetter"/>
      <w:start w:val="1"/>
    </w:lvl>
    <w:lvl w:ilvl="1">
      <w:lvlJc w:val="left"/>
      <w:lvlText w:val="(%2)"/>
      <w:numFmt w:val="lowerRoman"/>
      <w:start w:val="3"/>
    </w:lvl>
  </w:abstractNum>
  <w:abstractNum w:abstractNumId="19">
    <w:nsid w:val="12E685FB"/>
    <w:multiLevelType w:val="hybridMultilevel"/>
    <w:lvl w:ilvl="0">
      <w:lvlJc w:val="left"/>
      <w:lvlText w:val="(%1)"/>
      <w:numFmt w:val="lowerLetter"/>
      <w:start w:val="2"/>
    </w:lvl>
    <w:lvl w:ilvl="1">
      <w:lvlJc w:val="left"/>
      <w:lvlText w:val="%2"/>
      <w:numFmt w:val="lowerRoman"/>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1"/>
    </w:lvl>
    <w:lvl w:ilvl="1">
      <w:lvlJc w:val="left"/>
      <w:lvlText w:val="(%2)"/>
      <w:numFmt w:val="lowerLetter"/>
      <w:start w:val="2"/>
    </w:lvl>
  </w:abstractNum>
  <w:abstractNum w:abstractNumId="22">
    <w:nsid w:val="374A3FE6"/>
    <w:multiLevelType w:val="hybridMultilevel"/>
    <w:lvl w:ilvl="0">
      <w:lvlJc w:val="left"/>
      <w:lvlText w:val="(%1)"/>
      <w:numFmt w:val="lowerLetter"/>
      <w:start w:val="3"/>
    </w:lvl>
    <w:lvl w:ilvl="1">
      <w:lvlJc w:val="left"/>
      <w:lvlText w:val="%2"/>
      <w:numFmt w:val="lowerLetter"/>
      <w:start w:val="1"/>
    </w:lvl>
  </w:abstractNum>
  <w:abstractNum w:abstractNumId="23">
    <w:nsid w:val="4F4EF00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lvl w:ilvl="3">
      <w:lvlJc w:val="left"/>
      <w:lvlText w:val="(%4)"/>
      <w:numFmt w:val="lowerLetter"/>
      <w:start w:val="4"/>
    </w:lvl>
  </w:abstractNum>
  <w:abstractNum w:abstractNumId="24">
    <w:nsid w:val="23F9C13C"/>
    <w:multiLevelType w:val="hybridMultilevel"/>
    <w:lvl w:ilvl="0">
      <w:lvlJc w:val="left"/>
      <w:lvlText w:val="(%1)"/>
      <w:numFmt w:val="lowerLetter"/>
      <w:start w:val="1"/>
    </w:lvl>
    <w:lvl w:ilvl="1">
      <w:lvlJc w:val="left"/>
      <w:lvlText w:val="(%2)"/>
      <w:numFmt w:val="lowerLetter"/>
      <w:start w:val="2"/>
    </w:lvl>
  </w:abstractNum>
  <w:abstractNum w:abstractNumId="25">
    <w:nsid w:val="649BB77C"/>
    <w:multiLevelType w:val="hybridMultilevel"/>
    <w:lvl w:ilvl="0">
      <w:lvlJc w:val="left"/>
      <w:lvlText w:val="(%1)"/>
      <w:numFmt w:val="lowerLetter"/>
      <w:start w:val="1"/>
    </w:lvl>
    <w:lvl w:ilvl="1">
      <w:lvlJc w:val="left"/>
      <w:lvlText w:val="(%2)"/>
      <w:numFmt w:val="lowerLetter"/>
      <w:start w:val="2"/>
    </w:lvl>
  </w:abstractNum>
  <w:abstractNum w:abstractNumId="26">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39386575"/>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3"/>
    </w:lvl>
  </w:abstractNum>
  <w:abstractNum w:abstractNumId="28">
    <w:nsid w:val="1CF10FD8"/>
    <w:multiLevelType w:val="hybridMultilevel"/>
    <w:lvl w:ilvl="0">
      <w:lvlJc w:val="left"/>
      <w:lvlText w:val="%1"/>
      <w:numFmt w:val="lowerLetter"/>
      <w:start w:val="1"/>
    </w:lvl>
    <w:lvl w:ilvl="1">
      <w:lvlJc w:val="left"/>
      <w:lvlText w:val="(%2)"/>
      <w:numFmt w:val="lowerLetter"/>
      <w:start w:val="4"/>
    </w:lvl>
  </w:abstractNum>
  <w:abstractNum w:abstractNumId="29">
    <w:nsid w:val="180115BE"/>
    <w:multiLevelType w:val="hybridMultilevel"/>
    <w:lvl w:ilvl="0">
      <w:lvlJc w:val="left"/>
      <w:lvlText w:val="(%1)"/>
      <w:numFmt w:val="lowerLetter"/>
      <w:start w:val="5"/>
    </w:lvl>
    <w:lvl w:ilvl="1">
      <w:lvlJc w:val="left"/>
      <w:lvlText w:val="(%2)"/>
      <w:numFmt w:val="lowerLetter"/>
      <w:start w:val="7"/>
    </w:lvl>
  </w:abstractNum>
  <w:abstractNum w:abstractNumId="30">
    <w:nsid w:val="235BA861"/>
    <w:multiLevelType w:val="hybridMultilevel"/>
    <w:lvl w:ilvl="0">
      <w:lvlJc w:val="left"/>
      <w:lvlText w:val="%1"/>
      <w:numFmt w:val="lowerLetter"/>
      <w:start w:val="1"/>
    </w:lvl>
    <w:lvl w:ilvl="1">
      <w:lvlJc w:val="left"/>
      <w:lvlText w:val="(%2)"/>
      <w:numFmt w:val="lowerLetter"/>
      <w:start w:val="8"/>
    </w:lvl>
  </w:abstractNum>
  <w:abstractNum w:abstractNumId="31">
    <w:nsid w:val="47398C89"/>
    <w:multiLevelType w:val="hybridMultilevel"/>
    <w:lvl w:ilvl="0">
      <w:lvlJc w:val="left"/>
      <w:lvlText w:val="(%1)"/>
      <w:numFmt w:val="lowerLetter"/>
      <w:start w:val="9"/>
    </w:lvl>
    <w:lvl w:ilvl="1">
      <w:lvlJc w:val="left"/>
      <w:lvlText w:val="%2"/>
      <w:numFmt w:val="lowerLetter"/>
      <w:start w:val="1"/>
    </w:lvl>
  </w:abstractNum>
  <w:abstractNum w:abstractNumId="32">
    <w:nsid w:val="354FE9F9"/>
    <w:multiLevelType w:val="hybridMultilevel"/>
    <w:lvl w:ilvl="0">
      <w:lvlJc w:val="left"/>
      <w:lvlText w:val="(%1)"/>
      <w:numFmt w:val="lowerLetter"/>
      <w:start w:val="2"/>
    </w:lvl>
  </w:abstractNum>
  <w:abstractNum w:abstractNumId="33">
    <w:nsid w:val="15B5AF5C"/>
    <w:multiLevelType w:val="hybridMultilevel"/>
    <w:lvl w:ilvl="0">
      <w:lvlJc w:val="left"/>
      <w:lvlText w:val="(%1)"/>
      <w:numFmt w:val="lowerLetter"/>
      <w:start w:val="2"/>
    </w:lvl>
  </w:abstractNum>
  <w:abstractNum w:abstractNumId="34">
    <w:nsid w:val="741226BB"/>
    <w:multiLevelType w:val="hybridMultilevel"/>
    <w:lvl w:ilvl="0">
      <w:lvlJc w:val="left"/>
      <w:lvlText w:val="(%1)"/>
      <w:numFmt w:val="lowerLetter"/>
      <w:start w:val="2"/>
    </w:lvl>
  </w:abstractNum>
  <w:abstractNum w:abstractNumId="35">
    <w:nsid w:val="D34B6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6">
    <w:nsid w:val="10233C9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7">
    <w:nsid w:val="3F6AB60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38">
    <w:nsid w:val="61574095"/>
    <w:multiLevelType w:val="hybridMultilevel"/>
    <w:lvl w:ilvl="0">
      <w:lvlJc w:val="left"/>
      <w:lvlText w:val="%1"/>
      <w:numFmt w:val="lowerLetter"/>
      <w:start w:val="1"/>
    </w:lvl>
    <w:lvl w:ilvl="1">
      <w:lvlJc w:val="left"/>
      <w:lvlText w:val="(%2)"/>
      <w:numFmt w:val="lowerLetter"/>
      <w:start w:val="4"/>
    </w:lvl>
  </w:abstractNum>
  <w:abstractNum w:abstractNumId="39">
    <w:nsid w:val="7E0C57B1"/>
    <w:multiLevelType w:val="hybridMultilevel"/>
    <w:lvl w:ilvl="0">
      <w:lvlJc w:val="left"/>
      <w:lvlText w:val="(%1)"/>
      <w:numFmt w:val="lowerLetter"/>
      <w:start w:val="5"/>
    </w:lvl>
    <w:lvl w:ilvl="1">
      <w:lvlJc w:val="left"/>
      <w:lvlText w:val="(%2)"/>
      <w:numFmt w:val="lowerLetter"/>
      <w:start w:val="8"/>
    </w:lvl>
  </w:abstractNum>
  <w:abstractNum w:abstractNumId="40">
    <w:nsid w:val="77AE35EB"/>
    <w:multiLevelType w:val="hybridMultilevel"/>
    <w:lvl w:ilvl="0">
      <w:lvlJc w:val="left"/>
      <w:lvlText w:val="(%1)"/>
      <w:numFmt w:val="lowerRoman"/>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Roman"/>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2"/>
    </w:lvl>
  </w:abstractNum>
  <w:abstractNum w:abstractNumId="45">
    <w:nsid w:val="25A70BF7"/>
    <w:multiLevelType w:val="hybridMultilevel"/>
    <w:lvl w:ilvl="0">
      <w:lvlJc w:val="left"/>
      <w:lvlText w:val="%1"/>
      <w:numFmt w:val="decimal"/>
      <w:start w:val="1"/>
    </w:lvl>
    <w:lvl w:ilvl="1">
      <w:lvlJc w:val="left"/>
      <w:lvlText w:val="(%2)"/>
      <w:numFmt w:val="upperLetter"/>
      <w:start w:val="2"/>
    </w:lvl>
  </w:abstractNum>
  <w:abstractNum w:abstractNumId="46">
    <w:nsid w:val="1DBABF00"/>
    <w:multiLevelType w:val="hybridMultilevel"/>
    <w:lvl w:ilvl="0">
      <w:lvlJc w:val="left"/>
      <w:lvlText w:val="%1."/>
      <w:numFmt w:val="decimal"/>
      <w:start w:val="3"/>
    </w:lvl>
    <w:lvl w:ilvl="1">
      <w:lvlJc w:val="left"/>
      <w:lvlText w:val="%2"/>
      <w:numFmt w:val="upperLetter"/>
      <w:start w:val="1"/>
    </w:lvl>
  </w:abstractNum>
  <w:abstractNum w:abstractNumId="47">
    <w:nsid w:val="4AD084E9"/>
    <w:multiLevelType w:val="hybridMultilevel"/>
    <w:lvl w:ilvl="0">
      <w:lvlJc w:val="left"/>
      <w:lvlText w:val="(%1)"/>
      <w:numFmt w:val="lowerLetter"/>
      <w:start w:val="1"/>
    </w:lvl>
  </w:abstractNum>
  <w:abstractNum w:abstractNumId="48">
    <w:nsid w:val="1F48EAA1"/>
    <w:multiLevelType w:val="hybridMultilevel"/>
    <w:lvl w:ilvl="0">
      <w:lvlJc w:val="left"/>
      <w:lvlText w:val="(%1)"/>
      <w:numFmt w:val="lowerLetter"/>
      <w:start w:val="3"/>
    </w:lvl>
  </w:abstractNum>
  <w:abstractNum w:abstractNumId="49">
    <w:nsid w:val="1381823A"/>
    <w:multiLevelType w:val="hybridMultilevel"/>
    <w:lvl w:ilvl="0">
      <w:lvlJc w:val="left"/>
      <w:lvlText w:val="%1."/>
      <w:numFmt w:val="decimal"/>
      <w:start w:val="5"/>
    </w:lvl>
  </w:abstractNum>
  <w:abstractNum w:abstractNumId="50">
    <w:nsid w:val="5DB70AE5"/>
    <w:multiLevelType w:val="hybridMultilevel"/>
    <w:lvl w:ilvl="0">
      <w:lvlJc w:val="left"/>
      <w:lvlText w:val="%1"/>
      <w:numFmt w:val="decimal"/>
      <w:start w:val="1"/>
    </w:lvl>
    <w:lvl w:ilvl="1">
      <w:lvlJc w:val="left"/>
      <w:lvlText w:val="%2."/>
      <w:numFmt w:val="decimal"/>
      <w:start w:val="7"/>
    </w:lvl>
  </w:abstractNum>
  <w:abstractNum w:abstractNumId="51">
    <w:nsid w:val="100F8FCA"/>
    <w:multiLevelType w:val="hybridMultilevel"/>
    <w:lvl w:ilvl="0">
      <w:lvlJc w:val="left"/>
      <w:lvlText w:val="%1."/>
      <w:numFmt w:val="decimal"/>
      <w:start w:val="8"/>
    </w:lvl>
    <w:lvl w:ilvl="1">
      <w:lvlJc w:val="left"/>
      <w:lvlText w:val="%2"/>
      <w:numFmt w:val="decimal"/>
      <w:start w:val="1"/>
    </w:lvl>
  </w:abstractNum>
  <w:abstractNum w:abstractNumId="52">
    <w:nsid w:val="6590700B"/>
    <w:multiLevelType w:val="hybridMultilevel"/>
    <w:lvl w:ilvl="0">
      <w:lvlJc w:val="left"/>
      <w:lvlText w:val="%1."/>
      <w:numFmt w:val="decimal"/>
      <w:start w:val="9"/>
    </w:lvl>
    <w:lvl w:ilvl="1">
      <w:lvlJc w:val="left"/>
      <w:lvlText w:val="(%2)"/>
      <w:numFmt w:val="lowerLetter"/>
      <w:start w:val="1"/>
    </w:lvl>
  </w:abstractNum>
  <w:abstractNum w:abstractNumId="53">
    <w:nsid w:val="15014ACB"/>
    <w:multiLevelType w:val="hybridMultilevel"/>
    <w:lvl w:ilvl="0">
      <w:lvlJc w:val="left"/>
      <w:lvlText w:val="(%1)"/>
      <w:numFmt w:val="lowerLetter"/>
      <w:start w:val="2"/>
    </w:lvl>
    <w:lvl w:ilvl="1">
      <w:lvlJc w:val="left"/>
      <w:lvlText w:val="%2."/>
      <w:numFmt w:val="decimal"/>
      <w:start w:val="11"/>
    </w:lvl>
  </w:abstractNum>
  <w:abstractNum w:abstractNumId="54">
    <w:nsid w:val="5F5E7FD0"/>
    <w:multiLevelType w:val="hybridMultilevel"/>
    <w:lvl w:ilvl="0">
      <w:lvlJc w:val="left"/>
      <w:lvlText w:val="%1"/>
      <w:numFmt w:val="decimal"/>
      <w:start w:val="1"/>
    </w:lvl>
    <w:lvl w:ilvl="1">
      <w:lvlJc w:val="left"/>
      <w:lvlText w:val="%2."/>
      <w:numFmt w:val="decimal"/>
      <w:start w:val="12"/>
    </w:lvl>
  </w:abstractNum>
  <w:abstractNum w:abstractNumId="55">
    <w:nsid w:val="98A3148"/>
    <w:multiLevelType w:val="hybridMultilevel"/>
    <w:lvl w:ilvl="0">
      <w:lvlJc w:val="left"/>
      <w:lvlText w:val="%1."/>
      <w:numFmt w:val="decimal"/>
      <w:start w:val="13"/>
    </w:lvl>
    <w:lvl w:ilvl="1">
      <w:lvlJc w:val="left"/>
      <w:lvlText w:val="%2"/>
      <w:numFmt w:val="decimal"/>
      <w:start w:val="1"/>
    </w:lvl>
  </w:abstractNum>
  <w:abstractNum w:abstractNumId="56">
    <w:nsid w:val="799D0247"/>
    <w:multiLevelType w:val="hybridMultilevel"/>
    <w:lvl w:ilvl="0">
      <w:lvlJc w:val="left"/>
      <w:lvlText w:val="%1"/>
      <w:numFmt w:val="decimal"/>
      <w:start w:val="1"/>
    </w:lvl>
    <w:lvl w:ilvl="1">
      <w:lvlJc w:val="left"/>
      <w:lvlText w:val="%2."/>
      <w:numFmt w:val="decimal"/>
      <w:start w:val="14"/>
    </w:lvl>
  </w:abstractNum>
  <w:abstractNum w:abstractNumId="57">
    <w:nsid w:val="6B94764"/>
    <w:multiLevelType w:val="hybridMultilevel"/>
    <w:lvl w:ilvl="0">
      <w:lvlJc w:val="left"/>
      <w:lvlText w:val="%1."/>
      <w:numFmt w:val="decimal"/>
      <w:start w:val="15"/>
    </w:lvl>
    <w:lvl w:ilvl="1">
      <w:lvlJc w:val="left"/>
      <w:lvlText w:val="%2"/>
      <w:numFmt w:val="decimal"/>
      <w:start w:val="1"/>
    </w:lvl>
  </w:abstractNum>
  <w:abstractNum w:abstractNumId="58">
    <w:nsid w:val="42C296BD"/>
    <w:multiLevelType w:val="hybridMultilevel"/>
    <w:lvl w:ilvl="0">
      <w:lvlJc w:val="left"/>
      <w:lvlText w:val="%1."/>
      <w:numFmt w:val="decimal"/>
      <w:start w:val="16"/>
    </w:lvl>
  </w:abstractNum>
  <w:abstractNum w:abstractNumId="59">
    <w:nsid w:val="168E121F"/>
    <w:multiLevelType w:val="hybridMultilevel"/>
    <w:lvl w:ilvl="0">
      <w:lvlJc w:val="left"/>
      <w:lvlText w:val="(%1)"/>
      <w:numFmt w:val="lowerLetter"/>
      <w:start w:val="2"/>
    </w:lvl>
  </w:abstractNum>
  <w:abstractNum w:abstractNumId="60">
    <w:nsid w:val="1EBA5D23"/>
    <w:multiLevelType w:val="hybridMultilevel"/>
    <w:lvl w:ilvl="0">
      <w:lvlJc w:val="left"/>
      <w:lvlText w:val="%1"/>
      <w:numFmt w:val="decimal"/>
      <w:start w:val="1"/>
    </w:lvl>
    <w:lvl w:ilvl="1">
      <w:lvlJc w:val="left"/>
      <w:lvlText w:val="%2."/>
      <w:numFmt w:val="decimal"/>
      <w:start w:val="19"/>
    </w:lvl>
  </w:abstractNum>
  <w:abstractNum w:abstractNumId="61">
    <w:nsid w:val="661E3F1E"/>
    <w:multiLevelType w:val="hybridMultilevel"/>
    <w:lvl w:ilvl="0">
      <w:lvlJc w:val="left"/>
      <w:lvlText w:val="%1."/>
      <w:numFmt w:val="decimal"/>
      <w:start w:val="21"/>
    </w:lvl>
    <w:lvl w:ilvl="1">
      <w:lvlJc w:val="left"/>
      <w:lvlText w:val="%2"/>
      <w:numFmt w:val="decimal"/>
      <w:start w:val="1"/>
    </w:lvl>
  </w:abstractNum>
  <w:abstractNum w:abstractNumId="62">
    <w:nsid w:val="5DC79EA8"/>
    <w:multiLevelType w:val="hybridMultilevel"/>
    <w:lvl w:ilvl="0">
      <w:lvlJc w:val="left"/>
      <w:lvlText w:val="%1."/>
      <w:numFmt w:val="decimal"/>
      <w:start w:val="22"/>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1)"/>
      <w:numFmt w:val="lowerLetter"/>
      <w:start w:val="4"/>
    </w:lvl>
  </w:abstractNum>
  <w:abstractNum w:abstractNumId="65">
    <w:nsid w:val="51D9C564"/>
    <w:multiLevelType w:val="hybridMultilevel"/>
    <w:lvl w:ilvl="0">
      <w:lvlJc w:val="left"/>
      <w:lvlText w:val="(%1)"/>
      <w:numFmt w:val="decimal"/>
      <w:start w:val="3"/>
    </w:lvl>
    <w:lvl w:ilvl="1">
      <w:lvlJc w:val="left"/>
      <w:lvlText w:val="(%2)"/>
      <w:numFmt w:val="lowerLetter"/>
      <w:start w:val="11"/>
    </w:lvl>
  </w:abstractNum>
  <w:abstractNum w:abstractNumId="66">
    <w:nsid w:val="613EFDC5"/>
    <w:multiLevelType w:val="hybridMultilevel"/>
    <w:lvl w:ilvl="0">
      <w:lvlJc w:val="left"/>
      <w:lvlText w:val="(%1)"/>
      <w:numFmt w:val="lowerLetter"/>
      <w:start w:val="1"/>
    </w:lvl>
    <w:lvl w:ilvl="1">
      <w:lvlJc w:val="left"/>
      <w:lvlText w:val="(%2)"/>
      <w:numFmt w:val="lowerLetter"/>
      <w:start w:val="2"/>
    </w:lvl>
  </w:abstractNum>
  <w:abstractNum w:abstractNumId="67">
    <w:nsid w:val="BF72B14"/>
    <w:multiLevelType w:val="hybridMultilevel"/>
    <w:lvl w:ilvl="0">
      <w:lvlJc w:val="left"/>
      <w:lvlText w:val="(%1)"/>
      <w:numFmt w:val="lowerLetter"/>
      <w:start w:val="3"/>
    </w:lvl>
    <w:lvl w:ilvl="1">
      <w:lvlJc w:val="left"/>
      <w:lvlText w:val="(%2)"/>
      <w:numFmt w:val="lowerLetter"/>
      <w:start w:val="4"/>
    </w:lvl>
  </w:abstractNum>
  <w:abstractNum w:abstractNumId="68">
    <w:nsid w:val="11447B73"/>
    <w:multiLevelType w:val="hybridMultilevel"/>
    <w:lvl w:ilvl="0">
      <w:lvlJc w:val="left"/>
      <w:lvlText w:val="(%1)"/>
      <w:numFmt w:val="lowerLetter"/>
      <w:start w:val="6"/>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1)"/>
      <w:numFmt w:val="lowerLetter"/>
      <w:start w:val="61"/>
    </w:lvl>
    <w:lvl w:ilvl="1">
      <w:lvlJc w:val="left"/>
      <w:lvlText w:val="(%2)"/>
      <w:numFmt w:val="lowerLetter"/>
      <w:start w:val="4"/>
    </w:lvl>
  </w:abstractNum>
  <w:abstractNum w:abstractNumId="71">
    <w:nsid w:val="8F2B15E"/>
    <w:multiLevelType w:val="hybridMultilevel"/>
    <w:lvl w:ilvl="0">
      <w:lvlJc w:val="left"/>
      <w:lvlText w:val="(%1)"/>
      <w:numFmt w:val="lowerLetter"/>
      <w:start w:val="5"/>
    </w:lvl>
  </w:abstractNum>
  <w:abstractNum w:abstractNumId="72">
    <w:nsid w:val="1A32234B"/>
    <w:multiLevelType w:val="hybridMultilevel"/>
    <w:lvl w:ilvl="0">
      <w:lvlJc w:val="left"/>
      <w:lvlText w:val="(%1)"/>
      <w:numFmt w:val="lowerRoman"/>
      <w:start w:val="1"/>
    </w:lvl>
  </w:abstractNum>
  <w:abstractNum w:abstractNumId="73">
    <w:nsid w:val="3B0FD379"/>
    <w:multiLevelType w:val="hybridMultilevel"/>
    <w:lvl w:ilvl="0">
      <w:lvlJc w:val="left"/>
      <w:lvlText w:val="(%1)"/>
      <w:numFmt w:val="upperLetter"/>
      <w:start w:val="2"/>
    </w:lvl>
    <w:lvl w:ilvl="1">
      <w:lvlJc w:val="left"/>
      <w:lvlText w:val="(%2)"/>
      <w:numFmt w:val="lowerRoman"/>
      <w:start w:val="5"/>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lowerLetter"/>
      <w:start w:val="2"/>
    </w:lvl>
  </w:abstractNum>
  <w:abstractNum w:abstractNumId="76">
    <w:nsid w:val="60B6DF70"/>
    <w:multiLevelType w:val="hybridMultilevel"/>
    <w:lvl w:ilvl="0">
      <w:lvlJc w:val="left"/>
      <w:lvlText w:val="(%1)"/>
      <w:numFmt w:val="lowerLetter"/>
      <w:start w:val="4"/>
    </w:lvl>
  </w:abstractNum>
  <w:abstractNum w:abstractNumId="77">
    <w:nsid w:val="6A5EE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8">
    <w:nsid w:val="14330624"/>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79">
    <w:nsid w:val="7FFFCA11"/>
    <w:multiLevelType w:val="hybridMultilevel"/>
    <w:lvl w:ilvl="0">
      <w:lvlJc w:val="left"/>
      <w:lvlText w:val="(%1)"/>
      <w:numFmt w:val="lowerRoman"/>
      <w:start w:val="2"/>
    </w:lvl>
  </w:abstractNum>
  <w:abstractNum w:abstractNumId="80">
    <w:nsid w:val="1A27709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1">
    <w:nsid w:val="71EA1109"/>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3"/>
    </w:lvl>
  </w:abstractNum>
  <w:abstractNum w:abstractNumId="82">
    <w:nsid w:val="100F59DC"/>
    <w:multiLevelType w:val="hybridMultilevel"/>
    <w:lvl w:ilvl="0">
      <w:lvlJc w:val="left"/>
      <w:lvlText w:val="(%1)"/>
      <w:numFmt w:val="lowerLetter"/>
      <w:start w:val="5"/>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194" Type="http://schemas.openxmlformats.org/officeDocument/2006/relationships/hyperlink" Target="https://www.sec.gov/Archives/edgar/data/0001566049/000119312519077140/d721306ds4.htm" TargetMode="External"/><Relationship Id="rId195" Type="http://schemas.openxmlformats.org/officeDocument/2006/relationships/hyperlink" Target="https://www.sec.gov/Archives/edgar/data/0001768224/000119380520001470/e620104_ex3-1.htm" TargetMode="External"/><Relationship Id="rId196" Type="http://schemas.openxmlformats.org/officeDocument/2006/relationships/hyperlink" Target="https://www.sec.gov/Archives/edgar/data/0001768224/000119380520000569/e619613_ex3-2.htm" TargetMode="External"/><Relationship Id="rId197" Type="http://schemas.openxmlformats.org/officeDocument/2006/relationships/hyperlink" Target="https://www.sec.gov/Archives/edgar/data/1768224/000156459021009872/arct-ex41_391.htm" TargetMode="External"/><Relationship Id="rId198" Type="http://schemas.openxmlformats.org/officeDocument/2006/relationships/hyperlink" Target="https://www.sec.gov/Archives/edgar/data/1768224/000156459020011037/arct-ex101_364.htm" TargetMode="External"/><Relationship Id="rId199" Type="http://schemas.openxmlformats.org/officeDocument/2006/relationships/hyperlink" Target="https://www.sec.gov/Archives/edgar/data/0001768224/000119380520000940/e619825_ex4-3.htm" TargetMode="External"/><Relationship Id="rId200" Type="http://schemas.openxmlformats.org/officeDocument/2006/relationships/hyperlink" Target="https://www.sec.gov/Archives/edgar/data/0001566049/000156459018023735/arct-ex992_6.htm" TargetMode="External"/><Relationship Id="rId201" Type="http://schemas.openxmlformats.org/officeDocument/2006/relationships/hyperlink" Target="https://www.sec.gov/Archives/edgar/data/0001566049/000156459018013460/arct-ex48_879.htm" TargetMode="External"/><Relationship Id="rId202" Type="http://schemas.openxmlformats.org/officeDocument/2006/relationships/hyperlink" Target="https://www.sec.gov/Archives/edgar/data/0001566049/000156459018013460/arct-ex410_883.htm" TargetMode="External"/><Relationship Id="rId203" Type="http://schemas.openxmlformats.org/officeDocument/2006/relationships/hyperlink" Target="https://www.sec.gov/Archives/edgar/data/0001566049/000119312519176908/d721252dex102.htm" TargetMode="External"/><Relationship Id="rId204" Type="http://schemas.openxmlformats.org/officeDocument/2006/relationships/hyperlink" Target="https://www.sec.gov/Archives/edgar/data/0001566049/000156459018013460/arct-ex411_878.htm" TargetMode="External"/><Relationship Id="rId205" Type="http://schemas.openxmlformats.org/officeDocument/2006/relationships/hyperlink" Target="https://www.sec.gov/Archives/edgar/data/0001768224/000156459019032166/arct-ex1016_165.htm" TargetMode="External"/><Relationship Id="rId206" Type="http://schemas.openxmlformats.org/officeDocument/2006/relationships/hyperlink" Target="https://www.sec.gov/Archives/edgar/data/0001566049/000156459018013460/arct-ex412_1677.htm" TargetMode="External"/><Relationship Id="rId207" Type="http://schemas.openxmlformats.org/officeDocument/2006/relationships/hyperlink" Target="https://www.sec.gov/Archives/edgar/data/0001768224/000156459019032166/arct-ex1020_166.htm" TargetMode="External"/><Relationship Id="rId208" Type="http://schemas.openxmlformats.org/officeDocument/2006/relationships/hyperlink" Target="https://www.sec.gov/Archives/edgar/data/0001566049/000156459018016705/arct-ex414_7.htm" TargetMode="External"/><Relationship Id="rId209" Type="http://schemas.openxmlformats.org/officeDocument/2006/relationships/hyperlink" Target="https://www.sec.gov/Archives/edgar/data/0001566049/000156459018013460/arct-ex415_876.htm" TargetMode="External"/><Relationship Id="rId210" Type="http://schemas.openxmlformats.org/officeDocument/2006/relationships/hyperlink" Target="https://www.sec.gov/Archives/edgar/data/0001566049/000156459019008092/arct-ex1013_446.htm" TargetMode="External"/><Relationship Id="rId213" Type="http://schemas.openxmlformats.org/officeDocument/2006/relationships/hyperlink" Target="https://www.sec.gov/Archives/edgar/data/0001566049/000156459018013460/arct-ex46_882.htm" TargetMode="External"/><Relationship Id="rId214" Type="http://schemas.openxmlformats.org/officeDocument/2006/relationships/hyperlink" Target="https://www.sec.gov/Archives/edgar/data/0001768224/000156459020011037/arct-ex1023_426.htm" TargetMode="External"/><Relationship Id="rId215" Type="http://schemas.openxmlformats.org/officeDocument/2006/relationships/hyperlink" Target="https://www.sec.gov/Archives/edgar/data/0001768224/000156459020011037/arct-ex1024_365.htm" TargetMode="External"/><Relationship Id="rId216" Type="http://schemas.openxmlformats.org/officeDocument/2006/relationships/hyperlink" Target="https://www.sec.gov/Archives/edgar/data/1768224/000156459021009872/arct-ex1029_392.htm" TargetMode="External"/><Relationship Id="rId217" Type="http://schemas.openxmlformats.org/officeDocument/2006/relationships/hyperlink" Target="https://www.sec.gov/Archives/edgar/data/1768224/000156459021009872/arct-ex1030_393.htm" TargetMode="External"/><Relationship Id="rId218" Type="http://schemas.openxmlformats.org/officeDocument/2006/relationships/hyperlink" Target="https://www.sec.gov/Archives/edgar/data/1768224/000119380521000538/e620514_ex10-1.htm" TargetMode="External"/><Relationship Id="rId219" Type="http://schemas.openxmlformats.org/officeDocument/2006/relationships/hyperlink" Target="https://www.sec.gov/Archives/edgar/data/1768224/000156459021055372/arct-ex1035_75.htm" TargetMode="External"/><Relationship Id="rId220" Type="http://schemas.openxmlformats.org/officeDocument/2006/relationships/hyperlink" Target="https://www.sec.gov/Archives/edgar/data/0001768224/000119380521001468/e621018_ex4-1.htm" TargetMode="External"/><Relationship Id="rId221" Type="http://schemas.openxmlformats.org/officeDocument/2006/relationships/hyperlink" Target="https://www.sec.gov/Archives/edgar/data/1768224/000119380522001036/e621786_ex4-3.htm" TargetMode="External"/><Relationship Id="rId222" Type="http://schemas.openxmlformats.org/officeDocument/2006/relationships/hyperlink" Target="https://www.sec.gov/Archives/edgar/data/1768224/000095017022023969/arct-ex10_36.htm" TargetMode="External"/><Relationship Id="rId223" Type="http://schemas.openxmlformats.org/officeDocument/2006/relationships/hyperlink" Target="https://www.sec.gov/Archives/edgar/data/1768224/000119380522001480/e617791_ex10-1.htm" TargetMode="External"/><Relationship Id="rId224" Type="http://schemas.openxmlformats.org/officeDocument/2006/relationships/hyperlink" Target="https://www.sec.gov/Archives/edgar/data/1768224/000095017022023969/arct-ex10_38.htm" TargetMode="External"/><Relationship Id="rId225" Type="http://schemas.openxmlformats.org/officeDocument/2006/relationships/hyperlink" Target="https://www.sec.gov/Archives/edgar/data/1768224/000095017023010380/arct-ex10_41.htm" TargetMode="External"/><Relationship Id="rId226" Type="http://schemas.openxmlformats.org/officeDocument/2006/relationships/hyperlink" Target="https://www.sec.gov/Archives/edgar/data/1768224/000095017023019773/arct-ex10_28.htm" TargetMode="External"/><Relationship Id="rId227" Type="http://schemas.openxmlformats.org/officeDocument/2006/relationships/hyperlink" Target="https://www.sec.gov/Archives/edgar/data/1768224/000095017023019773/arct-ex10_29.htm" TargetMode="External"/><Relationship Id="rId228" Type="http://schemas.openxmlformats.org/officeDocument/2006/relationships/hyperlink" Target="https://www.sec.gov/Archives/edgar/data/1768224/000095017023019773/arct-ex10_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2023-08-07T16:20:02Z</dcterms:created>
  <dcterms:modified xsi:type="dcterms:W3CDTF">2023-08-07T16:20:02Z</dcterms:modified>
</cp:coreProperties>
</file>