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SCHEDULE 13G</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4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33" w:lineRule="exact"/>
        <w:rPr>
          <w:sz w:val="24"/>
          <w:szCs w:val="24"/>
          <w:color w:val="auto"/>
        </w:rPr>
      </w:pPr>
    </w:p>
    <w:p>
      <w:pPr>
        <w:ind w:right="40" w:firstLine="8"/>
        <w:spacing w:after="0" w:line="244"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Nikko Asset Management Americas, Inc.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1,264,336</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1,449,060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1,449,060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5.45%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7" w:lineRule="exact"/>
        <w:rPr>
          <w:sz w:val="20"/>
          <w:szCs w:val="20"/>
          <w:color w:val="auto"/>
        </w:rPr>
      </w:pPr>
    </w:p>
    <w:p>
      <w:pPr>
        <w:ind w:left="1580" w:hanging="668"/>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1" w:lineRule="exact"/>
        <w:rPr>
          <w:rFonts w:ascii="Times New Roman" w:cs="Times New Roman" w:eastAsia="Times New Roman" w:hAnsi="Times New Roman"/>
          <w:sz w:val="18"/>
          <w:szCs w:val="18"/>
          <w:color w:val="auto"/>
        </w:rPr>
      </w:pPr>
    </w:p>
    <w:p>
      <w:pPr>
        <w:ind w:left="1580" w:right="563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10628 Science Center Drive, Suite 250 San Diego, CA 92121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6" w:lineRule="exact"/>
        <w:rPr>
          <w:sz w:val="20"/>
          <w:szCs w:val="20"/>
          <w:color w:val="auto"/>
        </w:rPr>
      </w:pPr>
    </w:p>
    <w:p>
      <w:pPr>
        <w:ind w:left="1580" w:hanging="668"/>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Nikko Asset Management Americas, Inc.</w:t>
      </w:r>
    </w:p>
    <w:p>
      <w:pPr>
        <w:spacing w:after="0" w:line="229"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w:t>
      </w:r>
    </w:p>
    <w:p>
      <w:pPr>
        <w:spacing w:after="0" w:line="222" w:lineRule="exact"/>
        <w:rPr>
          <w:rFonts w:ascii="Times New Roman" w:cs="Times New Roman" w:eastAsia="Times New Roman" w:hAnsi="Times New Roman"/>
          <w:sz w:val="17"/>
          <w:szCs w:val="17"/>
          <w:color w:val="auto"/>
        </w:rPr>
      </w:pPr>
    </w:p>
    <w:p>
      <w:pPr>
        <w:ind w:left="1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605 Third Avenue, 38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NY 10158</w:t>
      </w:r>
    </w:p>
    <w:p>
      <w:pPr>
        <w:spacing w:after="0" w:line="112" w:lineRule="exact"/>
        <w:rPr>
          <w:rFonts w:ascii="Times New Roman" w:cs="Times New Roman" w:eastAsia="Times New Roman" w:hAnsi="Times New Roman"/>
          <w:sz w:val="17"/>
          <w:szCs w:val="17"/>
          <w:color w:val="auto"/>
        </w:rPr>
      </w:pPr>
    </w:p>
    <w:p>
      <w:pPr>
        <w:ind w:left="1580" w:hanging="668"/>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USA</w:t>
      </w:r>
    </w:p>
    <w:p>
      <w:pPr>
        <w:spacing w:after="0" w:line="229"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Common Stock, par value $0.001 per share</w:t>
      </w:r>
    </w:p>
    <w:p>
      <w:pPr>
        <w:spacing w:after="0" w:line="229"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03969T109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7" w:lineRule="exact"/>
        <w:rPr>
          <w:sz w:val="20"/>
          <w:szCs w:val="20"/>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200" w:right="540" w:hanging="1301"/>
        <w:spacing w:after="0" w:line="226" w:lineRule="exact"/>
        <w:tabs>
          <w:tab w:leader="none" w:pos="1565"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1560" w:hanging="661"/>
        <w:spacing w:after="0" w:line="207" w:lineRule="exact"/>
        <w:tabs>
          <w:tab w:leader="none" w:pos="15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2200" w:hanging="1301"/>
        <w:spacing w:after="0" w:line="226" w:lineRule="exact"/>
        <w:tabs>
          <w:tab w:leader="none" w:pos="1565"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group, in accordance with § 240.13d-1(b)(1)(ii)(K). If filing as a non-U.S. institution in accordance with §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94" w:lineRule="exact"/>
        <w:rPr>
          <w:sz w:val="20"/>
          <w:szCs w:val="20"/>
          <w:color w:val="auto"/>
        </w:rPr>
      </w:pPr>
    </w:p>
    <w:p>
      <w:pPr>
        <w:ind w:left="1580" w:hanging="668"/>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1,449,060</w:t>
      </w:r>
    </w:p>
    <w:p>
      <w:pPr>
        <w:spacing w:after="0" w:line="229"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5.45%</w:t>
      </w:r>
    </w:p>
    <w:p>
      <w:pPr>
        <w:spacing w:after="0" w:line="229"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260" w:hanging="673"/>
        <w:spacing w:after="0"/>
        <w:tabs>
          <w:tab w:leader="none" w:pos="2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29" w:lineRule="exact"/>
        <w:rPr>
          <w:rFonts w:ascii="Times New Roman" w:cs="Times New Roman" w:eastAsia="Times New Roman" w:hAnsi="Times New Roman"/>
          <w:sz w:val="18"/>
          <w:szCs w:val="18"/>
          <w:color w:val="auto"/>
        </w:rPr>
      </w:pPr>
    </w:p>
    <w:p>
      <w:pPr>
        <w:ind w:left="2260" w:hanging="673"/>
        <w:spacing w:after="0"/>
        <w:tabs>
          <w:tab w:leader="none" w:pos="2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1,264,336</w:t>
      </w:r>
    </w:p>
    <w:p>
      <w:pPr>
        <w:spacing w:after="0" w:line="229" w:lineRule="exact"/>
        <w:rPr>
          <w:rFonts w:ascii="Times New Roman" w:cs="Times New Roman" w:eastAsia="Times New Roman" w:hAnsi="Times New Roman"/>
          <w:sz w:val="18"/>
          <w:szCs w:val="18"/>
          <w:color w:val="auto"/>
        </w:rPr>
      </w:pPr>
    </w:p>
    <w:p>
      <w:pPr>
        <w:ind w:left="2260" w:hanging="673"/>
        <w:spacing w:after="0"/>
        <w:tabs>
          <w:tab w:leader="none" w:pos="2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29" w:lineRule="exact"/>
        <w:rPr>
          <w:rFonts w:ascii="Times New Roman" w:cs="Times New Roman" w:eastAsia="Times New Roman" w:hAnsi="Times New Roman"/>
          <w:sz w:val="18"/>
          <w:szCs w:val="18"/>
          <w:color w:val="auto"/>
        </w:rPr>
      </w:pPr>
    </w:p>
    <w:p>
      <w:pPr>
        <w:ind w:left="2260" w:hanging="673"/>
        <w:spacing w:after="0"/>
        <w:tabs>
          <w:tab w:leader="none" w:pos="2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1,449,060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47" w:lineRule="exact"/>
        <w:rPr>
          <w:sz w:val="20"/>
          <w:szCs w:val="20"/>
          <w:color w:val="auto"/>
        </w:rPr>
      </w:pPr>
    </w:p>
    <w:p>
      <w:pPr>
        <w:ind w:right="560" w:firstLine="648"/>
        <w:spacing w:after="0" w:line="281"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See Exhibit 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See Exhibit 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8, 2023</w:t>
            </w:r>
          </w:p>
        </w:tc>
        <w:tc>
          <w:tcPr>
            <w:tcW w:w="27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Gary L. Beckham</w:t>
            </w:r>
          </w:p>
        </w:tc>
      </w:tr>
      <w:tr>
        <w:trPr>
          <w:trHeight w:val="216"/>
        </w:trPr>
        <w:tc>
          <w:tcPr>
            <w:tcW w:w="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 Gary L. Beckham</w:t>
            </w:r>
          </w:p>
        </w:tc>
      </w:tr>
      <w:tr>
        <w:trPr>
          <w:trHeight w:val="234"/>
        </w:trPr>
        <w:tc>
          <w:tcPr>
            <w:tcW w:w="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Attention:</w:t>
            </w: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tc>
      </w:tr>
      <w:tr>
        <w:trPr>
          <w:trHeight w:val="426"/>
        </w:trPr>
        <w:tc>
          <w:tcPr>
            <w:tcW w:w="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21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Sumitomo Mitsui Trust Holdings Inc.</w:t>
      </w:r>
    </w:p>
    <w:p>
      <w:pPr>
        <w:spacing w:after="0" w:line="27" w:lineRule="exact"/>
        <w:rPr>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Nikko Asset Management Co., Ltd.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2023-02-10T09:31:26Z</dcterms:created>
  <dcterms:modified xsi:type="dcterms:W3CDTF">2023-02-10T09:31:26Z</dcterms:modified>
</cp:coreProperties>
</file>