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ARCTURUS THERAPEUTICS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03969T109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Karah Parschauer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Ultragenyx Pharmaceutical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 Leveroni Court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Novato, CA 94949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475-6583</w:t>
      </w:r>
    </w:p>
    <w:p>
      <w:pPr>
        <w:spacing w:after="0" w:line="21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Robert Masella</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 Russel Denton</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Shearman &amp; Sterling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599 Lexington Avenue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May 20,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13D</w:t>
      </w:r>
    </w:p>
    <w:p>
      <w:pPr>
        <w:spacing w:after="0" w:line="131" w:lineRule="exact"/>
        <w:rPr>
          <w:sz w:val="20"/>
          <w:szCs w:val="20"/>
          <w:color w:val="auto"/>
        </w:rPr>
      </w:pPr>
    </w:p>
    <w:p>
      <w:pPr>
        <w:ind w:left="4"/>
        <w:spacing w:after="0"/>
        <w:tabs>
          <w:tab w:leader="none" w:pos="1904" w:val="left"/>
        </w:tabs>
        <w:rPr>
          <w:sz w:val="20"/>
          <w:szCs w:val="20"/>
          <w:color w:val="auto"/>
        </w:rPr>
      </w:pPr>
      <w:r>
        <w:rPr>
          <w:rFonts w:ascii="Arial" w:cs="Arial" w:eastAsia="Arial" w:hAnsi="Arial"/>
          <w:sz w:val="18"/>
          <w:szCs w:val="18"/>
          <w:b w:val="1"/>
          <w:bCs w:val="1"/>
          <w:color w:val="auto"/>
        </w:rPr>
        <w:t>CUSIP No. 03969T109</w:t>
      </w:r>
      <w:r>
        <w:rPr>
          <w:sz w:val="20"/>
          <w:szCs w:val="20"/>
          <w:color w:val="auto"/>
        </w:rPr>
        <w:tab/>
      </w:r>
      <w:r>
        <w:rPr>
          <w:rFonts w:ascii="Arial" w:cs="Arial" w:eastAsia="Arial" w:hAnsi="Arial"/>
          <w:sz w:val="15"/>
          <w:szCs w:val="15"/>
          <w:b w:val="1"/>
          <w:bCs w:val="1"/>
          <w:color w:val="auto"/>
        </w:rPr>
        <w:t>13D Page 2 of 5</w:t>
      </w:r>
    </w:p>
    <w:p>
      <w:pPr>
        <w:spacing w:after="0" w:line="148" w:lineRule="exact"/>
        <w:rPr>
          <w:sz w:val="20"/>
          <w:szCs w:val="20"/>
          <w:color w:val="auto"/>
        </w:rPr>
      </w:pPr>
    </w:p>
    <w:p>
      <w:pPr>
        <w:ind w:left="604" w:hanging="307"/>
        <w:spacing w:after="0"/>
        <w:tabs>
          <w:tab w:leader="none" w:pos="60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04"/>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6626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626225"/>
                    </a:xfrm>
                    <a:prstGeom prst="rect">
                      <a:avLst/>
                    </a:prstGeom>
                    <a:noFill/>
                  </pic:spPr>
                </pic:pic>
              </a:graphicData>
            </a:graphic>
          </wp:anchor>
        </w:drawing>
      </w:r>
    </w:p>
    <w:p>
      <w:pPr>
        <w:spacing w:after="0" w:line="211" w:lineRule="exact"/>
        <w:rPr>
          <w:sz w:val="20"/>
          <w:szCs w:val="20"/>
          <w:color w:val="auto"/>
        </w:rPr>
      </w:pPr>
    </w:p>
    <w:p>
      <w:pPr>
        <w:ind w:left="604"/>
        <w:spacing w:after="0"/>
        <w:rPr>
          <w:sz w:val="20"/>
          <w:szCs w:val="20"/>
          <w:color w:val="auto"/>
        </w:rPr>
      </w:pPr>
      <w:r>
        <w:rPr>
          <w:rFonts w:ascii="Arial" w:cs="Arial" w:eastAsia="Arial" w:hAnsi="Arial"/>
          <w:sz w:val="22"/>
          <w:szCs w:val="22"/>
          <w:color w:val="auto"/>
        </w:rPr>
        <w:t>Ultragenyx Pharmaceutical Inc.</w:t>
      </w:r>
    </w:p>
    <w:p>
      <w:pPr>
        <w:spacing w:after="0" w:line="8" w:lineRule="exact"/>
        <w:rPr>
          <w:sz w:val="20"/>
          <w:szCs w:val="20"/>
          <w:color w:val="auto"/>
        </w:rPr>
      </w:pPr>
    </w:p>
    <w:p>
      <w:pPr>
        <w:ind w:left="604"/>
        <w:spacing w:after="0"/>
        <w:rPr>
          <w:sz w:val="20"/>
          <w:szCs w:val="20"/>
          <w:color w:val="auto"/>
        </w:rPr>
      </w:pPr>
      <w:r>
        <w:rPr>
          <w:rFonts w:ascii="Arial" w:cs="Arial" w:eastAsia="Arial" w:hAnsi="Arial"/>
          <w:sz w:val="22"/>
          <w:szCs w:val="22"/>
          <w:color w:val="auto"/>
        </w:rPr>
        <w:t>27-2546083</w:t>
      </w:r>
    </w:p>
    <w:p>
      <w:pPr>
        <w:spacing w:after="0" w:line="6" w:lineRule="exact"/>
        <w:rPr>
          <w:sz w:val="20"/>
          <w:szCs w:val="20"/>
          <w:color w:val="auto"/>
        </w:rPr>
      </w:pPr>
    </w:p>
    <w:p>
      <w:pPr>
        <w:ind w:left="604" w:hanging="307"/>
        <w:spacing w:after="0"/>
        <w:tabs>
          <w:tab w:leader="none" w:pos="60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04"/>
        <w:spacing w:after="0" w:line="207" w:lineRule="exact"/>
        <w:tabs>
          <w:tab w:leader="none" w:pos="13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4" w:hanging="307"/>
        <w:spacing w:after="0"/>
        <w:tabs>
          <w:tab w:leader="none" w:pos="60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4" w:hanging="307"/>
        <w:spacing w:after="0"/>
        <w:tabs>
          <w:tab w:leader="none" w:pos="6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604"/>
        <w:spacing w:after="0"/>
        <w:rPr>
          <w:sz w:val="20"/>
          <w:szCs w:val="20"/>
          <w:color w:val="auto"/>
        </w:rPr>
      </w:pPr>
      <w:r>
        <w:rPr>
          <w:rFonts w:ascii="Arial" w:cs="Arial" w:eastAsia="Arial" w:hAnsi="Arial"/>
          <w:sz w:val="22"/>
          <w:szCs w:val="22"/>
          <w:color w:val="auto"/>
        </w:rPr>
        <w:t>WC</w:t>
      </w:r>
    </w:p>
    <w:p>
      <w:pPr>
        <w:spacing w:after="0" w:line="24" w:lineRule="exact"/>
        <w:rPr>
          <w:sz w:val="20"/>
          <w:szCs w:val="20"/>
          <w:color w:val="auto"/>
        </w:rPr>
      </w:pPr>
    </w:p>
    <w:p>
      <w:pPr>
        <w:ind w:left="604" w:hanging="307"/>
        <w:spacing w:after="0"/>
        <w:tabs>
          <w:tab w:leader="none" w:pos="604"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sz w:val="20"/>
          <w:szCs w:val="20"/>
          <w:color w:val="auto"/>
        </w:rPr>
      </w:pPr>
    </w:p>
    <w:p>
      <w:pPr>
        <w:ind w:left="6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04" w:hanging="307"/>
        <w:spacing w:after="0"/>
        <w:tabs>
          <w:tab w:leader="none" w:pos="60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9" w:lineRule="exact"/>
        <w:rPr>
          <w:sz w:val="20"/>
          <w:szCs w:val="20"/>
          <w:color w:val="auto"/>
        </w:rPr>
      </w:pPr>
    </w:p>
    <w:p>
      <w:pPr>
        <w:ind w:left="604"/>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0944"/>
          </w:cols>
          <w:pgMar w:left="436" w:top="270" w:right="5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4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3" w:hanging="293"/>
        <w:spacing w:after="0"/>
        <w:tabs>
          <w:tab w:leader="none" w:pos="383"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3"/>
        <w:spacing w:after="0"/>
        <w:rPr>
          <w:sz w:val="20"/>
          <w:szCs w:val="20"/>
          <w:color w:val="auto"/>
        </w:rPr>
      </w:pPr>
      <w:r>
        <w:rPr>
          <w:rFonts w:ascii="Arial" w:cs="Arial" w:eastAsia="Arial" w:hAnsi="Arial"/>
          <w:sz w:val="22"/>
          <w:szCs w:val="22"/>
          <w:color w:val="auto"/>
        </w:rPr>
        <w:t>3,000,000</w:t>
      </w:r>
    </w:p>
    <w:p>
      <w:pPr>
        <w:spacing w:after="0" w:line="24" w:lineRule="exact"/>
        <w:rPr>
          <w:sz w:val="20"/>
          <w:szCs w:val="20"/>
          <w:color w:val="auto"/>
        </w:rPr>
      </w:pPr>
    </w:p>
    <w:p>
      <w:pPr>
        <w:ind w:left="383" w:hanging="293"/>
        <w:spacing w:after="0"/>
        <w:tabs>
          <w:tab w:leader="none" w:pos="38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83"/>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3" w:hanging="293"/>
        <w:spacing w:after="0"/>
        <w:tabs>
          <w:tab w:leader="none" w:pos="383"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3"/>
        <w:spacing w:after="0"/>
        <w:rPr>
          <w:sz w:val="20"/>
          <w:szCs w:val="20"/>
          <w:color w:val="auto"/>
        </w:rPr>
      </w:pPr>
      <w:r>
        <w:rPr>
          <w:rFonts w:ascii="Arial" w:cs="Arial" w:eastAsia="Arial" w:hAnsi="Arial"/>
          <w:sz w:val="22"/>
          <w:szCs w:val="22"/>
          <w:color w:val="auto"/>
        </w:rPr>
        <w:t>3,000,000</w:t>
      </w:r>
    </w:p>
    <w:p>
      <w:pPr>
        <w:spacing w:after="0" w:line="24" w:lineRule="exact"/>
        <w:rPr>
          <w:sz w:val="20"/>
          <w:szCs w:val="20"/>
          <w:color w:val="auto"/>
        </w:rPr>
      </w:pPr>
    </w:p>
    <w:p>
      <w:pPr>
        <w:ind w:left="383" w:hanging="383"/>
        <w:spacing w:after="0"/>
        <w:tabs>
          <w:tab w:leader="none" w:pos="383"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83"/>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ectPr>
          <w:pgSz w:w="11900" w:h="16838" w:orient="portrait"/>
          <w:cols w:equalWidth="0" w:num="2">
            <w:col w:w="1524" w:space="217"/>
            <w:col w:w="9203"/>
          </w:cols>
          <w:pgMar w:left="436" w:top="270" w:right="519" w:bottom="1440" w:gutter="0" w:footer="0" w:header="0"/>
          <w:type w:val="continuous"/>
        </w:sectPr>
      </w:pPr>
    </w:p>
    <w:p>
      <w:pPr>
        <w:ind w:left="524" w:hanging="359"/>
        <w:spacing w:after="0"/>
        <w:tabs>
          <w:tab w:leader="none" w:pos="524"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3,000,000</w:t>
      </w:r>
    </w:p>
    <w:p>
      <w:pPr>
        <w:spacing w:after="0" w:line="24" w:lineRule="exact"/>
        <w:rPr>
          <w:sz w:val="20"/>
          <w:szCs w:val="20"/>
          <w:color w:val="auto"/>
        </w:rPr>
      </w:pPr>
    </w:p>
    <w:p>
      <w:pPr>
        <w:ind w:left="524" w:hanging="364"/>
        <w:spacing w:after="0"/>
        <w:tabs>
          <w:tab w:leader="none" w:pos="52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spacing w:after="0" w:line="218" w:lineRule="exact"/>
        <w:rPr>
          <w:sz w:val="20"/>
          <w:szCs w:val="20"/>
          <w:color w:val="auto"/>
        </w:rPr>
      </w:pPr>
    </w:p>
    <w:p>
      <w:pPr>
        <w:ind w:left="5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524" w:hanging="364"/>
        <w:spacing w:after="0"/>
        <w:tabs>
          <w:tab w:leader="none" w:pos="52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9" w:lineRule="exact"/>
        <w:rPr>
          <w:sz w:val="20"/>
          <w:szCs w:val="20"/>
          <w:color w:val="auto"/>
        </w:rPr>
      </w:pPr>
    </w:p>
    <w:p>
      <w:pPr>
        <w:ind w:left="524"/>
        <w:spacing w:after="0"/>
        <w:rPr>
          <w:sz w:val="20"/>
          <w:szCs w:val="20"/>
          <w:color w:val="auto"/>
        </w:rPr>
      </w:pPr>
      <w:r>
        <w:rPr>
          <w:rFonts w:ascii="Arial" w:cs="Arial" w:eastAsia="Arial" w:hAnsi="Arial"/>
          <w:sz w:val="22"/>
          <w:szCs w:val="22"/>
          <w:color w:val="auto"/>
        </w:rPr>
        <w:t>14.6%*</w:t>
      </w:r>
    </w:p>
    <w:p>
      <w:pPr>
        <w:spacing w:after="0" w:line="24" w:lineRule="exact"/>
        <w:rPr>
          <w:sz w:val="20"/>
          <w:szCs w:val="20"/>
          <w:color w:val="auto"/>
        </w:rPr>
      </w:pPr>
    </w:p>
    <w:p>
      <w:pPr>
        <w:ind w:left="524" w:hanging="364"/>
        <w:spacing w:after="0"/>
        <w:tabs>
          <w:tab w:leader="none" w:pos="52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224" w:hanging="224"/>
        <w:spacing w:after="0" w:line="277" w:lineRule="auto"/>
        <w:tabs>
          <w:tab w:leader="none" w:pos="2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percentage is calculated based upon 20,492,286 outstanding shares of Common Stock (as defined below), based on information provided by the Issuer as of May 22, 2020.</w:t>
      </w:r>
    </w:p>
    <w:p>
      <w:pPr>
        <w:sectPr>
          <w:pgSz w:w="11900" w:h="16838" w:orient="portrait"/>
          <w:cols w:equalWidth="0" w:num="1">
            <w:col w:w="10944"/>
          </w:cols>
          <w:pgMar w:left="436" w:top="270" w:right="519" w:bottom="1440" w:gutter="0" w:footer="0" w:header="0"/>
          <w:type w:val="continuous"/>
        </w:sectPr>
      </w:pPr>
    </w:p>
    <w:bookmarkStart w:id="2" w:name="page3"/>
    <w:bookmarkEnd w:id="2"/>
    <w:p>
      <w:pPr>
        <w:ind w:left="10524"/>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w:t>
      </w:r>
    </w:p>
    <w:p>
      <w:pPr>
        <w:spacing w:after="0" w:line="192"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This Amendment No. 1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to Schedule 13D supplements and amends the statement on Schedule 13D of Ultragenyx Pharmaceutical Inc., a Delaware corporation (the “</w:t>
      </w:r>
      <w:r>
        <w:rPr>
          <w:rFonts w:ascii="Arial" w:cs="Arial" w:eastAsia="Arial" w:hAnsi="Arial"/>
          <w:sz w:val="17"/>
          <w:szCs w:val="17"/>
          <w:b w:val="1"/>
          <w:bCs w:val="1"/>
          <w:i w:val="1"/>
          <w:iCs w:val="1"/>
          <w:color w:val="auto"/>
        </w:rPr>
        <w:t>Reporting Person</w:t>
      </w:r>
      <w:r>
        <w:rPr>
          <w:rFonts w:ascii="Arial" w:cs="Arial" w:eastAsia="Arial" w:hAnsi="Arial"/>
          <w:sz w:val="17"/>
          <w:szCs w:val="17"/>
          <w:color w:val="auto"/>
        </w:rPr>
        <w:t>”) originally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June 26, 2019 (the “</w:t>
      </w:r>
      <w:r>
        <w:rPr>
          <w:rFonts w:ascii="Arial" w:cs="Arial" w:eastAsia="Arial" w:hAnsi="Arial"/>
          <w:sz w:val="17"/>
          <w:szCs w:val="17"/>
          <w:b w:val="1"/>
          <w:bCs w:val="1"/>
          <w:i w:val="1"/>
          <w:iCs w:val="1"/>
          <w:color w:val="auto"/>
        </w:rPr>
        <w:t>Schedule 13D</w:t>
      </w:r>
      <w:r>
        <w:rPr>
          <w:rFonts w:ascii="Arial" w:cs="Arial" w:eastAsia="Arial" w:hAnsi="Arial"/>
          <w:sz w:val="17"/>
          <w:szCs w:val="17"/>
          <w:color w:val="auto"/>
        </w:rPr>
        <w:t>”). Except as otherwise specified in this Amendment No. 1, all items in the Schedule 13D remain unchanged. All capitalized terms used herein and not otherwise defined have the meanings ascribed to such terms in the Schedule 13D.</w:t>
      </w:r>
    </w:p>
    <w:p>
      <w:pPr>
        <w:spacing w:after="0" w:line="17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Reporting Person is filing this Amendment No. 1 to report the purchase by the Reporting Person of an aggregate of 600,000 shares of Common Stock from the Issuer pursuant to the Equity Purchase Agreement.</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2 of the Schedule 13D is hereby amended and restated in its entirety to read:</w:t>
      </w:r>
    </w:p>
    <w:p>
      <w:pPr>
        <w:spacing w:after="0" w:line="225" w:lineRule="exact"/>
        <w:rPr>
          <w:sz w:val="20"/>
          <w:szCs w:val="20"/>
          <w:color w:val="auto"/>
        </w:rPr>
      </w:pPr>
    </w:p>
    <w:p>
      <w:pPr>
        <w:ind w:left="244" w:hanging="244"/>
        <w:spacing w:after="0"/>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Schedule 13D is being filed on behalf of the Reporting Person.</w:t>
      </w:r>
    </w:p>
    <w:p>
      <w:pPr>
        <w:spacing w:after="0" w:line="225" w:lineRule="exact"/>
        <w:rPr>
          <w:rFonts w:ascii="Arial" w:cs="Arial" w:eastAsia="Arial" w:hAnsi="Arial"/>
          <w:sz w:val="18"/>
          <w:szCs w:val="18"/>
          <w:color w:val="auto"/>
        </w:rPr>
      </w:pPr>
    </w:p>
    <w:p>
      <w:pPr>
        <w:ind w:left="4" w:right="140" w:hanging="4"/>
        <w:spacing w:after="0" w:line="263"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Reporting Person’s principal executive offices are located at 60 Leveroni Court, Novato, California 94949. The directors and executive officers of the Reporting Person and their principal occupations and business addresses are set forth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and incorporated by reference into this Item 2.</w:t>
      </w:r>
    </w:p>
    <w:p>
      <w:pPr>
        <w:spacing w:after="0" w:line="183" w:lineRule="exact"/>
        <w:rPr>
          <w:rFonts w:ascii="Arial" w:cs="Arial" w:eastAsia="Arial" w:hAnsi="Arial"/>
          <w:sz w:val="18"/>
          <w:szCs w:val="18"/>
          <w:color w:val="auto"/>
        </w:rPr>
      </w:pPr>
    </w:p>
    <w:p>
      <w:pPr>
        <w:ind w:left="4" w:right="500" w:hanging="4"/>
        <w:spacing w:after="0" w:line="277"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as a biopharmaceutical company focused on the identification, acquisition, development, and commercialization of novel products for the treatment of serious rare and ultra-rare genetic diseases.</w:t>
      </w:r>
    </w:p>
    <w:p>
      <w:pPr>
        <w:spacing w:after="0" w:line="166" w:lineRule="exact"/>
        <w:rPr>
          <w:rFonts w:ascii="Arial" w:cs="Arial" w:eastAsia="Arial" w:hAnsi="Arial"/>
          <w:sz w:val="18"/>
          <w:szCs w:val="18"/>
          <w:color w:val="auto"/>
        </w:rPr>
      </w:pPr>
    </w:p>
    <w:p>
      <w:pPr>
        <w:ind w:left="4" w:right="680" w:hanging="4"/>
        <w:spacing w:after="0" w:line="282"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During the last five years, neither the Reporting Person nor any Person named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has been convicted in any criminal proceeding (excluding traffic violations or similar misdemeanors).</w:t>
      </w:r>
    </w:p>
    <w:p>
      <w:pPr>
        <w:spacing w:after="0" w:line="161" w:lineRule="exact"/>
        <w:rPr>
          <w:rFonts w:ascii="Arial" w:cs="Arial" w:eastAsia="Arial" w:hAnsi="Arial"/>
          <w:sz w:val="18"/>
          <w:szCs w:val="18"/>
          <w:color w:val="auto"/>
        </w:rPr>
      </w:pPr>
    </w:p>
    <w:p>
      <w:pPr>
        <w:ind w:left="244" w:hanging="244"/>
        <w:spacing w:after="0"/>
        <w:tabs>
          <w:tab w:leader="none" w:pos="2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During the last five years, neither the Reporting Person nor any Person named on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has been a party to a civil proceeding of a judicial or</w:t>
      </w:r>
    </w:p>
    <w:p>
      <w:pPr>
        <w:spacing w:after="0" w:line="50" w:lineRule="exact"/>
        <w:rPr>
          <w:rFonts w:ascii="Arial" w:cs="Arial" w:eastAsia="Arial" w:hAnsi="Arial"/>
          <w:sz w:val="16"/>
          <w:szCs w:val="16"/>
          <w:color w:val="auto"/>
        </w:rPr>
      </w:pPr>
    </w:p>
    <w:p>
      <w:pPr>
        <w:ind w:left="4" w:right="20"/>
        <w:spacing w:after="0" w:line="290" w:lineRule="auto"/>
        <w:rPr>
          <w:rFonts w:ascii="Arial" w:cs="Arial" w:eastAsia="Arial" w:hAnsi="Arial"/>
          <w:sz w:val="16"/>
          <w:szCs w:val="16"/>
          <w:color w:val="auto"/>
        </w:rPr>
      </w:pPr>
      <w:r>
        <w:rPr>
          <w:rFonts w:ascii="Arial" w:cs="Arial" w:eastAsia="Arial" w:hAnsi="Arial"/>
          <w:sz w:val="17"/>
          <w:szCs w:val="17"/>
          <w:color w:val="auto"/>
        </w:rPr>
        <w:t>administrative body of competent jurisdiction resulting in he, she or it being subject to a judgment, decree or final order enjoining future violations of, or prohibiting or mandating activities subject to, federal or state securities laws or finding any violation with respect to such laws.</w:t>
      </w:r>
    </w:p>
    <w:p>
      <w:pPr>
        <w:spacing w:after="0" w:line="30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3 of the Schedule 13D is hereby amended and restated in its entirety to read:</w:t>
      </w:r>
    </w:p>
    <w:p>
      <w:pPr>
        <w:spacing w:after="0" w:line="22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This Schedule 13D relates to the Reporting Person’s purchase from the Issuer of (i) 2,400,000 shares of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on June 19, 2019, at a price of $10.00 per share, for an aggregate purchase price of $24 million and (ii) 600,000 shares of Common Stock (the “</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on May 20, 2020, at a price of $16.00 per share, for an aggregate purchase price of $9,600,000. The Shares and the Additional Shares were purchased by the Reporting Person with its working capital.</w:t>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4 of the Schedule 13D is hereby amended and restated in its entirety to read:</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On June 19, 2019, the Reporting Person purchased the Shares in a private placement transaction with the Issuer for an aggregate purchase price of $24 million, pursuant to an Equity Purchase Agreement (the “</w:t>
      </w:r>
      <w:r>
        <w:rPr>
          <w:rFonts w:ascii="Arial" w:cs="Arial" w:eastAsia="Arial" w:hAnsi="Arial"/>
          <w:sz w:val="18"/>
          <w:szCs w:val="18"/>
          <w:b w:val="1"/>
          <w:bCs w:val="1"/>
          <w:i w:val="1"/>
          <w:iCs w:val="1"/>
          <w:color w:val="auto"/>
        </w:rPr>
        <w:t>Equity Purchase Agreement</w:t>
      </w:r>
      <w:r>
        <w:rPr>
          <w:rFonts w:ascii="Arial" w:cs="Arial" w:eastAsia="Arial" w:hAnsi="Arial"/>
          <w:sz w:val="18"/>
          <w:szCs w:val="18"/>
          <w:color w:val="auto"/>
        </w:rPr>
        <w:t>”), dated as of June 18, 2019. In connection with the Equity Purchase Agreement, the Reporting Person entered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with the Issuer, dated as of June 18, 2019.</w:t>
      </w:r>
    </w:p>
    <w:p>
      <w:pPr>
        <w:sectPr>
          <w:pgSz w:w="11900" w:h="16838" w:orient="portrait"/>
          <w:cols w:equalWidth="0" w:num="1">
            <w:col w:w="11024"/>
          </w:cols>
          <w:pgMar w:left="436"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w:t>
      </w:r>
    </w:p>
    <w:p>
      <w:pPr>
        <w:spacing w:after="0" w:line="15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Pursuant to the Equity Purchase Agreement, in addition to the Shares, the Reporting Person had an option to purchase the Additional Shares, for a purchase price per Additional Share of $16.00, subject to adjustment, for a period of two years, subject to adjustment as described below.</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May 13, 2020, the Reporting Person delivered an exercise notice to the Issuer under the Equity Purchase Agreement for the purchase of all 600,000 Additional Shares for an aggregate purchase price of $9,600,000. Such purchase (the “</w:t>
      </w:r>
      <w:r>
        <w:rPr>
          <w:rFonts w:ascii="Arial" w:cs="Arial" w:eastAsia="Arial" w:hAnsi="Arial"/>
          <w:sz w:val="18"/>
          <w:szCs w:val="18"/>
          <w:b w:val="1"/>
          <w:bCs w:val="1"/>
          <w:i w:val="1"/>
          <w:iCs w:val="1"/>
          <w:color w:val="auto"/>
        </w:rPr>
        <w:t>Additional Share Purchase</w:t>
      </w:r>
      <w:r>
        <w:rPr>
          <w:rFonts w:ascii="Arial" w:cs="Arial" w:eastAsia="Arial" w:hAnsi="Arial"/>
          <w:sz w:val="18"/>
          <w:szCs w:val="18"/>
          <w:color w:val="auto"/>
        </w:rPr>
        <w:t>”) was consummated on May 20,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Equity Purchase Agreement, until the later of (i) the first anniversary of the closing date or (ii) the date on which the Reporting Person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beneficially owns less than 8.0% of the total voting power of the Issuer, at each annual stockholders meeting or any stockholders meeting at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are to be elected, the Issuer must nominate one director designated by the Reporting Person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Designee</w:t>
      </w:r>
      <w:r>
        <w:rPr>
          <w:rFonts w:ascii="Arial" w:cs="Arial" w:eastAsia="Arial" w:hAnsi="Arial"/>
          <w:sz w:val="16"/>
          <w:szCs w:val="16"/>
          <w:color w:val="auto"/>
        </w:rPr>
        <w:t>”). The Reporting Person also has the right to have its chief executive officer attend Board meetings as a non-voting observer.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Person’s initial Investor Designee is Karah Parschauer, the Executive Vice President and General Counsel of the Reporting Person.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19, 2019, the Issuer appointed Karah Parschauer to the Board.</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Pursuant to the Equity Purchase Agreement, the Reporting Person agreed to certain standstill restrictions restricting the Reporting Person’s ability to acquire additional shares of the Company that would cause the Reporting Person to own more than 19.99% of the then-issued and outstanding shares of Common Stock, engage in any solicitation of proxies, form a “13D group” or publicly disclose actions or intentions inconsistent with the foregoing, in each case subject to certain exceptions. The standstill restrictions generally terminate on June 19, 2021, unless they are terminated earlier upon the occurrence of certain circumstances described in the Equity Purchase Agreement.</w:t>
      </w:r>
    </w:p>
    <w:p>
      <w:pPr>
        <w:spacing w:after="0" w:line="17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addition, pursuant to the Equity Purchase Agreement, the Reporting Person agreed to certain transfer restrictions on the Reporting Person’s ability to sell the Shares or Additional Shares. These transfer restrictions generally terminate on the six-month anniversary of the consummation of the Additional Share Purchase, unless they are terminated earlier upon the occurrence of certain circumstances described in the Equity Purchase Agreement.</w:t>
      </w:r>
    </w:p>
    <w:p>
      <w:pPr>
        <w:spacing w:after="0" w:line="1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description of the Equity Purchase Agreement does not purport to be complete and is qualified in its entirety by reference to the full text of the Equity Purchase Agreement, a copy of which is attached as Exhibit 10.1 to this Schedule 13D,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above or as would occur upon or in connection with completion of, or following, any of the actions set forth below, the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has no present plan or proposal which would relate to or result in any of the matters set forth in subparagraphs (a) - (j) of Item 4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13D. The Reporting Person intends to review its investment in the Issuer on a continuing basis. Subject to the Reporting Person’s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Equity Purchase Agreement, depending on various factors including, without limitation, the Issuer’s financial position and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strategy, the price levels of the Common Stock, conditions in the securities markets and general economic and industry conditions, the Reporting Person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in the future take such actions with respect to its investment in the Issuer as it deems appropriate including, without limitation, engaging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with management and the Board, engaging in discussions with stockholders of the Issuer or other third parties about the Issuer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Person’s investment, including potential business combinations or dispositions involving the Issuer or certain of its businesses, making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recommendations or proposals to the Issuer concerning changes to the capitalization, ownership structure, board structure (including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composition), potential business combinations or dispositions involving the Issuer or certain of its businesses, or suggestions for improving the Issuer’s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and/or operational performance, purchasing additional Common Stock, selling some or all of the Common Stock owned by the Reporting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Person, engaging in short selling of or any hedging or similar transaction with respect to the Common Stock, including swaps and other derivative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instruments, or changing its intention with respect to any and all matters referred to in Item 4.</w:t>
      </w:r>
    </w:p>
    <w:p>
      <w:pPr>
        <w:sectPr>
          <w:pgSz w:w="11900" w:h="16838" w:orient="portrait"/>
          <w:cols w:equalWidth="0" w:num="1">
            <w:col w:w="11020"/>
          </w:cols>
          <w:pgMar w:left="440"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w:t>
      </w:r>
    </w:p>
    <w:p>
      <w:pPr>
        <w:spacing w:after="0" w:line="15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to read:</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With respect to the ownership described herein, the beneficial ownership and percentages are calculated based upon 20,492,286 outstanding shares of Common Stock, based on information provided by the Issuer as of May 22, 2020.</w:t>
      </w:r>
    </w:p>
    <w:p>
      <w:pPr>
        <w:spacing w:after="0" w:line="76" w:lineRule="exact"/>
        <w:rPr>
          <w:sz w:val="20"/>
          <w:szCs w:val="20"/>
          <w:color w:val="auto"/>
        </w:rPr>
      </w:pPr>
    </w:p>
    <w:p>
      <w:pPr>
        <w:ind w:left="424" w:right="100" w:hanging="424"/>
        <w:spacing w:after="0" w:line="291"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the date hereof, the Reporting Person beneficially owns an aggregate of 3,000,000 shares of Common Stock, which represents 14.6% of the outstanding Common Stock. As of the date hereof, in accordance with the Issuer’s director compensation policy, the Issuer granted</w:t>
      </w:r>
    </w:p>
    <w:p>
      <w:pPr>
        <w:ind w:left="424" w:right="2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Ms. Parschauer, the Executive Vice President and General Counsel of the Reporting Person and a director of the Issuer, options to purchase 35,000 shares of Common Stock, of which 16,666 are exercisable within 60 days of the date hereof, for her service as a director of the Issuer. As long as Ms. Parschauer remains a director of the Issuer, it is anticipated that she will continue to receive equity grants in accordance with the Issuer’s director compensation policy. Except as described in this Item 5, neither the Reporting Person nor, to the knowledge of the Reporting Person, any of the other persons listed on </w:t>
      </w:r>
      <w:r>
        <w:rPr>
          <w:rFonts w:ascii="Arial" w:cs="Arial" w:eastAsia="Arial" w:hAnsi="Arial"/>
          <w:sz w:val="17"/>
          <w:szCs w:val="17"/>
          <w:b w:val="1"/>
          <w:bCs w:val="1"/>
          <w:color w:val="auto"/>
        </w:rPr>
        <w:t>Schedule I</w:t>
      </w:r>
      <w:r>
        <w:rPr>
          <w:rFonts w:ascii="Arial" w:cs="Arial" w:eastAsia="Arial" w:hAnsi="Arial"/>
          <w:sz w:val="17"/>
          <w:szCs w:val="17"/>
          <w:color w:val="auto"/>
        </w:rPr>
        <w:t xml:space="preserve"> hereto beneficially owns any other securities of the Issuer.</w:t>
      </w:r>
    </w:p>
    <w:p>
      <w:pPr>
        <w:spacing w:after="0" w:line="83"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date hereof, the Reporting Person has the sole power to vote or direct the vote and sole power to dispose or to direct the disposition of 3,000,000 shares of Common Stock.</w:t>
      </w:r>
    </w:p>
    <w:p>
      <w:pPr>
        <w:spacing w:after="0" w:line="75" w:lineRule="exact"/>
        <w:rPr>
          <w:rFonts w:ascii="Arial" w:cs="Arial" w:eastAsia="Arial" w:hAnsi="Arial"/>
          <w:sz w:val="18"/>
          <w:szCs w:val="18"/>
          <w:color w:val="auto"/>
        </w:rPr>
      </w:pPr>
    </w:p>
    <w:p>
      <w:pPr>
        <w:ind w:left="424" w:right="380" w:hanging="424"/>
        <w:spacing w:after="0" w:line="26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Reference is made to the discussion in Equity Purchase Agreement and the Additional Share Purchase described in Item 4. Except as set forth herein, neither the Reporting Person nor, to the knowledge of the Reporting Person, any of the other persons listed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 has effected any transactions in shares of the Issuer’s Common Stock during the last 60 days.</w:t>
      </w:r>
    </w:p>
    <w:p>
      <w:pPr>
        <w:spacing w:after="0" w:line="89"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other person is known to the Reporting Person to have the right to receive or the power to direct the receipt of dividends from, or the proceeds from the sale of, the Shares or the Additional Shares covered by this Schedule 13D.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57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Material to be Filed as Exhibits</w:t>
            </w:r>
          </w:p>
        </w:tc>
        <w:tc>
          <w:tcPr>
            <w:tcW w:w="0" w:type="dxa"/>
            <w:vAlign w:val="bottom"/>
          </w:tcPr>
          <w:p>
            <w:pPr>
              <w:spacing w:after="0"/>
              <w:rPr>
                <w:sz w:val="1"/>
                <w:szCs w:val="1"/>
                <w:color w:val="auto"/>
              </w:rPr>
            </w:pPr>
          </w:p>
        </w:tc>
      </w:tr>
      <w:tr>
        <w:trPr>
          <w:trHeight w:val="369"/>
        </w:trPr>
        <w:tc>
          <w:tcPr>
            <w:tcW w:w="2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760" w:type="dxa"/>
            <w:vAlign w:val="bottom"/>
            <w:gridSpan w:val="2"/>
            <w:vMerge w:val="restart"/>
          </w:tcPr>
          <w:p>
            <w:pPr>
              <w:ind w:left="50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324" w:right="600" w:hanging="1322"/>
        <w:spacing w:after="0" w:line="342" w:lineRule="auto"/>
        <w:tabs>
          <w:tab w:leader="none" w:pos="1304"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Equity Purchase Agreement, dated June 18, 2019, by and between the Issuer and the Reporting Person (incorporated herein by reference to Exhibit 10.1 to the Current Report on Form 8-K of the Issuer filed with the Commission on June 20, 2019).</w:t>
      </w:r>
    </w:p>
    <w:p>
      <w:pPr>
        <w:spacing w:after="0" w:line="16" w:lineRule="exact"/>
        <w:rPr>
          <w:sz w:val="20"/>
          <w:szCs w:val="20"/>
          <w:color w:val="auto"/>
        </w:rPr>
      </w:pPr>
    </w:p>
    <w:p>
      <w:pPr>
        <w:ind w:left="1324" w:right="380" w:hanging="1322"/>
        <w:spacing w:after="0" w:line="342" w:lineRule="auto"/>
        <w:tabs>
          <w:tab w:leader="none" w:pos="1304"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6"/>
          <w:szCs w:val="16"/>
          <w:color w:val="auto"/>
        </w:rPr>
        <w:t>Registration Rights Agreement, dated June 18, 2019, by and between the Issuer and the Reporting Person (incorporated herein by reference to Exhibit 10.2 to the Current Report on Form 8-K of the Issuer filed with the Commission on June 20, 2019).</w:t>
      </w:r>
    </w:p>
    <w:p>
      <w:pPr>
        <w:sectPr>
          <w:pgSz w:w="11900" w:h="16838" w:orient="portrait"/>
          <w:cols w:equalWidth="0" w:num="1">
            <w:col w:w="11024"/>
          </w:cols>
          <w:pgMar w:left="436" w:top="274" w:right="439" w:bottom="1440" w:gutter="0" w:footer="0" w:header="0"/>
        </w:sectPr>
      </w:pPr>
    </w:p>
    <w:bookmarkStart w:id="5" w:name="page6"/>
    <w:bookmarkEnd w:id="5"/>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Karah 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Karah Parschauer</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and General Counsel</w:t>
      </w:r>
    </w:p>
    <w:p>
      <w:pPr>
        <w:sectPr>
          <w:pgSz w:w="11900" w:h="16838" w:orient="portrait"/>
          <w:cols w:equalWidth="0" w:num="1">
            <w:col w:w="10560"/>
          </w:cols>
          <w:pgMar w:left="440" w:top="270" w:right="8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THE REPORTING PERSON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name, present principal occupation, principal business address and citizenship of each executive officer and director of the Reporting Person is set forth below. The business address of each executive officer and director of the Reporting Person is c/o Ultragenyx Pharmaceutical Inc., 60 Leveroni Court, Novato, CA 94949.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 Occupation</w:t>
            </w:r>
          </w:p>
        </w:tc>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Citizenship</w:t>
            </w:r>
          </w:p>
        </w:tc>
      </w:tr>
      <w:tr>
        <w:trPr>
          <w:trHeight w:val="224"/>
        </w:trPr>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Borders>
              <w:top w:val="single" w:sz="8" w:color="auto"/>
            </w:tcBorders>
          </w:tcPr>
          <w:p>
            <w:pPr>
              <w:spacing w:after="0"/>
              <w:rPr>
                <w:sz w:val="19"/>
                <w:szCs w:val="19"/>
                <w:color w:val="auto"/>
              </w:rPr>
            </w:pPr>
          </w:p>
        </w:tc>
      </w:tr>
      <w:tr>
        <w:trPr>
          <w:trHeight w:val="295"/>
        </w:trPr>
        <w:tc>
          <w:tcPr>
            <w:tcW w:w="3860" w:type="dxa"/>
            <w:vAlign w:val="bottom"/>
          </w:tcPr>
          <w:p>
            <w:pPr>
              <w:spacing w:after="0"/>
              <w:rPr>
                <w:sz w:val="20"/>
                <w:szCs w:val="20"/>
                <w:color w:val="auto"/>
              </w:rPr>
            </w:pPr>
            <w:r>
              <w:rPr>
                <w:rFonts w:ascii="Arial" w:cs="Arial" w:eastAsia="Arial" w:hAnsi="Arial"/>
                <w:sz w:val="18"/>
                <w:szCs w:val="18"/>
                <w:color w:val="auto"/>
              </w:rPr>
              <w:t>Emil D. Kakkis, M.D.,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 of the 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Camille L. Bedrosian, M.D.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Medical Officer and Executive Vice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of the 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Erik Harris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Commercial Officer and Executive Vice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of the 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Dennis Huang</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Technical Operations Officer and</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of the Reporting</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Thomas Kassberg</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Business Officer and Executive Vice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of the 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Karah Parschauer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6"/>
              </w:rPr>
              <w:t>General Counsel and Executive Vice President</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of the 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John R. Pinion II</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Quality Officer and Executive Vice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of Translational Sciences of the</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Reporting Person</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Shalini Sharp</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Executive Vice</w:t>
            </w:r>
          </w:p>
        </w:tc>
        <w:tc>
          <w:tcPr>
            <w:tcW w:w="3420" w:type="dxa"/>
            <w:vAlign w:val="bottom"/>
          </w:tcPr>
          <w:p>
            <w:pPr>
              <w:ind w:left="20"/>
              <w:spacing w:after="0" w:line="309" w:lineRule="exact"/>
              <w:rPr>
                <w:sz w:val="20"/>
                <w:szCs w:val="20"/>
                <w:color w:val="auto"/>
              </w:rPr>
            </w:pPr>
            <w:r>
              <w:rPr>
                <w:rFonts w:ascii="Arial" w:cs="Arial" w:eastAsia="Arial" w:hAnsi="Arial"/>
                <w:sz w:val="18"/>
                <w:szCs w:val="18"/>
                <w:color w:val="auto"/>
              </w:rPr>
              <w:t>United States of America</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29"/>
                <w:szCs w:val="29"/>
                <w:color w:val="auto"/>
                <w:vertAlign w:val="subscript"/>
              </w:rPr>
              <w:t>4</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of the Reporting Person</w:t>
            </w:r>
          </w:p>
        </w:tc>
        <w:tc>
          <w:tcPr>
            <w:tcW w:w="3420" w:type="dxa"/>
            <w:vAlign w:val="bottom"/>
          </w:tcPr>
          <w:p>
            <w:pPr>
              <w:spacing w:after="0"/>
              <w:rPr>
                <w:sz w:val="20"/>
                <w:szCs w:val="20"/>
                <w:color w:val="auto"/>
              </w:rPr>
            </w:pPr>
          </w:p>
        </w:tc>
      </w:tr>
      <w:tr>
        <w:trPr>
          <w:trHeight w:val="540"/>
        </w:trPr>
        <w:tc>
          <w:tcPr>
            <w:tcW w:w="386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William Aliski</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Biotechnology Executive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Deborah Dunsire, M.D.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of H.</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Lundbeck A/S</w:t>
            </w:r>
          </w:p>
        </w:tc>
        <w:tc>
          <w:tcPr>
            <w:tcW w:w="3420" w:type="dxa"/>
            <w:vAlign w:val="bottom"/>
          </w:tcPr>
          <w:p>
            <w:pPr>
              <w:spacing w:after="0"/>
              <w:rPr>
                <w:sz w:val="20"/>
                <w:szCs w:val="20"/>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Lars Ekman, M.D.,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Executive Partner, Sofinnova Investments</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Matthew K. Fust</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Former Executive Vice President &amp; Chief</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Financial Officer, Onyx Pharmaceutical, Inc.</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Michael Narachi</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President and Chief Executive Officer, CODA</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Biotherapeutics, Inc.</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Clay B. Siegall, Ph.D.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Chairman of the Board, Seattle Genetics, Inc.</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Shehnaaz Suliman, M.D., M.Phil., M.B.A.</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and Chief Operating Officer of</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Alector, Inc.</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Daniel G. Welch</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 of the</w:t>
            </w:r>
          </w:p>
        </w:tc>
        <w:tc>
          <w:tcPr>
            <w:tcW w:w="342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Reporting Person</w:t>
            </w:r>
          </w:p>
        </w:tc>
        <w:tc>
          <w:tcPr>
            <w:tcW w:w="34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6"/>
      <w:numFmt w:val="bullet"/>
      <w:start w:val="1"/>
    </w:lvl>
  </w:abstractNum>
  <w:abstractNum w:abstractNumId="7">
    <w:nsid w:val="3352255A"/>
    <w:multiLevelType w:val="hybridMultilevel"/>
    <w:lvl w:ilvl="0">
      <w:lvlJc w:val="left"/>
      <w:lvlText w:val="7"/>
      <w:numFmt w:val="bullet"/>
      <w:start w:val="1"/>
    </w:lvl>
  </w:abstractNum>
  <w:abstractNum w:abstractNumId="8">
    <w:nsid w:val="109CF92E"/>
    <w:multiLevelType w:val="hybridMultilevel"/>
    <w:lvl w:ilvl="0">
      <w:lvlJc w:val="left"/>
      <w:lvlText w:val="8"/>
      <w:numFmt w:val="bullet"/>
      <w:start w:val="1"/>
    </w:lvl>
  </w:abstractNum>
  <w:abstractNum w:abstractNumId="9">
    <w:nsid w:val="DED7263"/>
    <w:multiLevelType w:val="hybridMultilevel"/>
    <w:lvl w:ilvl="0">
      <w:lvlJc w:val="left"/>
      <w:lvlText w:val="9"/>
      <w:numFmt w:val="bullet"/>
      <w:start w:val="1"/>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2"/>
    </w:lvl>
  </w:abstractNum>
  <w:abstractNum w:abstractNumId="13">
    <w:nsid w:val="6B68079A"/>
    <w:multiLevelType w:val="hybridMultilevel"/>
    <w:lvl w:ilvl="0">
      <w:lvlJc w:val="left"/>
      <w:lvlText w:val="%1"/>
      <w:numFmt w:val="decimal"/>
      <w:start w:val="13"/>
    </w:lvl>
  </w:abstractNum>
  <w:abstractNum w:abstractNumId="14">
    <w:nsid w:val="4E6AFB66"/>
    <w:multiLevelType w:val="hybridMultilevel"/>
    <w:lvl w:ilvl="0">
      <w:lvlJc w:val="left"/>
      <w:lvlText w:val="%1"/>
      <w:numFmt w:val="decimal"/>
      <w:start w:val="1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2020-05-22T16:22:04Z</dcterms:created>
  <dcterms:modified xsi:type="dcterms:W3CDTF">2020-05-22T16:22:04Z</dcterms:modified>
</cp:coreProperties>
</file>