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rPr>
          <w:sz w:val="20"/>
          <w:szCs w:val="20"/>
          <w:color w:val="auto"/>
        </w:rPr>
      </w:pPr>
      <w:r>
        <w:rPr>
          <w:rFonts w:ascii="Courier New" w:cs="Courier New" w:eastAsia="Courier New" w:hAnsi="Courier New"/>
          <w:sz w:val="18"/>
          <w:szCs w:val="18"/>
          <w:color w:val="auto"/>
        </w:rPr>
        <w:t>(Amendment No. _____)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Alcobra</w:t>
      </w:r>
    </w:p>
    <w:p>
      <w:pPr>
        <w:ind w:left="1380"/>
        <w:spacing w:after="0" w:line="238" w:lineRule="auto"/>
        <w:rPr>
          <w:sz w:val="20"/>
          <w:szCs w:val="20"/>
          <w:color w:val="auto"/>
        </w:rPr>
      </w:pPr>
      <w:r>
        <w:rPr>
          <w:rFonts w:ascii="Courier New" w:cs="Courier New" w:eastAsia="Courier New" w:hAnsi="Courier New"/>
          <w:sz w:val="18"/>
          <w:szCs w:val="18"/>
          <w:color w:val="auto"/>
        </w:rPr>
        <w:t>________Alcobra, Ltd. _________________</w:t>
      </w:r>
    </w:p>
    <w:p>
      <w:pPr>
        <w:ind w:left="7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1900"/>
        <w:spacing w:after="0" w:line="238" w:lineRule="auto"/>
        <w:rPr>
          <w:sz w:val="20"/>
          <w:szCs w:val="20"/>
          <w:color w:val="auto"/>
        </w:rPr>
      </w:pPr>
      <w:r>
        <w:rPr>
          <w:rFonts w:ascii="Courier New" w:cs="Courier New" w:eastAsia="Courier New" w:hAnsi="Courier New"/>
          <w:sz w:val="18"/>
          <w:szCs w:val="18"/>
          <w:color w:val="auto"/>
        </w:rPr>
        <w:t>_______________________________________________</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___________________M2239P109______________________</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259"/>
        <w:spacing w:after="0"/>
        <w:rPr>
          <w:sz w:val="20"/>
          <w:szCs w:val="20"/>
          <w:color w:val="auto"/>
        </w:rPr>
      </w:pPr>
      <w:r>
        <w:rPr>
          <w:rFonts w:ascii="Courier New" w:cs="Courier New" w:eastAsia="Courier New" w:hAnsi="Courier New"/>
          <w:sz w:val="18"/>
          <w:szCs w:val="18"/>
          <w:color w:val="auto"/>
        </w:rPr>
        <w:t>with a copy to:</w:t>
      </w:r>
    </w:p>
    <w:p>
      <w:pPr>
        <w:spacing w:after="0"/>
        <w:tabs>
          <w:tab w:leader="none" w:pos="2520" w:val="left"/>
        </w:tabs>
        <w:rPr>
          <w:sz w:val="20"/>
          <w:szCs w:val="20"/>
          <w:color w:val="auto"/>
        </w:rPr>
      </w:pPr>
      <w:r>
        <w:rPr>
          <w:rFonts w:ascii="Courier New" w:cs="Courier New" w:eastAsia="Courier New" w:hAnsi="Courier New"/>
          <w:sz w:val="18"/>
          <w:szCs w:val="18"/>
          <w:color w:val="auto"/>
        </w:rPr>
        <w:t>Austin W. Marxe</w:t>
      </w:r>
      <w:r>
        <w:rPr>
          <w:sz w:val="20"/>
          <w:szCs w:val="20"/>
          <w:color w:val="auto"/>
        </w:rPr>
        <w:tab/>
      </w:r>
      <w:r>
        <w:rPr>
          <w:rFonts w:ascii="Courier New" w:cs="Courier New" w:eastAsia="Courier New" w:hAnsi="Courier New"/>
          <w:sz w:val="16"/>
          <w:szCs w:val="16"/>
          <w:color w:val="auto"/>
        </w:rPr>
        <w:t>Allen B. Levithan, Esq.</w:t>
      </w:r>
    </w:p>
    <w:p>
      <w:pPr>
        <w:spacing w:after="0"/>
        <w:tabs>
          <w:tab w:leader="none" w:pos="4200" w:val="left"/>
        </w:tabs>
        <w:rPr>
          <w:sz w:val="20"/>
          <w:szCs w:val="20"/>
          <w:color w:val="auto"/>
        </w:rPr>
      </w:pPr>
      <w:r>
        <w:rPr>
          <w:rFonts w:ascii="Courier New" w:cs="Courier New" w:eastAsia="Courier New" w:hAnsi="Courier New"/>
          <w:sz w:val="18"/>
          <w:szCs w:val="18"/>
          <w:color w:val="auto"/>
        </w:rPr>
        <w:t>527 Madison Avenue, Suite 2600</w:t>
      </w:r>
      <w:r>
        <w:rPr>
          <w:sz w:val="20"/>
          <w:szCs w:val="20"/>
          <w:color w:val="auto"/>
        </w:rPr>
        <w:tab/>
      </w:r>
      <w:r>
        <w:rPr>
          <w:rFonts w:ascii="Courier New" w:cs="Courier New" w:eastAsia="Courier New" w:hAnsi="Courier New"/>
          <w:sz w:val="16"/>
          <w:szCs w:val="16"/>
          <w:color w:val="auto"/>
        </w:rPr>
        <w:t>Lowenstein Sandler PC</w:t>
      </w:r>
    </w:p>
    <w:p>
      <w:pPr>
        <w:spacing w:after="0"/>
        <w:tabs>
          <w:tab w:leader="none" w:pos="4200" w:val="left"/>
        </w:tabs>
        <w:rPr>
          <w:sz w:val="20"/>
          <w:szCs w:val="20"/>
          <w:color w:val="auto"/>
        </w:rPr>
      </w:pPr>
      <w:r>
        <w:rPr>
          <w:rFonts w:ascii="Courier New" w:cs="Courier New" w:eastAsia="Courier New" w:hAnsi="Courier New"/>
          <w:sz w:val="18"/>
          <w:szCs w:val="18"/>
          <w:color w:val="auto"/>
        </w:rPr>
        <w:t>New York, New York 10022</w:t>
      </w:r>
      <w:r>
        <w:rPr>
          <w:sz w:val="20"/>
          <w:szCs w:val="20"/>
          <w:color w:val="auto"/>
        </w:rPr>
        <w:tab/>
      </w:r>
      <w:r>
        <w:rPr>
          <w:rFonts w:ascii="Courier New" w:cs="Courier New" w:eastAsia="Courier New" w:hAnsi="Courier New"/>
          <w:sz w:val="16"/>
          <w:szCs w:val="16"/>
          <w:color w:val="auto"/>
        </w:rPr>
        <w:t>65 Livingston Avenue</w:t>
      </w:r>
    </w:p>
    <w:p>
      <w:pPr>
        <w:ind w:left="2540"/>
        <w:spacing w:after="0" w:line="238" w:lineRule="auto"/>
        <w:rPr>
          <w:sz w:val="20"/>
          <w:szCs w:val="20"/>
          <w:color w:val="auto"/>
        </w:rPr>
      </w:pPr>
      <w:r>
        <w:rPr>
          <w:rFonts w:ascii="Courier New" w:cs="Courier New" w:eastAsia="Courier New" w:hAnsi="Courier New"/>
          <w:sz w:val="18"/>
          <w:szCs w:val="18"/>
          <w:color w:val="auto"/>
        </w:rPr>
        <w:t>Roseland, New Jersey 07068</w:t>
      </w:r>
    </w:p>
    <w:p>
      <w:pPr>
        <w:ind w:left="2540"/>
        <w:spacing w:after="0"/>
        <w:rPr>
          <w:sz w:val="20"/>
          <w:szCs w:val="20"/>
          <w:color w:val="auto"/>
        </w:rPr>
      </w:pPr>
      <w:r>
        <w:rPr>
          <w:rFonts w:ascii="Courier New" w:cs="Courier New" w:eastAsia="Courier New" w:hAnsi="Courier New"/>
          <w:sz w:val="18"/>
          <w:szCs w:val="18"/>
          <w:color w:val="auto"/>
        </w:rPr>
        <w:t>(973) 597-2406</w:t>
      </w:r>
    </w:p>
    <w:p>
      <w:pPr>
        <w:spacing w:after="0" w:line="206" w:lineRule="exact"/>
        <w:rPr>
          <w:sz w:val="24"/>
          <w:szCs w:val="24"/>
          <w:color w:val="auto"/>
        </w:rPr>
      </w:pPr>
    </w:p>
    <w:p>
      <w:pPr>
        <w:ind w:right="5059"/>
        <w:spacing w:after="0" w:line="290"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____</w:t>
            </w:r>
          </w:p>
        </w:tc>
        <w:tc>
          <w:tcPr>
            <w:tcW w:w="15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_x__</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____</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Cusip No. M2239P109</w:t>
            </w:r>
          </w:p>
        </w:tc>
        <w:tc>
          <w:tcPr>
            <w:tcW w:w="680" w:type="dxa"/>
            <w:vAlign w:val="bottom"/>
          </w:tcPr>
          <w:p>
            <w:pPr>
              <w:ind w:left="36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1.Names of Reporting Persons.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(entities only):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8" w:lineRule="exact"/>
        <w:rPr>
          <w:sz w:val="24"/>
          <w:szCs w:val="24"/>
          <w:color w:val="auto"/>
        </w:rPr>
      </w:pPr>
    </w:p>
    <w:p>
      <w:pPr>
        <w:ind w:left="2620"/>
        <w:spacing w:after="0"/>
        <w:rPr>
          <w:sz w:val="20"/>
          <w:szCs w:val="20"/>
          <w:color w:val="auto"/>
        </w:rPr>
      </w:pPr>
      <w:r>
        <w:rPr>
          <w:rFonts w:ascii="Courier New" w:cs="Courier New" w:eastAsia="Courier New" w:hAnsi="Courier New"/>
          <w:sz w:val="18"/>
          <w:szCs w:val="18"/>
          <w:color w:val="auto"/>
        </w:rPr>
        <w:t>Page 2 of 6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419" w:lineRule="exact"/>
        <w:rPr>
          <w:sz w:val="24"/>
          <w:szCs w:val="24"/>
          <w:color w:val="auto"/>
        </w:rPr>
      </w:pPr>
    </w:p>
    <w:p>
      <w:pPr>
        <w:sectPr>
          <w:pgSz w:w="11900" w:h="16855" w:orient="portrait"/>
          <w:cols w:equalWidth="0" w:num="2">
            <w:col w:w="3060" w:space="220"/>
            <w:col w:w="6939"/>
          </w:cols>
          <w:pgMar w:left="240" w:top="244" w:right="1440" w:bottom="0" w:gutter="0" w:footer="0" w:header="0"/>
          <w:type w:val="continuous"/>
        </w:sectPr>
      </w:pPr>
    </w:p>
    <w:p>
      <w:pPr>
        <w:spacing w:after="0" w:line="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Austin W. Marxe, David M. Greenhouse and Adam C. Stettner</w:t>
      </w:r>
    </w:p>
    <w:p>
      <w:pPr>
        <w:spacing w:after="0" w:line="200" w:lineRule="exact"/>
        <w:rPr>
          <w:sz w:val="24"/>
          <w:szCs w:val="24"/>
          <w:color w:val="auto"/>
        </w:rPr>
      </w:pPr>
    </w:p>
    <w:p>
      <w:pPr>
        <w:spacing w:after="0" w:line="204" w:lineRule="exact"/>
        <w:rPr>
          <w:sz w:val="24"/>
          <w:szCs w:val="24"/>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Instructions):</w:t>
      </w:r>
    </w:p>
    <w:p>
      <w:pPr>
        <w:ind w:left="860"/>
        <w:spacing w:after="0"/>
        <w:tabs>
          <w:tab w:leader="none" w:pos="1680" w:val="left"/>
          <w:tab w:leader="none" w:pos="2200" w:val="left"/>
          <w:tab w:leader="none" w:pos="3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Not Applicable</w:t>
      </w:r>
    </w:p>
    <w:p>
      <w:pPr>
        <w:ind w:left="860"/>
        <w:spacing w:after="0"/>
        <w:tabs>
          <w:tab w:leader="none" w:pos="1680" w:val="left"/>
          <w:tab w:leader="none" w:pos="2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(See Instructions):  00</w:t>
      </w:r>
    </w:p>
    <w:p>
      <w:pPr>
        <w:spacing w:after="0" w:line="206" w:lineRule="exact"/>
        <w:rPr>
          <w:rFonts w:ascii="Courier New" w:cs="Courier New" w:eastAsia="Courier New" w:hAnsi="Courier New"/>
          <w:sz w:val="18"/>
          <w:szCs w:val="18"/>
          <w:color w:val="auto"/>
        </w:rPr>
      </w:pPr>
    </w:p>
    <w:p>
      <w:pPr>
        <w:ind w:right="1779" w:firstLine="851"/>
        <w:spacing w:after="0" w:line="235" w:lineRule="auto"/>
        <w:tabs>
          <w:tab w:leader="none" w:pos="168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 2(d) or 2(e):</w:t>
      </w:r>
    </w:p>
    <w:p>
      <w:pPr>
        <w:jc w:val="center"/>
        <w:ind w:right="1999"/>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w:t>
      </w:r>
    </w:p>
    <w:p>
      <w:pPr>
        <w:spacing w:after="0"/>
        <w:rPr>
          <w:sz w:val="20"/>
          <w:szCs w:val="20"/>
          <w:color w:val="auto"/>
        </w:rPr>
      </w:pPr>
      <w:r>
        <w:rPr>
          <w:rFonts w:ascii="Courier New" w:cs="Courier New" w:eastAsia="Courier New" w:hAnsi="Courier New"/>
          <w:sz w:val="18"/>
          <w:szCs w:val="18"/>
          <w:color w:val="auto"/>
        </w:rPr>
        <w:t>_</w:t>
      </w:r>
    </w:p>
    <w:p>
      <w:pPr>
        <w:ind w:left="1280" w:hanging="640"/>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r>
        <w:rPr>
          <w:rFonts w:ascii="Courier New" w:cs="Courier New" w:eastAsia="Courier New" w:hAnsi="Courier New"/>
          <w:sz w:val="16"/>
          <w:szCs w:val="16"/>
          <w:color w:val="auto"/>
        </w:rPr>
        <w:t>United States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_____________________________________________________________________________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tbl>
      <w:tblPr>
        <w:tblLayout w:type="fixed"/>
        <w:tblInd w:w="860" w:type="dxa"/>
        <w:tblCellMar>
          <w:top w:w="0" w:type="dxa"/>
          <w:left w:w="0" w:type="dxa"/>
          <w:bottom w:w="0" w:type="dxa"/>
          <w:right w:w="0" w:type="dxa"/>
        </w:tblCellMar>
      </w:tblPr>
      <w:tr>
        <w:trPr>
          <w:trHeight w:val="203"/>
        </w:trPr>
        <w:tc>
          <w:tcPr>
            <w:tcW w:w="13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w:t>
            </w:r>
          </w:p>
        </w:tc>
        <w:tc>
          <w:tcPr>
            <w:tcW w:w="24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w:t>
            </w:r>
          </w:p>
        </w:tc>
        <w:tc>
          <w:tcPr>
            <w:tcW w:w="1060" w:type="dxa"/>
            <w:vAlign w:val="bottom"/>
          </w:tcPr>
          <w:p>
            <w:pPr>
              <w:spacing w:after="0"/>
              <w:rPr>
                <w:sz w:val="17"/>
                <w:szCs w:val="17"/>
                <w:color w:val="auto"/>
              </w:rPr>
            </w:pPr>
          </w:p>
        </w:tc>
      </w:tr>
      <w:tr>
        <w:trPr>
          <w:trHeight w:val="203"/>
        </w:trPr>
        <w:tc>
          <w:tcPr>
            <w:tcW w:w="2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2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734,890*</w:t>
            </w:r>
          </w:p>
        </w:tc>
      </w:tr>
      <w:tr>
        <w:trPr>
          <w:trHeight w:val="203"/>
        </w:trPr>
        <w:tc>
          <w:tcPr>
            <w:tcW w:w="13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Each Reporting</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9.</w:t>
            </w:r>
          </w:p>
        </w:tc>
        <w:tc>
          <w:tcPr>
            <w:tcW w:w="3360" w:type="dxa"/>
            <w:vAlign w:val="bottom"/>
          </w:tcPr>
          <w:p>
            <w:pPr>
              <w:ind w:left="260"/>
              <w:spacing w:after="0"/>
              <w:rPr>
                <w:sz w:val="20"/>
                <w:szCs w:val="20"/>
                <w:color w:val="auto"/>
              </w:rPr>
            </w:pPr>
            <w:r>
              <w:rPr>
                <w:rFonts w:ascii="Courier New" w:cs="Courier New" w:eastAsia="Courier New" w:hAnsi="Courier New"/>
                <w:sz w:val="18"/>
                <w:szCs w:val="18"/>
                <w:color w:val="auto"/>
              </w:rPr>
              <w:t>Sole Dispositive Power: 0</w:t>
            </w:r>
          </w:p>
        </w:tc>
        <w:tc>
          <w:tcPr>
            <w:tcW w:w="154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w:t>
            </w:r>
          </w:p>
        </w:tc>
        <w:tc>
          <w:tcPr>
            <w:tcW w:w="3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734,890*__</w:t>
            </w:r>
          </w:p>
        </w:tc>
      </w:tr>
    </w:tbl>
    <w:p>
      <w:pPr>
        <w:spacing w:after="0" w:line="201"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38" w:lineRule="auto"/>
        <w:rPr>
          <w:sz w:val="20"/>
          <w:szCs w:val="20"/>
          <w:color w:val="auto"/>
        </w:rPr>
      </w:pPr>
      <w:r>
        <w:rPr>
          <w:rFonts w:ascii="Courier New" w:cs="Courier New" w:eastAsia="Courier New" w:hAnsi="Courier New"/>
          <w:sz w:val="18"/>
          <w:szCs w:val="18"/>
          <w:color w:val="auto"/>
        </w:rPr>
        <w:t>734,890*</w:t>
      </w:r>
    </w:p>
    <w:p>
      <w:pPr>
        <w:spacing w:after="0" w:line="207"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w:t>
      </w:r>
    </w:p>
    <w:p>
      <w:pPr>
        <w:spacing w:after="0" w:line="16" w:lineRule="exact"/>
        <w:rPr>
          <w:sz w:val="20"/>
          <w:szCs w:val="20"/>
          <w:color w:val="auto"/>
        </w:rPr>
      </w:pPr>
    </w:p>
    <w:p>
      <w:pPr>
        <w:ind w:left="1700"/>
        <w:spacing w:after="0"/>
        <w:tabs>
          <w:tab w:leader="none" w:pos="662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ind w:left="860"/>
        <w:spacing w:after="0"/>
        <w:tabs>
          <w:tab w:leader="none" w:pos="1680" w:val="left"/>
          <w:tab w:leader="none" w:pos="75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5.5%*</w:t>
      </w:r>
    </w:p>
    <w:p>
      <w:pPr>
        <w:spacing w:after="0" w:line="201" w:lineRule="exact"/>
        <w:rPr>
          <w:sz w:val="20"/>
          <w:szCs w:val="20"/>
          <w:color w:val="auto"/>
        </w:rPr>
      </w:pPr>
    </w:p>
    <w:p>
      <w:pPr>
        <w:ind w:left="860"/>
        <w:spacing w:after="0"/>
        <w:tabs>
          <w:tab w:leader="none" w:pos="1680" w:val="left"/>
          <w:tab w:leader="none" w:pos="704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 (See Instructions):</w:t>
      </w:r>
      <w:r>
        <w:rPr>
          <w:sz w:val="20"/>
          <w:szCs w:val="20"/>
          <w:color w:val="auto"/>
        </w:rPr>
        <w:tab/>
      </w:r>
      <w:r>
        <w:rPr>
          <w:rFonts w:ascii="Courier New" w:cs="Courier New" w:eastAsia="Courier New" w:hAnsi="Courier New"/>
          <w:sz w:val="16"/>
          <w:szCs w:val="16"/>
          <w:color w:val="auto"/>
        </w:rPr>
        <w:t>IA, IN</w:t>
      </w:r>
    </w:p>
    <w:p>
      <w:pPr>
        <w:spacing w:after="0" w:line="200" w:lineRule="exact"/>
        <w:rPr>
          <w:sz w:val="20"/>
          <w:szCs w:val="20"/>
          <w:color w:val="auto"/>
        </w:rPr>
      </w:pPr>
    </w:p>
    <w:p>
      <w:pPr>
        <w:spacing w:after="0" w:line="209" w:lineRule="exact"/>
        <w:rPr>
          <w:sz w:val="20"/>
          <w:szCs w:val="20"/>
          <w:color w:val="auto"/>
        </w:rPr>
      </w:pPr>
    </w:p>
    <w:p>
      <w:pPr>
        <w:ind w:right="2319" w:firstLine="8"/>
        <w:spacing w:after="0" w:line="237"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is a joint filing by Austin W. Marxe (?Marxe?), David M. Greenhouse (?Greenhouse?) and Adam C. Stettner (?Stettner?). Marxe, Greenhouse and Stettner share sole voting and investment power over 345,564 Common Shares held by Special Situations Fund III QP, L.P., 116,844 Common Shares held by Special Situations Cayman Fund, L.P., 65,000 Common Shares held by Special Situations Private Equity Fund, L.P. and 207,482 Common Shares held by Special Situations Life Sciences Fund, L.P. See Items 2 and 4 of this Schedule for additional information.</w:t>
      </w:r>
    </w:p>
    <w:p>
      <w:pPr>
        <w:spacing w:after="0" w:line="200" w:lineRule="exact"/>
        <w:rPr>
          <w:sz w:val="20"/>
          <w:szCs w:val="20"/>
          <w:color w:val="auto"/>
        </w:rPr>
      </w:pPr>
    </w:p>
    <w:p>
      <w:pPr>
        <w:spacing w:after="0" w:line="209" w:lineRule="exact"/>
        <w:rPr>
          <w:sz w:val="20"/>
          <w:szCs w:val="20"/>
          <w:color w:val="auto"/>
        </w:rPr>
      </w:pPr>
    </w:p>
    <w:p>
      <w:pPr>
        <w:jc w:val="right"/>
        <w:ind w:right="1679"/>
        <w:spacing w:after="0"/>
        <w:rPr>
          <w:sz w:val="20"/>
          <w:szCs w:val="20"/>
          <w:color w:val="auto"/>
        </w:rPr>
      </w:pPr>
      <w:r>
        <w:rPr>
          <w:rFonts w:ascii="Courier New" w:cs="Courier New" w:eastAsia="Courier New" w:hAnsi="Courier New"/>
          <w:sz w:val="18"/>
          <w:szCs w:val="18"/>
          <w:color w:val="auto"/>
        </w:rPr>
        <w:t>Page 3 of 6 Pages</w:t>
      </w:r>
    </w:p>
    <w:p>
      <w:pPr>
        <w:spacing w:after="0" w:line="238" w:lineRule="auto"/>
        <w:rPr>
          <w:sz w:val="20"/>
          <w:szCs w:val="20"/>
          <w:color w:val="auto"/>
        </w:rPr>
      </w:pPr>
      <w:r>
        <w:rPr>
          <w:rFonts w:ascii="Courier New" w:cs="Courier New" w:eastAsia="Courier New" w:hAnsi="Courier New"/>
          <w:sz w:val="18"/>
          <w:szCs w:val="18"/>
          <w:color w:val="auto"/>
        </w:rPr>
        <w:t>Item 1. Security and Issuer:</w:t>
      </w:r>
    </w:p>
    <w:p>
      <w:pPr>
        <w:ind w:left="1280" w:hanging="429"/>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Alcobra, Ltd.</w:t>
      </w:r>
    </w:p>
    <w:p>
      <w:pPr>
        <w:ind w:left="1280" w:hanging="429"/>
        <w:spacing w:after="0" w:line="238"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Weizman Street, 9th Floor, Tel Aviv, Isreal 6423902</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 Filing:</w:t>
      </w:r>
    </w:p>
    <w:p>
      <w:pPr>
        <w:jc w:val="center"/>
        <w:ind w:right="2099"/>
        <w:spacing w:after="0" w:line="238" w:lineRule="auto"/>
        <w:rPr>
          <w:sz w:val="20"/>
          <w:szCs w:val="20"/>
          <w:color w:val="auto"/>
        </w:rPr>
      </w:pPr>
      <w:r>
        <w:rPr>
          <w:rFonts w:ascii="Courier New" w:cs="Courier New" w:eastAsia="Courier New" w:hAnsi="Courier New"/>
          <w:sz w:val="18"/>
          <w:szCs w:val="18"/>
          <w:color w:val="auto"/>
        </w:rPr>
        <w:t>The persons filing this report are Austin W. Marxe (?Marxe?),</w:t>
      </w:r>
    </w:p>
    <w:p>
      <w:pPr>
        <w:spacing w:after="0" w:line="5"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David M. Greenhouse (?Greenhouse?) and Adam C. Stettner (?Stettner?), who are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members of</w:t>
            </w:r>
          </w:p>
        </w:tc>
        <w:tc>
          <w:tcPr>
            <w:tcW w:w="7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SSCayman LLC, the general partner of Special Situations Cayman</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Fund, L.P.</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(?Cayman?).  Marxe, Greenhouse</w:t>
            </w:r>
          </w:p>
        </w:tc>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Stettner are controlling</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principals</w:t>
            </w:r>
          </w:p>
        </w:tc>
        <w:tc>
          <w:tcPr>
            <w:tcW w:w="7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AWM Investment Company, Inc. (?AWM?), the general partner of</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MGP Advisers Limited Partnership (?MGP?),</w:t>
            </w:r>
          </w:p>
        </w:tc>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general partner of Special</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Situations</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 III QP, L.P. (?SSFQP?).</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Marxe, Greenhouse and Stettner are</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members of</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MG Advisers L.L.C. (?MG?), the</w:t>
            </w:r>
          </w:p>
        </w:tc>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partner of Special</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Situations</w:t>
            </w:r>
          </w:p>
        </w:tc>
        <w:tc>
          <w:tcPr>
            <w:tcW w:w="7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Private Equity Fund, L.P. (?SSPE?). Marxe, Greenhouse and Stettner</w:t>
            </w:r>
          </w:p>
        </w:tc>
      </w:tr>
    </w:tbl>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are also members of LS Advisers L.L.C. (?LS?), the general partner of Special Situations Life Sciences Fund, L.P. (?SSLS?). AWM serves as the investment adviser to Cayman, SSFQP, SSPE and SSLS. (SSFQP, Cayman, SSPE and LS will hereafter be referred to as, the ?Funds?).</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 Address of Principal Business Office or, if none, Residence:</w:t>
      </w:r>
    </w:p>
    <w:p>
      <w:pPr>
        <w:spacing w:after="0" w:line="207" w:lineRule="exact"/>
        <w:rPr>
          <w:sz w:val="20"/>
          <w:szCs w:val="20"/>
          <w:color w:val="auto"/>
        </w:rPr>
      </w:pPr>
    </w:p>
    <w:p>
      <w:pPr>
        <w:ind w:right="2519" w:firstLine="843"/>
        <w:spacing w:after="0" w:line="235" w:lineRule="auto"/>
        <w:rPr>
          <w:sz w:val="20"/>
          <w:szCs w:val="20"/>
          <w:color w:val="auto"/>
        </w:rPr>
      </w:pPr>
      <w:r>
        <w:rPr>
          <w:rFonts w:ascii="Courier New" w:cs="Courier New" w:eastAsia="Courier New" w:hAnsi="Courier New"/>
          <w:sz w:val="18"/>
          <w:szCs w:val="18"/>
          <w:color w:val="auto"/>
        </w:rPr>
        <w:t>The principal business address for Marxe, Greenhouse and Stettner is 527 Madison Avenue, Suite 2600, New York, NY 10022.</w:t>
      </w:r>
    </w:p>
    <w:p>
      <w:pPr>
        <w:spacing w:after="0" w:line="200" w:lineRule="exact"/>
        <w:rPr>
          <w:sz w:val="20"/>
          <w:szCs w:val="20"/>
          <w:color w:val="auto"/>
        </w:rPr>
      </w:pPr>
    </w:p>
    <w:p>
      <w:pPr>
        <w:spacing w:after="0" w:line="205"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Austin W. Marxe, David M. Greenhouse and Adam C.</w:t>
      </w:r>
    </w:p>
    <w:p>
      <w:pPr>
        <w:spacing w:after="0" w:line="238" w:lineRule="auto"/>
        <w:rPr>
          <w:sz w:val="20"/>
          <w:szCs w:val="20"/>
          <w:color w:val="auto"/>
        </w:rPr>
      </w:pPr>
      <w:r>
        <w:rPr>
          <w:rFonts w:ascii="Courier New" w:cs="Courier New" w:eastAsia="Courier New" w:hAnsi="Courier New"/>
          <w:sz w:val="18"/>
          <w:szCs w:val="18"/>
          <w:color w:val="auto"/>
        </w:rPr>
        <w:t>Stettner are United States citizens.</w:t>
      </w:r>
    </w:p>
    <w:p>
      <w:pPr>
        <w:spacing w:after="0" w:line="202" w:lineRule="exact"/>
        <w:rPr>
          <w:sz w:val="20"/>
          <w:szCs w:val="20"/>
          <w:color w:val="auto"/>
        </w:rPr>
      </w:pPr>
    </w:p>
    <w:p>
      <w:pPr>
        <w:ind w:left="1900" w:hanging="417"/>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ind w:left="2740" w:hanging="414"/>
        <w:spacing w:after="0" w:line="238" w:lineRule="auto"/>
        <w:tabs>
          <w:tab w:leader="none" w:pos="27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M2239P109.</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$240.13d-1(b) or 240.13d-2(b), check whether</w:t>
      </w:r>
    </w:p>
    <w:p>
      <w:pPr>
        <w:ind w:left="1280"/>
        <w:spacing w:after="0"/>
        <w:tabs>
          <w:tab w:leader="none" w:pos="4100" w:val="left"/>
        </w:tabs>
        <w:rPr>
          <w:sz w:val="20"/>
          <w:szCs w:val="20"/>
          <w:color w:val="auto"/>
        </w:rPr>
      </w:pPr>
      <w:r>
        <w:rPr>
          <w:rFonts w:ascii="Courier New" w:cs="Courier New" w:eastAsia="Courier New" w:hAnsi="Courier New"/>
          <w:sz w:val="18"/>
          <w:szCs w:val="18"/>
          <w:color w:val="auto"/>
        </w:rPr>
        <w:t>the person filing is a:</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4" w:lineRule="exact"/>
        <w:rPr>
          <w:rFonts w:ascii="Courier New" w:cs="Courier New" w:eastAsia="Courier New" w:hAnsi="Courier New"/>
          <w:sz w:val="18"/>
          <w:szCs w:val="18"/>
          <w:color w:val="auto"/>
        </w:rPr>
      </w:pPr>
    </w:p>
    <w:p>
      <w:pPr>
        <w:ind w:right="2739" w:firstLine="8"/>
        <w:spacing w:after="0" w:line="235"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w:t>
      </w:r>
    </w:p>
    <w:p>
      <w:pPr>
        <w:ind w:left="1700"/>
        <w:spacing w:after="0"/>
        <w:rPr>
          <w:sz w:val="20"/>
          <w:szCs w:val="20"/>
          <w:color w:val="auto"/>
        </w:rPr>
      </w:pPr>
      <w:r>
        <w:rPr>
          <w:rFonts w:ascii="Courier New" w:cs="Courier New" w:eastAsia="Courier New" w:hAnsi="Courier New"/>
          <w:sz w:val="18"/>
          <w:szCs w:val="18"/>
          <w:color w:val="auto"/>
        </w:rPr>
        <w:t>-1(b)(I)(ii)(E);</w:t>
      </w:r>
    </w:p>
    <w:p>
      <w:pPr>
        <w:spacing w:after="0" w:line="3" w:lineRule="exact"/>
        <w:rPr>
          <w:sz w:val="20"/>
          <w:szCs w:val="20"/>
          <w:color w:val="auto"/>
        </w:rPr>
      </w:pPr>
    </w:p>
    <w:p>
      <w:pPr>
        <w:ind w:right="2939" w:firstLine="8"/>
        <w:spacing w:after="0" w:line="235"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$240.13d-1(b)(I)(ii)(F);</w:t>
      </w:r>
    </w:p>
    <w:p>
      <w:pPr>
        <w:spacing w:after="0" w:line="200" w:lineRule="exact"/>
        <w:rPr>
          <w:sz w:val="20"/>
          <w:szCs w:val="20"/>
          <w:color w:val="auto"/>
        </w:rPr>
      </w:pPr>
    </w:p>
    <w:p>
      <w:pPr>
        <w:spacing w:after="0" w:line="205" w:lineRule="exact"/>
        <w:rPr>
          <w:sz w:val="20"/>
          <w:szCs w:val="20"/>
          <w:color w:val="auto"/>
        </w:rPr>
      </w:pPr>
    </w:p>
    <w:p>
      <w:pPr>
        <w:jc w:val="right"/>
        <w:ind w:right="1679"/>
        <w:spacing w:after="0"/>
        <w:rPr>
          <w:sz w:val="20"/>
          <w:szCs w:val="20"/>
          <w:color w:val="auto"/>
        </w:rPr>
      </w:pPr>
      <w:r>
        <w:rPr>
          <w:rFonts w:ascii="Courier New" w:cs="Courier New" w:eastAsia="Courier New" w:hAnsi="Courier New"/>
          <w:sz w:val="18"/>
          <w:szCs w:val="18"/>
          <w:color w:val="auto"/>
        </w:rPr>
        <w:t>Page 4 of 6 Pages</w:t>
      </w:r>
    </w:p>
    <w:p>
      <w:pPr>
        <w:spacing w:after="0" w:line="207" w:lineRule="exact"/>
        <w:rPr>
          <w:sz w:val="20"/>
          <w:szCs w:val="20"/>
          <w:color w:val="auto"/>
        </w:rPr>
      </w:pPr>
    </w:p>
    <w:p>
      <w:pPr>
        <w:ind w:right="2939" w:firstLine="8"/>
        <w:spacing w:after="0" w:line="235"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$240.13d-</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1(b)(1)(ii)(G);</w:t>
      </w:r>
    </w:p>
    <w:p>
      <w:pPr>
        <w:spacing w:after="0" w:line="4" w:lineRule="exact"/>
        <w:rPr>
          <w:rFonts w:ascii="Courier New" w:cs="Courier New" w:eastAsia="Courier New" w:hAnsi="Courier New"/>
          <w:sz w:val="18"/>
          <w:szCs w:val="18"/>
          <w:color w:val="auto"/>
        </w:rPr>
      </w:pPr>
    </w:p>
    <w:p>
      <w:pPr>
        <w:ind w:right="1879" w:firstLine="8"/>
        <w:spacing w:after="0" w:line="235"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w:t>
      </w:r>
    </w:p>
    <w:p>
      <w:pPr>
        <w:sectPr>
          <w:pgSz w:w="11900" w:h="16838" w:orient="portrait"/>
          <w:cols w:equalWidth="0" w:num="1">
            <w:col w:w="10219"/>
          </w:cols>
          <w:pgMar w:left="240" w:top="136"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Act;</w:t>
      </w:r>
    </w:p>
    <w:p>
      <w:pPr>
        <w:spacing w:after="0" w:line="4" w:lineRule="exact"/>
        <w:rPr>
          <w:sz w:val="20"/>
          <w:szCs w:val="20"/>
          <w:color w:val="auto"/>
        </w:rPr>
      </w:pPr>
    </w:p>
    <w:p>
      <w:pPr>
        <w:ind w:right="2619" w:firstLine="8"/>
        <w:spacing w:after="0" w:line="235"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Act of 1940;</w:t>
      </w: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Group, in accordance with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419" w:firstLine="8"/>
        <w:spacing w:after="0" w:line="268" w:lineRule="auto"/>
        <w:tabs>
          <w:tab w:leader="none" w:pos="84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Messrs. Marxe, Greenhouse and Stettner beneficially own a total of 734,890 shares of Common Stock. This</w:t>
      </w:r>
    </w:p>
    <w:p>
      <w:pPr>
        <w:ind w:right="35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amount includes 345,564 Common Shares owned by SSFQP, 116,844 Common Shares held by Cayman, 65,000 Common Shares held by SSPE and 207,482 Common Shares held by SSLS.</w:t>
      </w:r>
    </w:p>
    <w:p>
      <w:pPr>
        <w:spacing w:after="0" w:line="200" w:lineRule="exact"/>
        <w:rPr>
          <w:rFonts w:ascii="Courier New" w:cs="Courier New" w:eastAsia="Courier New" w:hAnsi="Courier New"/>
          <w:sz w:val="16"/>
          <w:szCs w:val="16"/>
          <w:color w:val="auto"/>
        </w:rPr>
      </w:pPr>
    </w:p>
    <w:p>
      <w:pPr>
        <w:spacing w:after="0" w:line="205"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Messrs. Marxe, Greenhouse and Stettner</w:t>
      </w:r>
    </w:p>
    <w:p>
      <w:pPr>
        <w:spacing w:after="0" w:line="4"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beneficially own 5.5% of the outstanding shares, of which SSFQP owns 2.6% of the outstanding shares, Cayman owns 0.9% of the outstanding shares, SSPE owns 0.5% of the outstanding shares and SSLS owns 1.5% of the outstanding shares,</w:t>
      </w:r>
    </w:p>
    <w:p>
      <w:pPr>
        <w:spacing w:after="0" w:line="202" w:lineRule="exact"/>
        <w:rPr>
          <w:sz w:val="20"/>
          <w:szCs w:val="20"/>
          <w:color w:val="auto"/>
        </w:rPr>
      </w:pPr>
    </w:p>
    <w:p>
      <w:pPr>
        <w:ind w:left="1280" w:hanging="429"/>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540" w:hanging="846"/>
        <w:spacing w:after="0"/>
        <w:tabs>
          <w:tab w:leader="none" w:pos="254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1" w:lineRule="exact"/>
        <w:rPr>
          <w:rFonts w:ascii="Courier New" w:cs="Courier New" w:eastAsia="Courier New" w:hAnsi="Courier New"/>
          <w:sz w:val="18"/>
          <w:szCs w:val="18"/>
          <w:color w:val="auto"/>
        </w:rPr>
      </w:pPr>
    </w:p>
    <w:p>
      <w:pPr>
        <w:ind w:left="2540" w:hanging="846"/>
        <w:spacing w:after="0"/>
        <w:tabs>
          <w:tab w:leader="none" w:pos="254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734,890</w:t>
      </w:r>
    </w:p>
    <w:p>
      <w:pPr>
        <w:spacing w:after="0" w:line="206" w:lineRule="exact"/>
        <w:rPr>
          <w:rFonts w:ascii="Courier New" w:cs="Courier New" w:eastAsia="Courier New" w:hAnsi="Courier New"/>
          <w:sz w:val="18"/>
          <w:szCs w:val="18"/>
          <w:color w:val="auto"/>
        </w:rPr>
      </w:pPr>
    </w:p>
    <w:p>
      <w:pPr>
        <w:ind w:left="2540" w:hanging="846"/>
        <w:spacing w:after="0"/>
        <w:tabs>
          <w:tab w:leader="none" w:pos="2540" w:val="left"/>
        </w:tabs>
        <w:numPr>
          <w:ilvl w:val="2"/>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38" w:lineRule="auto"/>
        <w:rPr>
          <w:sz w:val="20"/>
          <w:szCs w:val="20"/>
          <w:color w:val="auto"/>
        </w:rPr>
      </w:pPr>
      <w:r>
        <w:rPr>
          <w:rFonts w:ascii="Courier New" w:cs="Courier New" w:eastAsia="Courier New" w:hAnsi="Courier New"/>
          <w:sz w:val="18"/>
          <w:szCs w:val="18"/>
          <w:color w:val="auto"/>
        </w:rPr>
        <w:t>734,890</w:t>
      </w:r>
    </w:p>
    <w:p>
      <w:pPr>
        <w:spacing w:after="0" w:line="200" w:lineRule="exact"/>
        <w:rPr>
          <w:sz w:val="20"/>
          <w:szCs w:val="20"/>
          <w:color w:val="auto"/>
        </w:rPr>
      </w:pP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 If this statement is being filed to report the fact that as of the date hereof the reporting person has ceased to be the beneficial owner of more that five percent of the class of securities, check the following __.</w:t>
      </w:r>
    </w:p>
    <w:p>
      <w:pPr>
        <w:spacing w:after="0" w:line="200" w:lineRule="exact"/>
        <w:rPr>
          <w:sz w:val="20"/>
          <w:szCs w:val="20"/>
          <w:color w:val="auto"/>
        </w:rPr>
      </w:pP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6.Ownership of More than Five Percent on Behalf of Another Person: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Page 5 of 6 Pages</w:t>
      </w:r>
    </w:p>
    <w:p>
      <w:pPr>
        <w:spacing w:after="0" w:line="200" w:lineRule="exact"/>
        <w:rPr>
          <w:sz w:val="20"/>
          <w:szCs w:val="20"/>
          <w:color w:val="auto"/>
        </w:rPr>
      </w:pPr>
    </w:p>
    <w:p>
      <w:pPr>
        <w:spacing w:after="0" w:line="209"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Not Applicable.</w:t>
      </w:r>
    </w:p>
    <w:p>
      <w:pPr>
        <w:spacing w:after="0" w:line="20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tabs>
          <w:tab w:leader="none" w:pos="4420" w:val="left"/>
        </w:tabs>
        <w:rPr>
          <w:sz w:val="20"/>
          <w:szCs w:val="20"/>
          <w:color w:val="auto"/>
        </w:rPr>
      </w:pPr>
      <w:r>
        <w:rPr>
          <w:rFonts w:ascii="Courier New" w:cs="Courier New" w:eastAsia="Courier New" w:hAnsi="Courier New"/>
          <w:sz w:val="18"/>
          <w:szCs w:val="18"/>
          <w:color w:val="auto"/>
        </w:rPr>
        <w:t>Item 9. Notices of Dissolution of Group:</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10.Certification:</w:t>
      </w:r>
    </w:p>
    <w:p>
      <w:pPr>
        <w:spacing w:after="0" w:line="207" w:lineRule="exact"/>
        <w:rPr>
          <w:sz w:val="20"/>
          <w:szCs w:val="20"/>
          <w:color w:val="auto"/>
        </w:rPr>
      </w:pPr>
    </w:p>
    <w:p>
      <w:pPr>
        <w:ind w:right="2619" w:firstLine="843"/>
        <w:spacing w:after="0" w:line="235"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w:t>
      </w:r>
    </w:p>
    <w:p>
      <w:pPr>
        <w:spacing w:after="0" w:line="6"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referred to above were acquired and are held in the ordinary course of business and were not</w:t>
      </w:r>
    </w:p>
    <w:p>
      <w:pPr>
        <w:spacing w:after="0" w:line="6"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acquired and are not held for the purpose of or with the effect of changing or influencing the</w:t>
      </w:r>
    </w:p>
    <w:p>
      <w:pPr>
        <w:spacing w:after="0" w:line="6"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control of the issuer of the securities and were not acquired and are not held in connection with</w:t>
      </w:r>
    </w:p>
    <w:p>
      <w:pPr>
        <w:spacing w:after="0"/>
        <w:rPr>
          <w:sz w:val="20"/>
          <w:szCs w:val="20"/>
          <w:color w:val="auto"/>
        </w:rPr>
      </w:pPr>
      <w:r>
        <w:rPr>
          <w:rFonts w:ascii="Courier New" w:cs="Courier New" w:eastAsia="Courier New" w:hAnsi="Courier New"/>
          <w:sz w:val="18"/>
          <w:szCs w:val="18"/>
          <w:color w:val="auto"/>
        </w:rPr>
        <w:t>or as a participant in any transaction having that purpose or effect.</w:t>
      </w:r>
    </w:p>
    <w:p>
      <w:pPr>
        <w:sectPr>
          <w:pgSz w:w="11900" w:h="16838" w:orient="portrait"/>
          <w:cols w:equalWidth="0" w:num="1">
            <w:col w:w="10219"/>
          </w:cols>
          <w:pgMar w:left="240" w:top="136" w:right="1440" w:bottom="7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2014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Austin W. Marxe</w:t>
      </w:r>
    </w:p>
    <w:p>
      <w:pPr>
        <w:ind w:left="3380"/>
        <w:spacing w:after="0" w:line="238" w:lineRule="auto"/>
        <w:rPr>
          <w:sz w:val="20"/>
          <w:szCs w:val="20"/>
          <w:color w:val="auto"/>
        </w:rPr>
      </w:pPr>
      <w:r>
        <w:rPr>
          <w:rFonts w:ascii="Courier New" w:cs="Courier New" w:eastAsia="Courier New" w:hAnsi="Courier New"/>
          <w:sz w:val="18"/>
          <w:szCs w:val="18"/>
          <w:color w:val="auto"/>
        </w:rPr>
        <w:t>AUSTIN W. MARXE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/s/David M Greenhouse</w:t>
      </w:r>
    </w:p>
    <w:p>
      <w:pPr>
        <w:ind w:left="3380"/>
        <w:spacing w:after="0" w:line="238" w:lineRule="auto"/>
        <w:rPr>
          <w:sz w:val="20"/>
          <w:szCs w:val="20"/>
          <w:color w:val="auto"/>
        </w:rPr>
      </w:pPr>
      <w:r>
        <w:rPr>
          <w:rFonts w:ascii="Courier New" w:cs="Courier New" w:eastAsia="Courier New" w:hAnsi="Courier New"/>
          <w:sz w:val="18"/>
          <w:szCs w:val="18"/>
          <w:color w:val="auto"/>
        </w:rPr>
        <w:t>DAVID M. GREENHOUSE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/s/Adam C. Stettner</w:t>
      </w:r>
    </w:p>
    <w:p>
      <w:pPr>
        <w:ind w:left="3380"/>
        <w:spacing w:after="0" w:line="238" w:lineRule="auto"/>
        <w:rPr>
          <w:sz w:val="20"/>
          <w:szCs w:val="20"/>
          <w:color w:val="auto"/>
        </w:rPr>
      </w:pPr>
      <w:r>
        <w:rPr>
          <w:rFonts w:ascii="Courier New" w:cs="Courier New" w:eastAsia="Courier New" w:hAnsi="Courier New"/>
          <w:sz w:val="18"/>
          <w:szCs w:val="18"/>
          <w:color w:val="auto"/>
        </w:rPr>
        <w:t>ADAM C. STETTNER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679"/>
        <w:spacing w:after="0"/>
        <w:rPr>
          <w:sz w:val="20"/>
          <w:szCs w:val="20"/>
          <w:color w:val="auto"/>
        </w:rPr>
      </w:pPr>
      <w:r>
        <w:rPr>
          <w:rFonts w:ascii="Courier New" w:cs="Courier New" w:eastAsia="Courier New" w:hAnsi="Courier New"/>
          <w:sz w:val="18"/>
          <w:szCs w:val="18"/>
          <w:color w:val="auto"/>
        </w:rPr>
        <w:t>Page 6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9"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Austin W. Marxe, David M. Greenhouse and Adam C. Stettner hereby agree that the Schedule 13G to which this agreement is attached is filed on behalf of each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/s/_Austin W. Marxe</w:t>
      </w:r>
    </w:p>
    <w:p>
      <w:pPr>
        <w:spacing w:after="0" w:line="238" w:lineRule="auto"/>
        <w:rPr>
          <w:sz w:val="20"/>
          <w:szCs w:val="20"/>
          <w:color w:val="auto"/>
        </w:rPr>
      </w:pPr>
      <w:r>
        <w:rPr>
          <w:rFonts w:ascii="Courier New" w:cs="Courier New" w:eastAsia="Courier New" w:hAnsi="Courier New"/>
          <w:sz w:val="18"/>
          <w:szCs w:val="18"/>
          <w:color w:val="auto"/>
        </w:rPr>
        <w:t>Austin W. Marxe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/s/_David M. Greenhouse</w:t>
      </w:r>
    </w:p>
    <w:p>
      <w:pPr>
        <w:spacing w:after="0" w:line="238" w:lineRule="auto"/>
        <w:rPr>
          <w:sz w:val="20"/>
          <w:szCs w:val="20"/>
          <w:color w:val="auto"/>
        </w:rPr>
      </w:pPr>
      <w:r>
        <w:rPr>
          <w:rFonts w:ascii="Courier New" w:cs="Courier New" w:eastAsia="Courier New" w:hAnsi="Courier New"/>
          <w:sz w:val="18"/>
          <w:szCs w:val="18"/>
          <w:color w:val="auto"/>
        </w:rPr>
        <w:t>David M. Greenhouse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Adam C. Stettner</w:t>
      </w:r>
    </w:p>
    <w:p>
      <w:pPr>
        <w:ind w:left="4220"/>
        <w:spacing w:after="0" w:line="238" w:lineRule="auto"/>
        <w:rPr>
          <w:sz w:val="20"/>
          <w:szCs w:val="20"/>
          <w:color w:val="auto"/>
        </w:rPr>
      </w:pPr>
      <w:r>
        <w:rPr>
          <w:rFonts w:ascii="Courier New" w:cs="Courier New" w:eastAsia="Courier New" w:hAnsi="Courier New"/>
          <w:sz w:val="18"/>
          <w:szCs w:val="18"/>
          <w:color w:val="auto"/>
        </w:rPr>
        <w:t>Adam C. Stettner</w:t>
      </w:r>
    </w:p>
    <w:p>
      <w:pPr>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S5313/1</w:t>
      </w:r>
    </w:p>
    <w:p>
      <w:pPr>
        <w:spacing w:after="0" w:line="238" w:lineRule="auto"/>
        <w:rPr>
          <w:sz w:val="20"/>
          <w:szCs w:val="20"/>
          <w:color w:val="auto"/>
        </w:rPr>
      </w:pPr>
      <w:r>
        <w:rPr>
          <w:rFonts w:ascii="Courier New" w:cs="Courier New" w:eastAsia="Courier New" w:hAnsi="Courier New"/>
          <w:sz w:val="18"/>
          <w:szCs w:val="18"/>
          <w:color w:val="auto"/>
        </w:rPr>
        <w:t>1319328.02</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2"/>
    </w:lvl>
  </w:abstractNum>
  <w:abstractNum w:abstractNumId="1">
    <w:nsid w:val="7545E146"/>
    <w:multiLevelType w:val="hybridMultilevel"/>
    <w:lvl w:ilvl="0">
      <w:lvlJc w:val="left"/>
      <w:lvlText w:val="%1."/>
      <w:numFmt w:val="decimal"/>
      <w:start w:val="3"/>
    </w:lvl>
  </w:abstractNum>
  <w:abstractNum w:abstractNumId="2">
    <w:nsid w:val="515F007C"/>
    <w:multiLevelType w:val="hybridMultilevel"/>
    <w:lvl w:ilvl="0">
      <w:lvlJc w:val="left"/>
      <w:lvlText w:val="%1."/>
      <w:numFmt w:val="decimal"/>
      <w:start w:val="6"/>
    </w:lvl>
  </w:abstractNum>
  <w:abstractNum w:abstractNumId="3">
    <w:nsid w:val="5BD062C2"/>
    <w:multiLevelType w:val="hybridMultilevel"/>
    <w:lvl w:ilvl="0">
      <w:lvlJc w:val="left"/>
      <w:lvlText w:val="%1."/>
      <w:numFmt w:val="decimal"/>
      <w:start w:val="12"/>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4"/>
    </w:lvl>
    <w:lvl w:ilvl="1">
      <w:lvlJc w:val="left"/>
      <w:lvlText w:val="(%2)"/>
      <w:numFmt w:val="lowerLetter"/>
      <w:start w:val="5"/>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6"/>
    </w:lvl>
  </w:abstractNum>
  <w:abstractNum w:abstractNumId="9">
    <w:nsid w:val="66EF438D"/>
    <w:multiLevelType w:val="hybridMultilevel"/>
    <w:lvl w:ilvl="0">
      <w:lvlJc w:val="left"/>
      <w:lvlText w:val="(%1)"/>
      <w:numFmt w:val="lowerLetter"/>
      <w:start w:val="7"/>
    </w:lvl>
  </w:abstractNum>
  <w:abstractNum w:abstractNumId="10">
    <w:nsid w:val="140E0F76"/>
    <w:multiLevelType w:val="hybridMultilevel"/>
    <w:lvl w:ilvl="0">
      <w:lvlJc w:val="left"/>
      <w:lvlText w:val="(%1)"/>
      <w:numFmt w:val="lowerLetter"/>
      <w:start w:val="9"/>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3">
    <w:nsid w:val="DED7263"/>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2019-12-08T07:08:26Z</dcterms:created>
  <dcterms:modified xsi:type="dcterms:W3CDTF">2019-12-08T07:08:26Z</dcterms:modified>
</cp:coreProperties>
</file>