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22,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333-235475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 TO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34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(State or other jurisdiction of</w:t>
            </w:r>
          </w:p>
        </w:tc>
        <w:tc>
          <w:tcPr>
            <w:tcW w:w="3340" w:type="dxa"/>
            <w:vAlign w:val="bottom"/>
          </w:tcPr>
          <w:p>
            <w:pPr>
              <w:jc w:val="center"/>
              <w:ind w:left="18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incorporation or organization)</w:t>
            </w:r>
          </w:p>
        </w:tc>
        <w:tc>
          <w:tcPr>
            <w:tcW w:w="3340" w:type="dxa"/>
            <w:vAlign w:val="bottom"/>
          </w:tcPr>
          <w:p>
            <w:pPr>
              <w:jc w:val="center"/>
              <w:ind w:left="18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A. Baumel,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Ilan Katz,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768-6700</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8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40" w:type="dxa"/>
            <w:vAlign w:val="bottom"/>
            <w:tcBorders>
              <w:top w:val="single" w:sz="8" w:color="auto"/>
              <w:right w:val="single" w:sz="8" w:color="auto"/>
            </w:tcBorders>
          </w:tcPr>
          <w:p>
            <w:pPr>
              <w:spacing w:after="0"/>
              <w:rPr>
                <w:sz w:val="16"/>
                <w:szCs w:val="16"/>
                <w:color w:val="auto"/>
              </w:rPr>
            </w:pPr>
          </w:p>
        </w:tc>
        <w:tc>
          <w:tcPr>
            <w:tcW w:w="1620" w:type="dxa"/>
            <w:vAlign w:val="bottom"/>
            <w:tcBorders>
              <w:top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Proposed</w:t>
            </w:r>
          </w:p>
        </w:tc>
        <w:tc>
          <w:tcPr>
            <w:tcW w:w="162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Proposed</w:t>
            </w:r>
          </w:p>
        </w:tc>
        <w:tc>
          <w:tcPr>
            <w:tcW w:w="1920" w:type="dxa"/>
            <w:vAlign w:val="bottom"/>
            <w:tcBorders>
              <w:top w:val="single" w:sz="8" w:color="auto"/>
            </w:tcBorders>
          </w:tcPr>
          <w:p>
            <w:pPr>
              <w:spacing w:after="0"/>
              <w:rPr>
                <w:sz w:val="16"/>
                <w:szCs w:val="16"/>
                <w:color w:val="auto"/>
              </w:rPr>
            </w:pPr>
          </w:p>
        </w:tc>
      </w:tr>
      <w:tr>
        <w:trPr>
          <w:trHeight w:val="216"/>
        </w:trPr>
        <w:tc>
          <w:tcPr>
            <w:tcW w:w="44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920" w:type="dxa"/>
            <w:vAlign w:val="bottom"/>
          </w:tcPr>
          <w:p>
            <w:pPr>
              <w:spacing w:after="0"/>
              <w:rPr>
                <w:sz w:val="18"/>
                <w:szCs w:val="18"/>
                <w:color w:val="auto"/>
              </w:rPr>
            </w:pPr>
          </w:p>
        </w:tc>
      </w:tr>
      <w:tr>
        <w:trPr>
          <w:trHeight w:val="216"/>
        </w:trPr>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Per Unit(1)(2)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Registration Fee (2)(3)</w:t>
            </w:r>
          </w:p>
        </w:tc>
      </w:tr>
      <w:tr>
        <w:trPr>
          <w:trHeight w:val="209"/>
        </w:trPr>
        <w:tc>
          <w:tcPr>
            <w:tcW w:w="4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2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3,000,000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$43.255</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$129,765,000</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0"/>
              </w:rPr>
              <w:t>$16,843.50</w:t>
            </w:r>
          </w:p>
        </w:tc>
      </w:tr>
    </w:tbl>
    <w:p>
      <w:pPr>
        <w:spacing w:after="0" w:line="202" w:lineRule="exact"/>
        <w:rPr>
          <w:sz w:val="20"/>
          <w:szCs w:val="20"/>
          <w:color w:val="auto"/>
        </w:rPr>
      </w:pPr>
    </w:p>
    <w:p>
      <w:pPr>
        <w:ind w:left="340" w:right="36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there are being registered hereunder such additional number of shares of common stock, of a currently indeterminable amount, as may from time to time become issuable by reason of stock splits, stock dividends or similar transactions, which shares of common stock are registered hereunder pursuant to Rule 416 of the Securities Act of 1933, as amended (the “Securities Act”).</w:t>
      </w:r>
    </w:p>
    <w:p>
      <w:pPr>
        <w:spacing w:after="0" w:line="2"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of the Securities Act solely for purposes of calculating the registration fee based on the average high and low prices reported for the registrant’s common stock traded on the Nasdaq Global Market on May 18, 2020.</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$3,302.11 of the $16,843.50 registration fee was previously paid.</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 selling stockholder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MAY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4025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 shares of Common Stock</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prospectus relates to up to 3,000,000 shares of common stock that the selling stockholder identified in this prospectus may sell from time to time in one or more transactions in amounts, at prices and on terms that will be determined at the time of the offering. We will not receive any proceeds from the sale of the shares of common stock by the selling stockholder. The selling stockholder acquired the shares of common stock from us pursuant to an Equity Purchase Agreement dated June 19, 2019.</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shares of common stock may be sold directly by the selling stockholder on the Nasdaq Global Market or any other stock exchange, market or trading facility on which the shares of common stock are traded or in private transactions. This prospectus describes the general manner in which the shares may be offered and sold by the selling stockholder. If necessary, the specific manner in which the shares may be offered and sold will be described in a supplement to this prospectus. Any such prospectus supplement may also add, update or change information in this prospectus. We may also authorize one or more free writing prospectuses to be provided to you in connection with this offering. You should carefully read this prospectus, any applicable prospectus supplement and any related free writing prospectuses, as well as the documents incorporated by reference or deemed to be incorporated by reference into this prospectus, carefully before you invest. For additional information on the methods of sale, you should refer to the section entitled “Plan of Distribution” in this prospectus.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“ARCT.” On May 21, 2020, the closing price of our common stock on the Nasdaq Global Market was $54.10 per share.</w:t>
      </w:r>
    </w:p>
    <w:p>
      <w:pPr>
        <w:spacing w:after="0" w:line="16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You should review carefully the risks and uncertainties referenced under the heading “Risk Factors“ on page 4 of this prospectus and contained in our filings made with the Securities and Exchange Commission and any applicable prospectus supplement.</w:t>
      </w:r>
    </w:p>
    <w:p>
      <w:pPr>
        <w:spacing w:after="0" w:line="17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00"/>
              <w:spacing w:after="0"/>
              <w:rPr>
                <w:sz w:val="20"/>
                <w:szCs w:val="20"/>
                <w:color w:val="auto"/>
              </w:rPr>
            </w:pPr>
            <w:r>
              <w:rPr>
                <w:rFonts w:ascii="Arial" w:cs="Arial" w:eastAsia="Arial" w:hAnsi="Arial"/>
                <w:sz w:val="18"/>
                <w:szCs w:val="18"/>
                <w:b w:val="1"/>
                <w:bCs w:val="1"/>
                <w:color w:val="auto"/>
                <w:w w:val="97"/>
              </w:rPr>
              <w:t>The date of this prospectus is</w:t>
            </w:r>
          </w:p>
        </w:tc>
        <w:tc>
          <w:tcPr>
            <w:tcW w:w="474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2020.</w:t>
            </w:r>
          </w:p>
        </w:tc>
      </w:tr>
      <w:tr>
        <w:trPr>
          <w:trHeight w:val="574"/>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PROSPECTUS SUMMARY</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ABOUT THIS OFFERING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SELLING STOCKHOLDER</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LEGAL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2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utilizing a “shelf” registration process. This prospectus describes the general manner in which the selling stockholder identified in this prospectus may offer from time to time in one or more transactions up to 3,000,000 shares of our common stock.</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only provides you with a general description of the common stock that may be sold in these transactions. If necessary, the specific manner in which the shares of common stock may be offered and sold will be described in a supplement to this prospectus, which supplement may also add, update or change any of the information contained in this prospectus. We may also authorize one or more free writing prospectuses to be provided to you that may contain material information relating to this offerings. This prospectus does not contain all of the information included in the registration statement we filed with the SEC. For further information about us or the common stock offered hereby, you should carefully read this prospectus, any applicable prospectus supplement, any related free writing prospectuses,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w:t>
      </w:r>
      <w:r>
        <w:rPr>
          <w:rFonts w:ascii="Arial" w:cs="Arial" w:eastAsia="Arial" w:hAnsi="Arial"/>
          <w:sz w:val="16"/>
          <w:szCs w:val="16"/>
          <w:b w:val="1"/>
          <w:bCs w:val="1"/>
          <w:color w:val="auto"/>
        </w:rPr>
        <w:t>This prospectus and any accompanying supplement to this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prospectus are not an offer to sell the common stock and it is not soliciting an offer to buy the common stock in any jurisdiction where the offer or sale is not permitted. </w:t>
      </w:r>
      <w:r>
        <w:rPr>
          <w:rFonts w:ascii="Arial" w:cs="Arial" w:eastAsia="Arial" w:hAnsi="Arial"/>
          <w:sz w:val="16"/>
          <w:szCs w:val="16"/>
          <w:color w:val="auto"/>
        </w:rPr>
        <w:t>You should assume that the information appearing in this prospectus, any applicable prospectus supplement or any related free</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 To the extent there are inconsistencies between any prospectus supplement, this prospectus and/or any documents incorporated by reference, the document with the most recent date will control.</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1280" w:right="200" w:hanging="644"/>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70" w:lineRule="exact"/>
        <w:rPr>
          <w:rFonts w:ascii="Arial" w:cs="Arial" w:eastAsia="Arial" w:hAnsi="Arial"/>
          <w:sz w:val="18"/>
          <w:szCs w:val="18"/>
          <w:color w:val="auto"/>
        </w:rPr>
      </w:pPr>
    </w:p>
    <w:p>
      <w:pPr>
        <w:ind w:left="1280" w:right="240" w:hanging="644"/>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spacing w:after="0" w:line="170" w:lineRule="exact"/>
        <w:rPr>
          <w:rFonts w:ascii="Arial" w:cs="Arial" w:eastAsia="Arial" w:hAnsi="Arial"/>
          <w:sz w:val="18"/>
          <w:szCs w:val="18"/>
          <w:color w:val="auto"/>
        </w:rPr>
      </w:pPr>
    </w:p>
    <w:p>
      <w:pPr>
        <w:ind w:left="1280" w:right="60" w:hanging="644"/>
        <w:spacing w:after="0" w:line="301"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57" w:lineRule="exact"/>
        <w:rPr>
          <w:rFonts w:ascii="Arial" w:cs="Arial" w:eastAsia="Arial" w:hAnsi="Arial"/>
          <w:sz w:val="16"/>
          <w:szCs w:val="16"/>
          <w:color w:val="auto"/>
        </w:rPr>
      </w:pPr>
    </w:p>
    <w:p>
      <w:pPr>
        <w:ind w:left="1280" w:right="520" w:hanging="644"/>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the STARR technology platform which combines self-replicating RNA with LUNAR into a single solution for partners.</w:t>
      </w:r>
    </w:p>
    <w:p>
      <w:pPr>
        <w:spacing w:after="0" w:line="170" w:lineRule="exact"/>
        <w:rPr>
          <w:rFonts w:ascii="Arial" w:cs="Arial" w:eastAsia="Arial" w:hAnsi="Arial"/>
          <w:sz w:val="18"/>
          <w:szCs w:val="18"/>
          <w:color w:val="auto"/>
        </w:rPr>
      </w:pPr>
    </w:p>
    <w:p>
      <w:pPr>
        <w:ind w:left="1280" w:right="480" w:hanging="644"/>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OFFERING</w:t>
      </w:r>
    </w:p>
    <w:p>
      <w:pPr>
        <w:spacing w:after="0" w:line="229" w:lineRule="exact"/>
        <w:rPr>
          <w:sz w:val="20"/>
          <w:szCs w:val="20"/>
          <w:color w:val="auto"/>
        </w:rPr>
      </w:pPr>
    </w:p>
    <w:p>
      <w:pPr>
        <w:ind w:left="20" w:right="60"/>
        <w:spacing w:after="0" w:line="301" w:lineRule="auto"/>
        <w:rPr>
          <w:sz w:val="20"/>
          <w:szCs w:val="20"/>
          <w:color w:val="auto"/>
        </w:rPr>
      </w:pPr>
      <w:r>
        <w:rPr>
          <w:rFonts w:ascii="Arial" w:cs="Arial" w:eastAsia="Arial" w:hAnsi="Arial"/>
          <w:sz w:val="16"/>
          <w:szCs w:val="16"/>
          <w:color w:val="auto"/>
        </w:rPr>
        <w:t>This prospectus relates to the resale by the selling stockholder identified in this prospectus of up to 3,000,000 shares of our common stock. All of the shares, when sold, will be sold by this selling stockholder (which term includes its pledgees, assignees and successors-in-interest). The selling stockholder may sell its shares of common stock from time to time at fixed prices, at prevailing market prices at the time of the sale, at varying prices determined at the time of sale, or at negotiated prices. We will not receive any proceeds from the sale of the shares of common stock by the selling stockholder.</w:t>
      </w:r>
    </w:p>
    <w:p>
      <w:pPr>
        <w:sectPr>
          <w:pgSz w:w="11900" w:h="16838" w:orient="portrait"/>
          <w:cols w:equalWidth="0" w:num="1">
            <w:col w:w="11240"/>
          </w:cols>
          <w:pgMar w:left="320" w:top="796"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Up to 3,000,000 shares of common stock.</w:t>
      </w:r>
    </w:p>
    <w:p>
      <w:pPr>
        <w:spacing w:after="0" w:line="200" w:lineRule="exact"/>
        <w:rPr>
          <w:sz w:val="20"/>
          <w:szCs w:val="20"/>
          <w:color w:val="auto"/>
        </w:rPr>
      </w:pPr>
    </w:p>
    <w:p>
      <w:pPr>
        <w:sectPr>
          <w:pgSz w:w="11900" w:h="16838" w:orient="portrait"/>
          <w:cols w:equalWidth="0" w:num="2">
            <w:col w:w="3560" w:space="720"/>
            <w:col w:w="6960"/>
          </w:cols>
          <w:pgMar w:left="320" w:top="796"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at May 22, 2020: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20,492,286 shares.</w:t>
      </w:r>
    </w:p>
    <w:p>
      <w:pPr>
        <w:spacing w:after="0" w:line="211" w:lineRule="exact"/>
        <w:rPr>
          <w:sz w:val="20"/>
          <w:szCs w:val="20"/>
          <w:color w:val="auto"/>
        </w:rPr>
      </w:pPr>
    </w:p>
    <w:p>
      <w:pPr>
        <w:sectPr>
          <w:pgSz w:w="11900" w:h="16838" w:orient="portrait"/>
          <w:cols w:equalWidth="0" w:num="2">
            <w:col w:w="3560" w:space="720"/>
            <w:col w:w="6960"/>
          </w:cols>
          <w:pgMar w:left="320" w:top="796"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not receive any proceeds from the sale of the 3,000,000 shares of common stock by the selling stockholder under this prospectus.</w:t>
      </w:r>
    </w:p>
    <w:p>
      <w:pPr>
        <w:spacing w:after="0" w:line="170" w:lineRule="exact"/>
        <w:rPr>
          <w:sz w:val="20"/>
          <w:szCs w:val="20"/>
          <w:color w:val="auto"/>
        </w:rPr>
      </w:pPr>
    </w:p>
    <w:p>
      <w:pPr>
        <w:sectPr>
          <w:pgSz w:w="11900" w:h="16838" w:orient="portrait"/>
          <w:cols w:equalWidth="0" w:num="2">
            <w:col w:w="3560" w:space="720"/>
            <w:col w:w="6960"/>
          </w:cols>
          <w:pgMar w:left="320" w:top="796" w:right="3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An investment in the common stock offered under this prospectus involves a high degree of risk. See “Risk Factors” beginning on page 4 of this prospectus and in the documents incorporated by reference into this prospectus for a discussion of factors you should consider carefully when making an investment decision.</w:t>
      </w:r>
    </w:p>
    <w:p>
      <w:pPr>
        <w:spacing w:after="0" w:line="187" w:lineRule="exact"/>
        <w:rPr>
          <w:sz w:val="20"/>
          <w:szCs w:val="20"/>
          <w:color w:val="auto"/>
        </w:rPr>
      </w:pPr>
    </w:p>
    <w:p>
      <w:pPr>
        <w:sectPr>
          <w:pgSz w:w="11900" w:h="16838" w:orient="portrait"/>
          <w:cols w:equalWidth="0" w:num="2">
            <w:col w:w="3560" w:space="720"/>
            <w:col w:w="6960"/>
          </w:cols>
          <w:pgMar w:left="320" w:top="796" w:right="339" w:bottom="1440" w:gutter="0" w:footer="0" w:header="0"/>
          <w:type w:val="continuous"/>
        </w:sectPr>
      </w:pPr>
    </w:p>
    <w:p>
      <w:pPr>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w:t>
      </w:r>
    </w:p>
    <w:p>
      <w:pPr>
        <w:spacing w:after="0" w:line="200" w:lineRule="exact"/>
        <w:rPr>
          <w:sz w:val="20"/>
          <w:szCs w:val="20"/>
          <w:color w:val="auto"/>
        </w:rPr>
      </w:pPr>
    </w:p>
    <w:p>
      <w:pPr>
        <w:sectPr>
          <w:pgSz w:w="11900" w:h="16838" w:orient="portrait"/>
          <w:cols w:equalWidth="0" w:num="2">
            <w:col w:w="3560" w:space="720"/>
            <w:col w:w="6960"/>
          </w:cols>
          <w:pgMar w:left="320" w:top="796" w:right="339" w:bottom="1440" w:gutter="0" w:footer="0" w:header="0"/>
          <w:type w:val="continuous"/>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number of shares outstanding excludes, as of May 22, 2020:</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2,201,168 shares of common stock issuable upon the exercise of outstanding stock options under our 2019 equity incentive plan; and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356,340 shares of common stock available for future grants under our 2019 equity incentive plan.</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common stock involves risks. Prior to making a decision about investing in our common stock,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and from our Quarterly Report on Form 10-Q for the quarter ended March 31, 2020 filed with the SEC on May 8, 2020,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or 1933, as amended, or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300" w:right="220" w:hanging="644"/>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 including as a result of the COVID-19 pandemic;</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 including our ability to develop adequate clinical supply of our product candidates for use in clinical trials without delays or interruptions due to the COVID-19 pandemic;</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 w:name="page9"/>
    <w:bookmarkEnd w:id="8"/>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applicable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from the sale of the 3,000,000 shares of common stock by the selling stockholder under this prospectus.</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incur all costs associated with the preparation and filing of the registration statement of which this prospectus is a part. Brokerage fees, commissions and similar expenses, if any, attributable to the sale of shares offered hereby will be borne by the selling stockholder.</w:t>
      </w:r>
    </w:p>
    <w:p>
      <w:pPr>
        <w:spacing w:after="0" w:line="24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320" w:top="796" w:right="1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selling stockholder, Ultragenyx Pharmaceutical Inc., or Ultragenyx, acquired the common stock being registered for resale pursuant to this prospectus, pursuant to an Equity Purchase Agreement, or the Equity Agreement, between us and the selling stockholder dated as of June 18, 2019, pursuant to which we sold to the selling stockholder on June 19, 2019 an aggregate of 2,400,000 shares of our common stock at a price of $10.00 per share and granted to the selling stockholder a two-year right to purchase up to 600,000 additional shares of our common stock at a price of $16.00 per share, or the Additional Shares. Ultragenyx exercised this option to purchase the Additional Shares on May 20, 2020.</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terms of the Equity Agreement, until the later of (i) June 19, 2020 or (ii) the date on which the selling stockholder beneficially owns less than 8.0% of our total voting power, at each annual stockholders meeting or any stockholders meeting at which members of the Board of Directors are to be elected, we must nominate one director designated by the selling stockholder, or the Designee. Additionally, the Designee is required to be appointed to all Board committees (subject to applicable Nasdaq rules). The selling stockholder also has the right to have the chief executive officer of the selling stockholder attend Board meetings as a non-voting observer. Our director, and the executive vice president and general counsel of Ultragenyx, Karah Parschauer is the initial Designee.</w:t>
      </w:r>
    </w:p>
    <w:p>
      <w:pPr>
        <w:spacing w:after="0" w:line="1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Pursuant to the Equity Agreement, the selling stockholder agreed to certain standstill provisions and restrictions on transfer of the shares of common stock. The standstill provisions terminate on June 19, 2021, and the transfer restrictions terminate on November 20, 2020, each subject to earlier termination upon the occurrence of certain events set forth in the Equity Agreement.</w:t>
      </w:r>
    </w:p>
    <w:p>
      <w:pPr>
        <w:spacing w:after="0" w:line="18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Also on June 18, 2019, we and the selling stockholder entered into a Third Amendment, or the Amendment, to the Research Collaboration and License Agreement, dated October 26, 2015, as amended on October 17, 2017 and April 20, 2018. The Amendment expands the collaboration between us and the selling stockholder to cover additional nucleic acid modalities including mRNA, DNA, siRNA therapeutics. The Amendment also expands the existing intellectual property license to cover manufacturing patents and know-how. The Amendment provides the selling stockholder with the right to identify a total of ten rare disease targets to be reserved for future collaborative development with us, which expands this program from 8 to 10 total reserved rare disease targets. The Amendment also clarifies certain obligations of us and the selling stockholder with respect to manufacturing cooperation and data sharing.</w:t>
      </w:r>
    </w:p>
    <w:p>
      <w:pPr>
        <w:spacing w:after="0" w:line="19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Amendment also eliminated certain target exercise payments, exclusivity extension fees and optimization milestone payments that were previously required to be paid by the selling stockholder to exercise options and extend reserve target exclusivity. In connection with the Amendment, the selling stockholder made a one-time payment to us of $6,000,000. Finally, the Amendment narrowed the terms under which a royalty or milestone payment that may be required to be paid by the selling stockholder could be reduced based on our and third parties’ intellectual property coverage over a developed product.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entered into a registration rights agreement with the selling stockholder on June 18, 2019, under which we agreed to file by December 15, 2019 the registration statement of which this prospectus forms a part covering the resale of the shares of common stock sold to the selling stockholder. In connection therewith, we also granted the selling stockholder certain “piggy-back” registration rights with respect to registration statements that we may file in the future.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right="220"/>
        <w:spacing w:after="0" w:line="254" w:lineRule="auto"/>
        <w:rPr>
          <w:sz w:val="20"/>
          <w:szCs w:val="20"/>
          <w:color w:val="auto"/>
        </w:rPr>
      </w:pPr>
      <w:r>
        <w:rPr>
          <w:rFonts w:ascii="Arial" w:cs="Arial" w:eastAsia="Arial" w:hAnsi="Arial"/>
          <w:sz w:val="18"/>
          <w:szCs w:val="18"/>
          <w:color w:val="auto"/>
        </w:rPr>
        <w:t>Other than the relationships described herein, to our knowledge, the selling stockholder and its affiliates are not employees or suppliers of ours or our affiliates. Within the past three years, other than the relationships described herein, neither the selling stockholder nor any of its affiliates have held a position as an officer a director of ours, nor has the selling stockholder had any material relationship of any kind with us or any of our affiliates. All information with respect to share ownership has been furnished by the selling stockholder. The shares being offered are being registered to permit public secondary trading of such shares and the selling stockholder may offer all or part of the shares it owns for resale from time to time in one or more transactions pursuant to this prospectus. To our knowledge, neither the selling stockholder nor its affiliates has any family relationships with our officers, other directors or controlling stockholders.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selling stockholder is an affiliate of broker-dealers, it and any participating broker-dealers may be deemed to be “underwriters” within the meaning of the Securities Act, and any commissions or discounts given to the selling stockholder or broker-dealer may be regarded as underwriting commissions or discounts under the Securities Act.</w:t>
      </w:r>
    </w:p>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term “selling stockholder” also includes any transferees, pledgees, donees, or other successors in interest to the selling stockholder named in the table below. To our knowledge, the selling stockholder has sole voting and investment power with respect to the shares of common stock set forth opposite the selling stockholder’s name. We will file a supplement to this prospectus (or a post-effective amendment hereto, if necessary) to name successors to any named selling stockholder who is able to use this prospectus to resell the common stock registered hereby.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3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29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Beneficially Owned</w:t>
            </w:r>
          </w:p>
        </w:tc>
      </w:tr>
      <w:tr>
        <w:trPr>
          <w:trHeight w:val="216"/>
        </w:trPr>
        <w:tc>
          <w:tcPr>
            <w:tcW w:w="3640" w:type="dxa"/>
            <w:vAlign w:val="bottom"/>
          </w:tcPr>
          <w:p>
            <w:pPr>
              <w:spacing w:after="0"/>
              <w:rPr>
                <w:sz w:val="18"/>
                <w:szCs w:val="18"/>
                <w:color w:val="auto"/>
              </w:rPr>
            </w:pPr>
          </w:p>
        </w:tc>
        <w:tc>
          <w:tcPr>
            <w:tcW w:w="3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Shares Beneficially</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9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Immediately After Sale of</w:t>
            </w:r>
          </w:p>
        </w:tc>
      </w:tr>
      <w:tr>
        <w:trPr>
          <w:trHeight w:val="216"/>
        </w:trPr>
        <w:tc>
          <w:tcPr>
            <w:tcW w:w="3640" w:type="dxa"/>
            <w:vAlign w:val="bottom"/>
          </w:tcPr>
          <w:p>
            <w:pPr>
              <w:spacing w:after="0"/>
              <w:rPr>
                <w:sz w:val="18"/>
                <w:szCs w:val="18"/>
                <w:color w:val="auto"/>
              </w:rPr>
            </w:pPr>
          </w:p>
        </w:tc>
        <w:tc>
          <w:tcPr>
            <w:tcW w:w="3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Owned Before the</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to be</w:t>
            </w:r>
          </w:p>
        </w:tc>
        <w:tc>
          <w:tcPr>
            <w:tcW w:w="2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Maximum Number of</w:t>
            </w:r>
          </w:p>
        </w:tc>
      </w:tr>
      <w:tr>
        <w:trPr>
          <w:trHeight w:val="234"/>
        </w:trPr>
        <w:tc>
          <w:tcPr>
            <w:tcW w:w="3640" w:type="dxa"/>
            <w:vAlign w:val="bottom"/>
          </w:tcPr>
          <w:p>
            <w:pPr>
              <w:spacing w:after="0"/>
              <w:rPr>
                <w:sz w:val="20"/>
                <w:szCs w:val="20"/>
                <w:color w:val="auto"/>
              </w:rPr>
            </w:pPr>
          </w:p>
        </w:tc>
        <w:tc>
          <w:tcPr>
            <w:tcW w:w="3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5"/>
              </w:rPr>
              <w:t>Offering(1)</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Offered in</w:t>
            </w:r>
          </w:p>
        </w:tc>
        <w:tc>
          <w:tcPr>
            <w:tcW w:w="2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Shares in the Offering(1)(2)</w:t>
            </w:r>
          </w:p>
        </w:tc>
      </w:tr>
      <w:tr>
        <w:trPr>
          <w:trHeight w:val="210"/>
        </w:trPr>
        <w:tc>
          <w:tcPr>
            <w:tcW w:w="364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56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Percentage(3)</w:t>
            </w:r>
          </w:p>
        </w:tc>
        <w:tc>
          <w:tcPr>
            <w:tcW w:w="2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the Offering</w:t>
            </w: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13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Percentage(3)</w:t>
            </w:r>
          </w:p>
        </w:tc>
        <w:tc>
          <w:tcPr>
            <w:tcW w:w="20" w:type="dxa"/>
            <w:vAlign w:val="bottom"/>
          </w:tcPr>
          <w:p>
            <w:pPr>
              <w:spacing w:after="0"/>
              <w:rPr>
                <w:sz w:val="18"/>
                <w:szCs w:val="18"/>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Ultragenyx Pharmaceutical Inc.(4)</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60" w:right="28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and generally includes voting or investment power with respect to securities. Shares of common stock subject to warrants, options or rights currently exercisable, or exercisable within 60 days of May 22, 2020 are counted as beneficially owned by the selling stockholder.</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all of the shares of common stock offered hereby are sold.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20,492,286 shares of our common stock outstanding on May 22, 2020.</w:t>
      </w:r>
    </w:p>
    <w:p>
      <w:pPr>
        <w:spacing w:after="0" w:line="9" w:lineRule="exact"/>
        <w:rPr>
          <w:rFonts w:ascii="Arial" w:cs="Arial" w:eastAsia="Arial" w:hAnsi="Arial"/>
          <w:sz w:val="18"/>
          <w:szCs w:val="18"/>
          <w:color w:val="auto"/>
        </w:rPr>
      </w:pPr>
    </w:p>
    <w:p>
      <w:pPr>
        <w:ind w:left="460" w:right="180" w:hanging="452"/>
        <w:spacing w:after="0" w:line="26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Schedule 13D filed with the SEC on May 20, 2020. Ownership consists of 3,000,000. The address of Ultragenyx Pharmaceutical Inc. is 60 Leveroni Court, Novato, California 94949.</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require the selling stockholder to suspend the sales of the common stock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8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Information concerning the selling stockholder may change from time to time and any changed information will be set forth in prospectus supplements if and when necessary.</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registering the shares of common stock on behalf of the selling stockholder. The selling stockholder and any of its pledgees, assignees and successors-in-interest may, from time to time, sell any or all of the common stock covered hereby on the Nasdaq Global Market or any other stock exchange, market or trading facility on which the common stock is traded or in private transactions. These sales may be at fixed prices, at prevailing market prices at the time of the sale, at varying prices determined at the time of sale, or at negotiated prices. The selling stockholder may use any one or more of the following methods when selling common stock:</w:t>
      </w:r>
    </w:p>
    <w:p>
      <w:pPr>
        <w:spacing w:after="0" w:line="18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common stock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distributions in accordance with the rules of the applicable exchange;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1300" w:right="7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through broker-dealers that agree with the selling stockholder to sell a specified number of such common stock at a stipulated price per security;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selling stockholder may also sell common stock under Rule 144 or any other exemption from registration under the Securities Act, if available, rather than under this prospectus.</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Broker-dealers engaged by the selling stockholder may arrange for other broker-dealers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sale of the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common stock short and deliver the common stock to close out their short positions, or loan or pledge the common stock to broker-dealers that in turn may sell the common stock. The selling stockholder may also enter into option or other transactions with broker-dealers or other financial institutions or create one or more derivative securities which require the delivery to such broker-dealer or other financial institution of common stock offered by this prospectus, which common stock such broker-dealer or other financial institution may resell pursuant to this prospectus (as supplemented or amended to reflect such transaction).</w:t>
      </w:r>
    </w:p>
    <w:p>
      <w:pPr>
        <w:spacing w:after="0" w:line="19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selling stockholder and any broker-dealers or agents that are involved in selling the common stock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 has informed us that it does not have any written or oral agreement or understanding, directly or indirectly, with any person to distribute the common stock.</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3" w:name="page14"/>
    <w:bookmarkEnd w:id="13"/>
    <w:p>
      <w:pPr>
        <w:jc w:val="both"/>
        <w:ind w:right="100"/>
        <w:spacing w:after="0" w:line="263"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common stock. We have agreed to indemnify the selling stockholder against certain losses, claims, damages and liabilities, including liabilities under the Securities Act. We will not receive any proceeds from the sale of the shares by the selling stockholder.</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agreed to keep this prospectus effective until the earlier of (i) following the date in which selling stockholder has acquired all of the Additional Shares under the Equity Agreement or the selling stockholder’s right to acquire the Additional Shares under the Equity Agreement has terminated, the date that the common stock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the date that all of the common stock has been sold pursuant to this prospectus or Rule 144 under the Securities Act or any other rule of similar effect. The resale common stock will be sold only through registered or licensed brokers or dealers if required under applicable state securities laws. In addition, in certain states, the resale common stock covered hereby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common stock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common stock being offered hereby will be passed on by Dentons US LLP.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common stock that may be offered under this prospectus. This prospectus does not contain all of the information set forth in the registration statement and the exhibits to the registration statement. For further information with respect to us and the common stock that may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660" w:right="2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16, 2020, including the information specifically incorporated by reference into the Annual Report on Form 10-K from our definitive proxy statement on Schedule 14A, filed with the SEC on April 29, 2020;</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as filed with the SEC on May 8, 2020;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March 4, 2020, March 27, 2020, April 17, 2020, April 21, 2020 and May 21, 2020, (in each case, except for information contained therein which is furnished rather than filed);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Form 8-K12B filed on June 18, 2019.</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(1) after the date of the filing of the registration statement of which this prospectus forms a part and prior to its effectiveness and (2) prior to the termination of any offering of common stock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8"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any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all costs and expenses payable by us in connection with the sale of the common stock being registered hereunder. All of the amounts shown shall be paid by us and are estimates except for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16,843.50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20,000.00</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r>
      <w:tr>
        <w:trPr>
          <w:trHeight w:val="229"/>
        </w:trPr>
        <w:tc>
          <w:tcPr>
            <w:tcW w:w="9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2,000.00</w:t>
            </w:r>
          </w:p>
        </w:tc>
      </w:tr>
      <w:tr>
        <w:trPr>
          <w:trHeight w:val="223"/>
        </w:trPr>
        <w:tc>
          <w:tcPr>
            <w:tcW w:w="9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88,843.50</w:t>
            </w:r>
          </w:p>
        </w:tc>
      </w:tr>
      <w:tr>
        <w:trPr>
          <w:trHeight w:val="20"/>
        </w:trPr>
        <w:tc>
          <w:tcPr>
            <w:tcW w:w="9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6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Further subsections of DGCL Section 145 provide that:</w:t>
      </w:r>
    </w:p>
    <w:p>
      <w:pPr>
        <w:spacing w:after="0" w:line="225" w:lineRule="exact"/>
        <w:rPr>
          <w:sz w:val="20"/>
          <w:szCs w:val="20"/>
          <w:color w:val="auto"/>
        </w:rPr>
      </w:pPr>
    </w:p>
    <w:p>
      <w:pPr>
        <w:ind w:right="200" w:firstLine="8"/>
        <w:spacing w:after="0" w:line="286"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65" w:lineRule="exact"/>
        <w:rPr>
          <w:rFonts w:ascii="Arial" w:cs="Arial" w:eastAsia="Arial" w:hAnsi="Arial"/>
          <w:sz w:val="17"/>
          <w:szCs w:val="17"/>
          <w:color w:val="auto"/>
        </w:rPr>
      </w:pPr>
    </w:p>
    <w:p>
      <w:pPr>
        <w:ind w:right="20" w:firstLine="8"/>
        <w:spacing w:after="0" w:line="26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right="80" w:firstLine="8"/>
        <w:spacing w:after="0" w:line="30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indemnification agreements with our officers and directors.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w:t>
      </w:r>
    </w:p>
    <w:p>
      <w:pPr>
        <w:spacing w:after="0" w:line="2" w:lineRule="exact"/>
        <w:rPr>
          <w:sz w:val="20"/>
          <w:szCs w:val="20"/>
          <w:color w:val="auto"/>
        </w:rPr>
      </w:pPr>
    </w:p>
    <w:p>
      <w:pPr>
        <w:ind w:right="40"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to this registration statement and incorporated herein by this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20" w:firstLine="8"/>
        <w:spacing w:after="0" w:line="273"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8" w:name="page19"/>
    <w:bookmarkEnd w:id="18"/>
    <w:p>
      <w:pPr>
        <w:ind w:right="560" w:firstLine="8"/>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right="280" w:firstLine="8"/>
        <w:spacing w:after="0" w:line="26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right="660" w:firstLine="8"/>
        <w:spacing w:after="0" w:line="277"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40" w:firstLine="8"/>
        <w:spacing w:after="0" w:line="288" w:lineRule="auto"/>
        <w:tabs>
          <w:tab w:leader="none" w:pos="2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8" w:lineRule="exact"/>
        <w:rPr>
          <w:sz w:val="20"/>
          <w:szCs w:val="20"/>
          <w:color w:val="auto"/>
        </w:rPr>
      </w:pPr>
    </w:p>
    <w:p>
      <w:pPr>
        <w:ind w:right="20" w:firstLine="8"/>
        <w:spacing w:after="0" w:line="25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firstLine="8"/>
        <w:spacing w:after="0" w:line="271"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20"/>
          </w:cols>
          <w:pgMar w:left="320" w:top="796" w:right="35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980"/>
        <w:spacing w:after="0"/>
        <w:rPr>
          <w:sz w:val="20"/>
          <w:szCs w:val="20"/>
          <w:color w:val="auto"/>
        </w:rPr>
      </w:pPr>
      <w:r>
        <w:rPr>
          <w:rFonts w:ascii="Arial" w:cs="Arial" w:eastAsia="Arial" w:hAnsi="Arial"/>
          <w:sz w:val="17"/>
          <w:szCs w:val="17"/>
          <w:b w:val="1"/>
          <w:bCs w:val="1"/>
          <w:color w:val="auto"/>
        </w:rPr>
        <w:t>Exhibit</w:t>
      </w:r>
    </w:p>
    <w:p>
      <w:pPr>
        <w:spacing w:after="0" w:line="206" w:lineRule="exact"/>
        <w:rPr>
          <w:sz w:val="20"/>
          <w:szCs w:val="20"/>
          <w:color w:val="auto"/>
        </w:rPr>
      </w:pPr>
    </w:p>
    <w:p>
      <w:pPr>
        <w:sectPr>
          <w:pgSz w:w="11900" w:h="16838" w:orient="portrait"/>
          <w:cols w:equalWidth="0" w:num="2">
            <w:col w:w="4940" w:space="720"/>
            <w:col w:w="5560"/>
          </w:cols>
          <w:pgMar w:left="320" w:top="796" w:right="359" w:bottom="1440" w:gutter="0" w:footer="0" w:header="0"/>
          <w:type w:val="continuous"/>
        </w:sectPr>
      </w:pPr>
    </w:p>
    <w:p>
      <w:pPr>
        <w:spacing w:after="0" w:line="34" w:lineRule="exact"/>
        <w:rPr>
          <w:sz w:val="20"/>
          <w:szCs w:val="20"/>
          <w:color w:val="auto"/>
        </w:rPr>
      </w:pPr>
    </w:p>
    <w:p>
      <w:pPr>
        <w:ind w:left="660" w:right="28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6">
        <w:r>
          <w:rPr>
            <w:rFonts w:ascii="Arial" w:cs="Arial" w:eastAsia="Arial" w:hAnsi="Arial"/>
            <w:sz w:val="18"/>
            <w:szCs w:val="18"/>
            <w:u w:val="single" w:color="auto"/>
            <w:color w:val="0000EE"/>
          </w:rPr>
          <w:t>Certificate of Incorporation of Arcturus Therapeutics Holdings Inc. (filed as Exhibit 3.1 to the Company’s Registration Statement on Form S-3</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(File No. 333-238139), filed with the SEC on May 8, 2020 and incorporated by reference herein)</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7">
        <w:r>
          <w:rPr>
            <w:rFonts w:ascii="Arial" w:cs="Arial" w:eastAsia="Arial" w:hAnsi="Arial"/>
            <w:sz w:val="18"/>
            <w:szCs w:val="18"/>
            <w:u w:val="single" w:color="auto"/>
            <w:color w:val="0000EE"/>
          </w:rPr>
          <w:t>Bylaws of Arcturus Therapeutics Holdings Inc. (filed as Exhibit 3.2 to the Company’s Registration Statement on Form S-3 (File No. 333-238139),</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filed with the SEC on May 8, 2020 and incorporated by reference herein)</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22">
        <w:r>
          <w:rPr>
            <w:rFonts w:ascii="Arial" w:cs="Arial" w:eastAsia="Arial" w:hAnsi="Arial"/>
            <w:sz w:val="16"/>
            <w:szCs w:val="16"/>
            <w:u w:val="single" w:color="auto"/>
            <w:color w:val="0000EE"/>
          </w:rPr>
          <w:t>Opinion of Dentons US LLP</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28">
        <w:r>
          <w:rPr>
            <w:rFonts w:ascii="Arial" w:cs="Arial" w:eastAsia="Arial" w:hAnsi="Arial"/>
            <w:sz w:val="16"/>
            <w:szCs w:val="16"/>
            <w:u w:val="single" w:color="auto"/>
            <w:color w:val="0000EE"/>
          </w:rPr>
          <w:t>Equity Purchase Agreement, dated as of June 18, 2019 (incorporated by reference to the Company’s Current Report on Form 8-K filed on June 20,</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2019)</w:t>
        </w:r>
      </w:hyperlink>
    </w:p>
    <w:p>
      <w:pPr>
        <w:spacing w:after="0" w:line="21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4">
        <w:r>
          <w:rPr>
            <w:rFonts w:ascii="Arial" w:cs="Arial" w:eastAsia="Arial" w:hAnsi="Arial"/>
            <w:sz w:val="16"/>
            <w:szCs w:val="16"/>
            <w:u w:val="single" w:color="auto"/>
            <w:color w:val="0000EE"/>
          </w:rPr>
          <w:t>Consent of Independent Registered Public Accounting Firm</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22">
        <w:r>
          <w:rPr>
            <w:rFonts w:ascii="Arial" w:cs="Arial" w:eastAsia="Arial" w:hAnsi="Arial"/>
            <w:sz w:val="16"/>
            <w:szCs w:val="16"/>
            <w:u w:val="single" w:color="auto"/>
            <w:color w:val="0000EE"/>
          </w:rPr>
          <w:t>Consent of Dentons US LLP (contained in Exhibit 5.1)</w:t>
        </w:r>
      </w:hyperlink>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3"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May 22, 2020.</w:t>
      </w:r>
    </w:p>
    <w:p>
      <w:pPr>
        <w:spacing w:after="0" w:line="18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900" w:type="dxa"/>
            <w:vAlign w:val="bottom"/>
          </w:tcPr>
          <w:p>
            <w:pPr>
              <w:jc w:val="center"/>
              <w:ind w:right="290"/>
              <w:spacing w:after="0"/>
              <w:rPr>
                <w:sz w:val="20"/>
                <w:szCs w:val="20"/>
                <w:color w:val="auto"/>
              </w:rPr>
            </w:pPr>
            <w:r>
              <w:rPr>
                <w:rFonts w:ascii="Arial" w:cs="Arial" w:eastAsia="Arial" w:hAnsi="Arial"/>
                <w:sz w:val="18"/>
                <w:szCs w:val="18"/>
                <w:b w:val="1"/>
                <w:bCs w:val="1"/>
                <w:color w:val="auto"/>
                <w:w w:val="97"/>
              </w:rPr>
              <w:t>Title</w:t>
            </w:r>
          </w:p>
        </w:tc>
        <w:tc>
          <w:tcPr>
            <w:tcW w:w="178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2"/>
              </w:rPr>
              <w:t>President, Chief Executive Officer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6"/>
              </w:rPr>
              <w:t>Joseph E. Payne</w:t>
            </w:r>
          </w:p>
        </w:tc>
        <w:tc>
          <w:tcPr>
            <w:tcW w:w="4900" w:type="dxa"/>
            <w:vAlign w:val="bottom"/>
          </w:tcPr>
          <w:p>
            <w:pPr>
              <w:jc w:val="center"/>
              <w:ind w:right="33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Padmanabh Chivukula</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4"/>
              </w:rPr>
              <w:t>Chief Scientific Officer,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Dr. Padmanabh Chivukula</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1"/>
              </w:rPr>
              <w:t>Chief Operating Officer and Secretary</w:t>
            </w:r>
          </w:p>
        </w:tc>
        <w:tc>
          <w:tcPr>
            <w:tcW w:w="17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0"/>
              </w:rPr>
              <w:t>Chairman of the Board</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Dr. Peter Farrell</w:t>
            </w:r>
          </w:p>
        </w:tc>
        <w:tc>
          <w:tcPr>
            <w:tcW w:w="4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310"/>
              <w:spacing w:after="0"/>
              <w:rPr>
                <w:sz w:val="20"/>
                <w:szCs w:val="20"/>
                <w:color w:val="auto"/>
              </w:rPr>
            </w:pPr>
            <w:r>
              <w:rPr>
                <w:rFonts w:ascii="Arial" w:cs="Arial" w:eastAsia="Arial" w:hAnsi="Arial"/>
                <w:sz w:val="18"/>
                <w:szCs w:val="18"/>
                <w:color w:val="auto"/>
                <w:w w:val="93"/>
              </w:rPr>
              <w:t>Chief Financial Officer and Director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9"/>
              </w:rPr>
              <w:t>Andy Sassine</w:t>
            </w:r>
          </w:p>
        </w:tc>
        <w:tc>
          <w:tcPr>
            <w:tcW w:w="4900" w:type="dxa"/>
            <w:vAlign w:val="bottom"/>
          </w:tcPr>
          <w:p>
            <w:pPr>
              <w:jc w:val="center"/>
              <w:ind w:right="31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James Barlow</w:t>
            </w:r>
          </w:p>
        </w:tc>
        <w:tc>
          <w:tcPr>
            <w:tcW w:w="4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Dr. Edward Holmes</w:t>
            </w:r>
          </w:p>
        </w:tc>
        <w:tc>
          <w:tcPr>
            <w:tcW w:w="4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Dr. Magda Marquet</w:t>
            </w:r>
          </w:p>
        </w:tc>
        <w:tc>
          <w:tcPr>
            <w:tcW w:w="4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8"/>
              </w:rPr>
              <w:t>Karah Parschauer</w:t>
            </w:r>
          </w:p>
        </w:tc>
        <w:tc>
          <w:tcPr>
            <w:tcW w:w="4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900" w:type="dxa"/>
            <w:vAlign w:val="bottom"/>
          </w:tcPr>
          <w:p>
            <w:pPr>
              <w:jc w:val="center"/>
              <w:ind w:right="290"/>
              <w:spacing w:after="0"/>
              <w:rPr>
                <w:sz w:val="20"/>
                <w:szCs w:val="20"/>
                <w:color w:val="auto"/>
              </w:rPr>
            </w:pPr>
            <w:r>
              <w:rPr>
                <w:rFonts w:ascii="Arial" w:cs="Arial" w:eastAsia="Arial" w:hAnsi="Arial"/>
                <w:sz w:val="18"/>
                <w:szCs w:val="18"/>
                <w:color w:val="auto"/>
                <w:w w:val="91"/>
              </w:rPr>
              <w:t>Vice President of Finance and Corporate Controller</w:t>
            </w:r>
          </w:p>
        </w:tc>
        <w:tc>
          <w:tcPr>
            <w:tcW w:w="1780" w:type="dxa"/>
            <w:vAlign w:val="bottom"/>
          </w:tcPr>
          <w:p>
            <w:pPr>
              <w:jc w:val="center"/>
              <w:ind w:left="690"/>
              <w:spacing w:after="0"/>
              <w:rPr>
                <w:sz w:val="20"/>
                <w:szCs w:val="20"/>
                <w:color w:val="auto"/>
              </w:rPr>
            </w:pPr>
            <w:r>
              <w:rPr>
                <w:rFonts w:ascii="Arial" w:cs="Arial" w:eastAsia="Arial" w:hAnsi="Arial"/>
                <w:sz w:val="18"/>
                <w:szCs w:val="18"/>
                <w:color w:val="auto"/>
                <w:w w:val="91"/>
              </w:rPr>
              <w:t>May 22,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5"/>
              </w:rPr>
              <w:t>Keith C. Kummerfeld</w:t>
            </w:r>
          </w:p>
        </w:tc>
        <w:tc>
          <w:tcPr>
            <w:tcW w:w="4900" w:type="dxa"/>
            <w:vAlign w:val="bottom"/>
          </w:tcPr>
          <w:p>
            <w:pPr>
              <w:jc w:val="center"/>
              <w:ind w:right="310"/>
              <w:spacing w:after="0"/>
              <w:rPr>
                <w:sz w:val="20"/>
                <w:szCs w:val="20"/>
                <w:color w:val="auto"/>
              </w:rPr>
            </w:pPr>
            <w:r>
              <w:rPr>
                <w:rFonts w:ascii="Arial" w:cs="Arial" w:eastAsia="Arial" w:hAnsi="Arial"/>
                <w:sz w:val="18"/>
                <w:szCs w:val="18"/>
                <w:i w:val="1"/>
                <w:iCs w:val="1"/>
                <w:color w:val="auto"/>
                <w:w w:val="95"/>
              </w:rPr>
              <w:t>(principal accounting officer)</w:t>
            </w:r>
          </w:p>
        </w:tc>
        <w:tc>
          <w:tcPr>
            <w:tcW w:w="1780" w:type="dxa"/>
            <w:vAlign w:val="bottom"/>
          </w:tcPr>
          <w:p>
            <w:pPr>
              <w:spacing w:after="0"/>
              <w:rPr>
                <w:sz w:val="19"/>
                <w:szCs w:val="19"/>
                <w:color w:val="auto"/>
              </w:rPr>
            </w:pPr>
          </w:p>
        </w:tc>
      </w:tr>
    </w:tbl>
    <w:p>
      <w:pPr>
        <w:spacing w:after="0" w:line="1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Joseph E. Payne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240"/>
          </w:cols>
          <w:pgMar w:left="320" w:top="823"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0"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000000"/>
        </w:rPr>
        <w:t>大成</w:t>
      </w:r>
      <w:r>
        <w:rPr>
          <w:rFonts w:ascii="Arial" w:cs="Arial" w:eastAsia="Arial" w:hAnsi="Arial"/>
          <w:sz w:val="18"/>
          <w:szCs w:val="18"/>
          <w:b w:val="1"/>
          <w:bCs w:val="1"/>
          <w:color w:val="6E2D91"/>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4787265</wp:posOffset>
            </wp:positionH>
            <wp:positionV relativeFrom="paragraph">
              <wp:posOffset>-135255</wp:posOffset>
            </wp:positionV>
            <wp:extent cx="2552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55270" cy="1390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dentons.com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acted as counsel to Arcturus Therapeutics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being filed by the Company with the Securities and Exchange Commission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for the registration of the re-sales of 3,000,000 shares of the Company’s common stock, $0.001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such Shares to be offered and sold from time to time by the selling stockholder listed in the Registration Statement under the heading “Selling Stockholder.”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to you pursuant to Item 601(b)(5) of Regulation S-K under the Act at the request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rendering this opinion, we have examined originals, certified copies or copies otherwise identified as being true copies of the following:</w:t>
      </w:r>
    </w:p>
    <w:p>
      <w:pPr>
        <w:spacing w:after="0" w:line="46" w:lineRule="exact"/>
        <w:rPr>
          <w:sz w:val="20"/>
          <w:szCs w:val="20"/>
          <w:color w:val="auto"/>
        </w:rPr>
      </w:pPr>
    </w:p>
    <w:p>
      <w:pPr>
        <w:ind w:right="260" w:firstLine="8"/>
        <w:spacing w:after="0" w:line="290" w:lineRule="auto"/>
        <w:tabs>
          <w:tab w:leader="none" w:pos="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Certificate of Incorporation, (ii) the Company’s By-Laws, (iii) the Registration Statement, (iv) corporate proceedings of the Company relating to the Shares, and (v) such other instruments and documents as we have deemed necessary under the circumstances.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assumed the genuineness and authenticity of all documents examined by us and all signatures thereon, and the conformity to originals of all copies of documents examined by us.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Based upon the foregoing, and in reliance thereon, and subject to the qualifications, limitations and exceptions stated herein, we are of the opinion having due regard for such legal considerations as we deemed relevant, that the Shares have been validly issued, fully paid and are nonassessable.</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opinions are subject to limitations imposed by general principles of equity or public policy upon the enforceability of any of the remedies or covenants,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ind w:left="3360"/>
        <w:spacing w:after="0"/>
        <w:rPr>
          <w:sz w:val="20"/>
          <w:szCs w:val="20"/>
          <w:color w:val="auto"/>
        </w:rPr>
      </w:pPr>
      <w:r>
        <w:rPr>
          <w:rFonts w:ascii="Arial" w:cs="Arial" w:eastAsia="Arial" w:hAnsi="Arial"/>
          <w:sz w:val="18"/>
          <w:szCs w:val="18"/>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51585"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251585" cy="402590"/>
                    </a:xfrm>
                    <a:prstGeom prst="rect">
                      <a:avLst/>
                    </a:prstGeom>
                    <a:noFill/>
                  </pic:spPr>
                </pic:pic>
              </a:graphicData>
            </a:graphic>
          </wp:anchor>
        </w:drawing>
      </w:r>
    </w:p>
    <w:p>
      <w:pPr>
        <w:spacing w:after="0" w:line="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May 22, 2020</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express no opinion as to the laws of any jurisdiction other than Delaware general corporation law and the federal laws of the United States of America.</w:t>
      </w:r>
    </w:p>
    <w:p>
      <w:pPr>
        <w:spacing w:after="0" w:line="2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Dentons US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160"/>
          </w:cols>
          <w:pgMar w:left="320" w:top="800" w:right="4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S-3/A No. 333-235475) and related Prospectus of Arcturus Therapeutics Holdings Inc. for the registration of 3,000,000 shares of its common stock and to the incorporation by reference therein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lowerRoman"/>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Roman"/>
      <w:start w:val="2"/>
    </w:lvl>
  </w:abstractNum>
  <w:abstractNum w:abstractNumId="13">
    <w:nsid w:val="4E6AFB66"/>
    <w:multiLevelType w:val="hybridMultilevel"/>
    <w:lvl w:ilvl="0">
      <w:lvlJc w:val="left"/>
      <w:lvlText w:val="(%1)"/>
      <w:numFmt w:val="lowerRoman"/>
      <w:start w:val="3"/>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jpeg"/><Relationship Id="rId26" Type="http://schemas.openxmlformats.org/officeDocument/2006/relationships/hyperlink" Target="http://www.sec.gov/Archives/edgar/data/1768224/000119380520000569/e619613_ex3-1.htm" TargetMode="External"/><Relationship Id="rId27" Type="http://schemas.openxmlformats.org/officeDocument/2006/relationships/hyperlink" Target="http://www.sec.gov/Archives/edgar/data/1768224/000119380520000569/e619613_ex3-2.htm" TargetMode="External"/><Relationship Id="rId28" Type="http://schemas.openxmlformats.org/officeDocument/2006/relationships/hyperlink" Target="http://www.sec.gov/Archives/edgar/data/1566049/000119312519176908/d7212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2020-05-22T16:17:29Z</dcterms:created>
  <dcterms:modified xsi:type="dcterms:W3CDTF">2020-05-22T16:17:29Z</dcterms:modified>
</cp:coreProperties>
</file>