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519"/>
        <w:spacing w:after="0"/>
        <w:rPr>
          <w:sz w:val="20"/>
          <w:szCs w:val="20"/>
          <w:color w:val="auto"/>
        </w:rPr>
      </w:pPr>
      <w:r>
        <w:rPr>
          <w:rFonts w:ascii="Arial" w:cs="Arial" w:eastAsia="Arial" w:hAnsi="Arial"/>
          <w:sz w:val="18"/>
          <w:szCs w:val="18"/>
          <w:b w:val="1"/>
          <w:bCs w:val="1"/>
          <w:color w:val="auto"/>
        </w:rPr>
        <w:t>Filed pursuant to Rule 424(b)(5)</w:t>
      </w:r>
    </w:p>
    <w:p>
      <w:pPr>
        <w:spacing w:after="0" w:line="31"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Registration No. 333-197411</w:t>
      </w:r>
    </w:p>
    <w:p>
      <w:pPr>
        <w:spacing w:after="0" w:line="140"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PROSPECTUS SUPPLEMENT</w:t>
      </w:r>
    </w:p>
    <w:p>
      <w:pPr>
        <w:spacing w:after="0" w:line="25"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(To prospectus dated August 1, 2014)</w:t>
      </w:r>
    </w:p>
    <w:p>
      <w:pPr>
        <w:spacing w:after="0" w:line="179"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6,175,000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88265</wp:posOffset>
            </wp:positionV>
            <wp:extent cx="1964055"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405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399"/>
        <w:spacing w:after="0"/>
        <w:rPr>
          <w:sz w:val="20"/>
          <w:szCs w:val="20"/>
          <w:color w:val="auto"/>
        </w:rPr>
      </w:pPr>
      <w:r>
        <w:rPr>
          <w:rFonts w:ascii="Arial" w:cs="Arial" w:eastAsia="Arial" w:hAnsi="Arial"/>
          <w:sz w:val="36"/>
          <w:szCs w:val="36"/>
          <w:b w:val="1"/>
          <w:bCs w:val="1"/>
          <w:color w:val="auto"/>
        </w:rPr>
        <w:t>Alcobra Ltd.</w:t>
      </w:r>
    </w:p>
    <w:p>
      <w:pPr>
        <w:spacing w:after="0" w:line="215" w:lineRule="exact"/>
        <w:rPr>
          <w:sz w:val="24"/>
          <w:szCs w:val="24"/>
          <w:color w:val="auto"/>
        </w:rPr>
      </w:pPr>
    </w:p>
    <w:p>
      <w:pPr>
        <w:jc w:val="center"/>
        <w:ind w:right="399"/>
        <w:spacing w:after="0"/>
        <w:rPr>
          <w:sz w:val="20"/>
          <w:szCs w:val="20"/>
          <w:color w:val="auto"/>
        </w:rPr>
      </w:pPr>
      <w:r>
        <w:rPr>
          <w:rFonts w:ascii="Arial" w:cs="Arial" w:eastAsia="Arial" w:hAnsi="Arial"/>
          <w:sz w:val="29"/>
          <w:szCs w:val="29"/>
          <w:b w:val="1"/>
          <w:bCs w:val="1"/>
          <w:color w:val="auto"/>
        </w:rPr>
        <w:t>Ordinary Shares</w:t>
      </w:r>
    </w:p>
    <w:p>
      <w:pPr>
        <w:spacing w:after="0" w:line="138" w:lineRule="exact"/>
        <w:rPr>
          <w:sz w:val="24"/>
          <w:szCs w:val="24"/>
          <w:color w:val="auto"/>
        </w:rPr>
      </w:pPr>
    </w:p>
    <w:p>
      <w:pPr>
        <w:ind w:left="180" w:right="799"/>
        <w:spacing w:after="0" w:line="256" w:lineRule="auto"/>
        <w:rPr>
          <w:sz w:val="20"/>
          <w:szCs w:val="20"/>
          <w:color w:val="auto"/>
        </w:rPr>
      </w:pPr>
      <w:r>
        <w:rPr>
          <w:rFonts w:ascii="Arial" w:cs="Arial" w:eastAsia="Arial" w:hAnsi="Arial"/>
          <w:sz w:val="18"/>
          <w:szCs w:val="18"/>
          <w:color w:val="auto"/>
        </w:rPr>
        <w:t>We are offering our ordinary shares. The offering price is $6.50 per ordinary share. Our ordinary shares are listed on the NASDAQ Global Market under the symbol “ADHD.” On November 12, 2015, the last reported sales price of our ordinary shares on the NASDAQ Global Market was $7.12 per share.</w:t>
      </w:r>
    </w:p>
    <w:p>
      <w:pPr>
        <w:spacing w:after="0" w:line="72" w:lineRule="exact"/>
        <w:rPr>
          <w:sz w:val="24"/>
          <w:szCs w:val="24"/>
          <w:color w:val="auto"/>
        </w:rPr>
      </w:pPr>
    </w:p>
    <w:p>
      <w:pPr>
        <w:ind w:left="180" w:right="599"/>
        <w:spacing w:after="0" w:line="287"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45" w:lineRule="exact"/>
        <w:rPr>
          <w:sz w:val="24"/>
          <w:szCs w:val="24"/>
          <w:color w:val="auto"/>
        </w:rPr>
      </w:pPr>
    </w:p>
    <w:p>
      <w:pPr>
        <w:ind w:left="180" w:right="639"/>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Please read “Risk Factors” beginning on page S-</w:t>
      </w:r>
      <w:hyperlink w:anchor="page9">
        <w:r>
          <w:rPr>
            <w:rFonts w:ascii="Arial" w:cs="Arial" w:eastAsia="Arial" w:hAnsi="Arial"/>
            <w:sz w:val="18"/>
            <w:szCs w:val="18"/>
            <w:b w:val="1"/>
            <w:bCs w:val="1"/>
            <w:u w:val="single" w:color="auto"/>
            <w:color w:val="0000EE"/>
          </w:rPr>
          <w:t>6</w:t>
        </w:r>
      </w:hyperlink>
      <w:r>
        <w:rPr>
          <w:rFonts w:ascii="Arial" w:cs="Arial" w:eastAsia="Arial" w:hAnsi="Arial"/>
          <w:sz w:val="18"/>
          <w:szCs w:val="18"/>
          <w:b w:val="1"/>
          <w:bCs w:val="1"/>
          <w:color w:val="auto"/>
        </w:rPr>
        <w:t>.</w:t>
      </w:r>
    </w:p>
    <w:p>
      <w:pPr>
        <w:spacing w:after="0" w:line="45" w:lineRule="exact"/>
        <w:rPr>
          <w:sz w:val="24"/>
          <w:szCs w:val="24"/>
          <w:color w:val="auto"/>
        </w:rPr>
      </w:pPr>
    </w:p>
    <w:p>
      <w:pPr>
        <w:ind w:left="180" w:right="619"/>
        <w:spacing w:after="0" w:line="26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52705</wp:posOffset>
            </wp:positionV>
            <wp:extent cx="6037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7580" cy="1714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86995</wp:posOffset>
            </wp:positionV>
            <wp:extent cx="53168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25"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1200" w:type="dxa"/>
            <w:vAlign w:val="bottom"/>
          </w:tcPr>
          <w:p>
            <w:pPr>
              <w:spacing w:after="0"/>
              <w:rPr>
                <w:sz w:val="15"/>
                <w:szCs w:val="15"/>
                <w:color w:val="auto"/>
              </w:rPr>
            </w:pPr>
          </w:p>
        </w:tc>
      </w:tr>
      <w:tr>
        <w:trPr>
          <w:trHeight w:val="183"/>
        </w:trPr>
        <w:tc>
          <w:tcPr>
            <w:tcW w:w="49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Public Offering Price</w:t>
            </w:r>
          </w:p>
        </w:tc>
        <w:tc>
          <w:tcPr>
            <w:tcW w:w="240" w:type="dxa"/>
            <w:vAlign w:val="bottom"/>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61"/>
              <w:spacing w:after="0" w:line="183" w:lineRule="exact"/>
              <w:rPr>
                <w:sz w:val="20"/>
                <w:szCs w:val="20"/>
                <w:color w:val="auto"/>
              </w:rPr>
            </w:pPr>
            <w:r>
              <w:rPr>
                <w:rFonts w:ascii="Arial" w:cs="Arial" w:eastAsia="Arial" w:hAnsi="Arial"/>
                <w:sz w:val="16"/>
                <w:szCs w:val="16"/>
                <w:color w:val="auto"/>
              </w:rPr>
              <w:t>6.50</w:t>
            </w:r>
          </w:p>
        </w:tc>
        <w:tc>
          <w:tcPr>
            <w:tcW w:w="52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line="183" w:lineRule="exact"/>
              <w:rPr>
                <w:sz w:val="20"/>
                <w:szCs w:val="20"/>
                <w:color w:val="auto"/>
              </w:rPr>
            </w:pPr>
            <w:r>
              <w:rPr>
                <w:rFonts w:ascii="Arial" w:cs="Arial" w:eastAsia="Arial" w:hAnsi="Arial"/>
                <w:sz w:val="16"/>
                <w:szCs w:val="16"/>
                <w:color w:val="auto"/>
              </w:rPr>
              <w:t>40,137,500</w:t>
            </w:r>
          </w:p>
        </w:tc>
        <w:tc>
          <w:tcPr>
            <w:tcW w:w="1200" w:type="dxa"/>
            <w:vAlign w:val="bottom"/>
          </w:tcPr>
          <w:p>
            <w:pPr>
              <w:spacing w:after="0"/>
              <w:rPr>
                <w:sz w:val="15"/>
                <w:szCs w:val="15"/>
                <w:color w:val="auto"/>
              </w:rPr>
            </w:pPr>
          </w:p>
        </w:tc>
      </w:tr>
      <w:tr>
        <w:trPr>
          <w:trHeight w:val="230"/>
        </w:trPr>
        <w:tc>
          <w:tcPr>
            <w:tcW w:w="4920" w:type="dxa"/>
            <w:vAlign w:val="bottom"/>
            <w:gridSpan w:val="2"/>
          </w:tcPr>
          <w:p>
            <w:pPr>
              <w:ind w:left="20"/>
              <w:spacing w:after="0" w:line="230" w:lineRule="exact"/>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6"/>
                <w:szCs w:val="26"/>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61"/>
              <w:spacing w:after="0"/>
              <w:rPr>
                <w:sz w:val="20"/>
                <w:szCs w:val="20"/>
                <w:color w:val="auto"/>
              </w:rPr>
            </w:pPr>
            <w:r>
              <w:rPr>
                <w:rFonts w:ascii="Arial" w:cs="Arial" w:eastAsia="Arial" w:hAnsi="Arial"/>
                <w:sz w:val="16"/>
                <w:szCs w:val="16"/>
                <w:color w:val="auto"/>
              </w:rPr>
              <w:t>0.39</w:t>
            </w:r>
          </w:p>
        </w:tc>
        <w:tc>
          <w:tcPr>
            <w:tcW w:w="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2,408,250</w:t>
            </w:r>
          </w:p>
        </w:tc>
        <w:tc>
          <w:tcPr>
            <w:tcW w:w="1200" w:type="dxa"/>
            <w:vAlign w:val="bottom"/>
          </w:tcPr>
          <w:p>
            <w:pPr>
              <w:spacing w:after="0"/>
              <w:rPr>
                <w:sz w:val="19"/>
                <w:szCs w:val="19"/>
                <w:color w:val="auto"/>
              </w:rPr>
            </w:pPr>
          </w:p>
        </w:tc>
      </w:tr>
      <w:tr>
        <w:trPr>
          <w:trHeight w:val="18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Proceeds to us before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6.11</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37,729,250</w:t>
            </w:r>
          </w:p>
        </w:tc>
        <w:tc>
          <w:tcPr>
            <w:tcW w:w="1200" w:type="dxa"/>
            <w:vAlign w:val="bottom"/>
          </w:tcPr>
          <w:p>
            <w:pPr>
              <w:spacing w:after="0"/>
              <w:rPr>
                <w:sz w:val="16"/>
                <w:szCs w:val="16"/>
                <w:color w:val="auto"/>
              </w:rPr>
            </w:pPr>
          </w:p>
        </w:tc>
      </w:tr>
      <w:tr>
        <w:trPr>
          <w:trHeight w:val="108"/>
        </w:trPr>
        <w:tc>
          <w:tcPr>
            <w:tcW w:w="60" w:type="dxa"/>
            <w:vAlign w:val="bottom"/>
          </w:tcPr>
          <w:p>
            <w:pPr>
              <w:spacing w:after="0"/>
              <w:rPr>
                <w:sz w:val="9"/>
                <w:szCs w:val="9"/>
                <w:color w:val="auto"/>
              </w:rPr>
            </w:pPr>
          </w:p>
        </w:tc>
        <w:tc>
          <w:tcPr>
            <w:tcW w:w="48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r>
    </w:tbl>
    <w:p>
      <w:pPr>
        <w:spacing w:after="0" w:line="73" w:lineRule="exact"/>
        <w:rPr>
          <w:sz w:val="24"/>
          <w:szCs w:val="24"/>
          <w:color w:val="auto"/>
        </w:rPr>
      </w:pPr>
    </w:p>
    <w:p>
      <w:pPr>
        <w:ind w:left="640" w:hanging="182"/>
        <w:spacing w:after="0"/>
        <w:tabs>
          <w:tab w:leader="none" w:pos="640" w:val="left"/>
        </w:tabs>
        <w:numPr>
          <w:ilvl w:val="0"/>
          <w:numId w:val="1"/>
        </w:numPr>
        <w:rPr>
          <w:rFonts w:ascii="Arial" w:cs="Arial" w:eastAsia="Arial" w:hAnsi="Arial"/>
          <w:sz w:val="22"/>
          <w:szCs w:val="22"/>
          <w:color w:val="auto"/>
          <w:vertAlign w:val="superscript"/>
        </w:rPr>
      </w:pPr>
      <w:r>
        <w:rPr>
          <w:rFonts w:ascii="Arial" w:cs="Arial" w:eastAsia="Arial" w:hAnsi="Arial"/>
          <w:sz w:val="13"/>
          <w:szCs w:val="13"/>
          <w:color w:val="auto"/>
        </w:rPr>
        <w:t>The underwriters will also be reimbursed for certain expenses incurred in this offering. See “Underwriting” for details.</w:t>
      </w:r>
    </w:p>
    <w:p>
      <w:pPr>
        <w:spacing w:after="0" w:line="106" w:lineRule="exact"/>
        <w:rPr>
          <w:sz w:val="24"/>
          <w:szCs w:val="24"/>
          <w:color w:val="auto"/>
        </w:rPr>
      </w:pPr>
    </w:p>
    <w:p>
      <w:pPr>
        <w:ind w:left="180" w:right="1279"/>
        <w:spacing w:after="0" w:line="254" w:lineRule="auto"/>
        <w:rPr>
          <w:sz w:val="20"/>
          <w:szCs w:val="20"/>
          <w:color w:val="auto"/>
        </w:rPr>
      </w:pPr>
      <w:r>
        <w:rPr>
          <w:rFonts w:ascii="Arial" w:cs="Arial" w:eastAsia="Arial" w:hAnsi="Arial"/>
          <w:sz w:val="18"/>
          <w:szCs w:val="18"/>
          <w:color w:val="auto"/>
        </w:rPr>
        <w:t>Delivery of the ordinary shares is expected to be made on or about November 18, 2015. We have granted the underwriters an option for a period of 30 days to purchase up to an additional 926,250 ordinary shares. If the underwriters exercise the option in full, the total underwriting discounts and commissions payable by us will be $2,769,488, and the total proceeds to us, before expenses, will be $43,388,638.</w:t>
      </w:r>
    </w:p>
    <w:p>
      <w:pPr>
        <w:spacing w:after="0" w:line="78" w:lineRule="exact"/>
        <w:rPr>
          <w:sz w:val="24"/>
          <w:szCs w:val="24"/>
          <w:color w:val="auto"/>
        </w:rPr>
      </w:pPr>
    </w:p>
    <w:p>
      <w:pPr>
        <w:jc w:val="center"/>
        <w:ind w:right="339"/>
        <w:spacing w:after="0"/>
        <w:rPr>
          <w:sz w:val="20"/>
          <w:szCs w:val="20"/>
          <w:color w:val="auto"/>
        </w:rPr>
      </w:pPr>
      <w:r>
        <w:rPr>
          <w:rFonts w:ascii="Arial" w:cs="Arial" w:eastAsia="Arial" w:hAnsi="Arial"/>
          <w:sz w:val="18"/>
          <w:szCs w:val="18"/>
          <w:i w:val="1"/>
          <w:iCs w:val="1"/>
          <w:color w:val="auto"/>
        </w:rPr>
        <w:t>Joint Book-Running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95250</wp:posOffset>
            </wp:positionV>
            <wp:extent cx="5608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429"/>
        </w:trPr>
        <w:tc>
          <w:tcPr>
            <w:tcW w:w="2700" w:type="dxa"/>
            <w:vAlign w:val="bottom"/>
          </w:tcPr>
          <w:p>
            <w:pPr>
              <w:ind w:left="140"/>
              <w:spacing w:after="0"/>
              <w:rPr>
                <w:sz w:val="20"/>
                <w:szCs w:val="20"/>
                <w:color w:val="auto"/>
              </w:rPr>
            </w:pPr>
            <w:r>
              <w:rPr>
                <w:rFonts w:ascii="Arial" w:cs="Arial" w:eastAsia="Arial" w:hAnsi="Arial"/>
                <w:sz w:val="32"/>
                <w:szCs w:val="32"/>
                <w:b w:val="1"/>
                <w:bCs w:val="1"/>
                <w:color w:val="auto"/>
              </w:rPr>
              <w:t>Jefferies</w:t>
            </w:r>
          </w:p>
        </w:tc>
        <w:tc>
          <w:tcPr>
            <w:tcW w:w="3440" w:type="dxa"/>
            <w:vAlign w:val="bottom"/>
          </w:tcPr>
          <w:p>
            <w:pPr>
              <w:spacing w:after="0"/>
              <w:rPr>
                <w:sz w:val="24"/>
                <w:szCs w:val="24"/>
                <w:color w:val="auto"/>
              </w:rPr>
            </w:pPr>
          </w:p>
        </w:tc>
        <w:tc>
          <w:tcPr>
            <w:tcW w:w="3460" w:type="dxa"/>
            <w:vAlign w:val="bottom"/>
          </w:tcPr>
          <w:p>
            <w:pPr>
              <w:jc w:val="right"/>
              <w:ind w:right="456"/>
              <w:spacing w:after="0"/>
              <w:rPr>
                <w:sz w:val="20"/>
                <w:szCs w:val="20"/>
                <w:color w:val="auto"/>
              </w:rPr>
            </w:pPr>
            <w:r>
              <w:rPr>
                <w:rFonts w:ascii="Arial" w:cs="Arial" w:eastAsia="Arial" w:hAnsi="Arial"/>
                <w:sz w:val="32"/>
                <w:szCs w:val="32"/>
                <w:b w:val="1"/>
                <w:bCs w:val="1"/>
                <w:color w:val="auto"/>
              </w:rPr>
              <w:t>Barclays</w:t>
            </w:r>
          </w:p>
        </w:tc>
      </w:tr>
      <w:tr>
        <w:trPr>
          <w:trHeight w:val="309"/>
        </w:trPr>
        <w:tc>
          <w:tcPr>
            <w:tcW w:w="2700" w:type="dxa"/>
            <w:vAlign w:val="bottom"/>
          </w:tcPr>
          <w:p>
            <w:pPr>
              <w:spacing w:after="0"/>
              <w:rPr>
                <w:sz w:val="24"/>
                <w:szCs w:val="24"/>
                <w:color w:val="auto"/>
              </w:rPr>
            </w:pPr>
          </w:p>
        </w:tc>
        <w:tc>
          <w:tcPr>
            <w:tcW w:w="3440" w:type="dxa"/>
            <w:vAlign w:val="bottom"/>
          </w:tcPr>
          <w:p>
            <w:pPr>
              <w:ind w:left="1700"/>
              <w:spacing w:after="0"/>
              <w:rPr>
                <w:sz w:val="20"/>
                <w:szCs w:val="20"/>
                <w:color w:val="auto"/>
              </w:rPr>
            </w:pPr>
            <w:r>
              <w:rPr>
                <w:rFonts w:ascii="Arial" w:cs="Arial" w:eastAsia="Arial" w:hAnsi="Arial"/>
                <w:sz w:val="18"/>
                <w:szCs w:val="18"/>
                <w:i w:val="1"/>
                <w:iCs w:val="1"/>
                <w:color w:val="auto"/>
              </w:rPr>
              <w:t>Co-Managers</w:t>
            </w:r>
          </w:p>
        </w:tc>
        <w:tc>
          <w:tcPr>
            <w:tcW w:w="3460" w:type="dxa"/>
            <w:vAlign w:val="bottom"/>
          </w:tcPr>
          <w:p>
            <w:pPr>
              <w:spacing w:after="0"/>
              <w:rPr>
                <w:sz w:val="24"/>
                <w:szCs w:val="24"/>
                <w:color w:val="auto"/>
              </w:rPr>
            </w:pPr>
          </w:p>
        </w:tc>
      </w:tr>
      <w:tr>
        <w:trPr>
          <w:trHeight w:val="589"/>
        </w:trPr>
        <w:tc>
          <w:tcPr>
            <w:tcW w:w="2700" w:type="dxa"/>
            <w:vAlign w:val="bottom"/>
          </w:tcPr>
          <w:p>
            <w:pPr>
              <w:ind w:left="140"/>
              <w:spacing w:after="0"/>
              <w:rPr>
                <w:sz w:val="20"/>
                <w:szCs w:val="20"/>
                <w:color w:val="auto"/>
              </w:rPr>
            </w:pPr>
            <w:r>
              <w:rPr>
                <w:rFonts w:ascii="Arial" w:cs="Arial" w:eastAsia="Arial" w:hAnsi="Arial"/>
                <w:sz w:val="25"/>
                <w:szCs w:val="25"/>
                <w:b w:val="1"/>
                <w:bCs w:val="1"/>
                <w:color w:val="auto"/>
              </w:rPr>
              <w:t>Oppenheimer &amp; Co.</w:t>
            </w:r>
          </w:p>
        </w:tc>
        <w:tc>
          <w:tcPr>
            <w:tcW w:w="3440" w:type="dxa"/>
            <w:vAlign w:val="bottom"/>
          </w:tcPr>
          <w:p>
            <w:pPr>
              <w:ind w:left="340"/>
              <w:spacing w:after="0"/>
              <w:rPr>
                <w:sz w:val="20"/>
                <w:szCs w:val="20"/>
                <w:color w:val="auto"/>
              </w:rPr>
            </w:pPr>
            <w:r>
              <w:rPr>
                <w:rFonts w:ascii="Arial" w:cs="Arial" w:eastAsia="Arial" w:hAnsi="Arial"/>
                <w:sz w:val="25"/>
                <w:szCs w:val="25"/>
                <w:b w:val="1"/>
                <w:bCs w:val="1"/>
                <w:color w:val="auto"/>
              </w:rPr>
              <w:t>Cantor Fitzgerald &amp; Co.</w:t>
            </w:r>
          </w:p>
        </w:tc>
        <w:tc>
          <w:tcPr>
            <w:tcW w:w="3460" w:type="dxa"/>
            <w:vAlign w:val="bottom"/>
          </w:tcPr>
          <w:p>
            <w:pPr>
              <w:jc w:val="right"/>
              <w:ind w:right="456"/>
              <w:spacing w:after="0"/>
              <w:rPr>
                <w:sz w:val="20"/>
                <w:szCs w:val="20"/>
                <w:color w:val="auto"/>
              </w:rPr>
            </w:pPr>
            <w:r>
              <w:rPr>
                <w:rFonts w:ascii="Arial" w:cs="Arial" w:eastAsia="Arial" w:hAnsi="Arial"/>
                <w:sz w:val="25"/>
                <w:szCs w:val="25"/>
                <w:b w:val="1"/>
                <w:bCs w:val="1"/>
                <w:color w:val="auto"/>
              </w:rPr>
              <w:t>Roth Capital Partners</w:t>
            </w:r>
          </w:p>
        </w:tc>
      </w:tr>
      <w:tr>
        <w:trPr>
          <w:trHeight w:val="356"/>
        </w:trPr>
        <w:tc>
          <w:tcPr>
            <w:tcW w:w="2700" w:type="dxa"/>
            <w:vAlign w:val="bottom"/>
          </w:tcPr>
          <w:p>
            <w:pPr>
              <w:spacing w:after="0"/>
              <w:rPr>
                <w:sz w:val="24"/>
                <w:szCs w:val="24"/>
                <w:color w:val="auto"/>
              </w:rPr>
            </w:pPr>
          </w:p>
        </w:tc>
        <w:tc>
          <w:tcPr>
            <w:tcW w:w="6900" w:type="dxa"/>
            <w:vAlign w:val="bottom"/>
            <w:gridSpan w:val="2"/>
          </w:tcPr>
          <w:p>
            <w:pPr>
              <w:jc w:val="right"/>
              <w:ind w:right="2496"/>
              <w:spacing w:after="0"/>
              <w:rPr>
                <w:sz w:val="20"/>
                <w:szCs w:val="20"/>
                <w:color w:val="auto"/>
              </w:rPr>
            </w:pPr>
            <w:r>
              <w:rPr>
                <w:rFonts w:ascii="Arial" w:cs="Arial" w:eastAsia="Arial" w:hAnsi="Arial"/>
                <w:sz w:val="18"/>
                <w:szCs w:val="18"/>
                <w:color w:val="auto"/>
              </w:rPr>
              <w:t>Prospectus Supplement dated November 13, 2015</w:t>
            </w:r>
          </w:p>
        </w:tc>
      </w:tr>
      <w:tr>
        <w:trPr>
          <w:trHeight w:val="716"/>
        </w:trPr>
        <w:tc>
          <w:tcPr>
            <w:tcW w:w="27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r>
      <w:tr>
        <w:trPr>
          <w:trHeight w:val="21"/>
        </w:trPr>
        <w:tc>
          <w:tcPr>
            <w:tcW w:w="2700" w:type="dxa"/>
            <w:vAlign w:val="bottom"/>
            <w:tcBorders>
              <w:bottom w:val="single" w:sz="8" w:color="EEEEEE"/>
            </w:tcBorders>
          </w:tcPr>
          <w:p>
            <w:pPr>
              <w:spacing w:after="0" w:line="20" w:lineRule="exact"/>
              <w:rPr>
                <w:sz w:val="1"/>
                <w:szCs w:val="1"/>
                <w:color w:val="auto"/>
              </w:rPr>
            </w:pPr>
          </w:p>
        </w:tc>
        <w:tc>
          <w:tcPr>
            <w:tcW w:w="3440" w:type="dxa"/>
            <w:vAlign w:val="bottom"/>
            <w:tcBorders>
              <w:bottom w:val="single" w:sz="8" w:color="EEEEEE"/>
            </w:tcBorders>
          </w:tcPr>
          <w:p>
            <w:pPr>
              <w:spacing w:after="0" w:line="20" w:lineRule="exact"/>
              <w:rPr>
                <w:sz w:val="1"/>
                <w:szCs w:val="1"/>
                <w:color w:val="auto"/>
              </w:rPr>
            </w:pPr>
          </w:p>
        </w:tc>
        <w:tc>
          <w:tcPr>
            <w:tcW w:w="346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-1019810</wp:posOffset>
            </wp:positionV>
            <wp:extent cx="5600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ectPr>
          <w:pgSz w:w="11900" w:h="16838" w:orient="portrait"/>
          <w:cols w:equalWidth="0" w:num="1">
            <w:col w:w="10219"/>
          </w:cols>
          <w:pgMar w:left="240" w:top="454" w:right="1440" w:bottom="1440" w:gutter="0" w:footer="0" w:header="0"/>
        </w:sectPr>
      </w:pPr>
    </w:p>
    <w:bookmarkStart w:id="1" w:name="page2"/>
    <w:bookmarkEnd w:id="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1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Page</w:t>
            </w:r>
          </w:p>
        </w:tc>
        <w:tc>
          <w:tcPr>
            <w:tcW w:w="1260" w:type="dxa"/>
            <w:vAlign w:val="bottom"/>
          </w:tcPr>
          <w:p>
            <w:pPr>
              <w:spacing w:after="0"/>
              <w:rPr>
                <w:sz w:val="24"/>
                <w:szCs w:val="24"/>
                <w:color w:val="auto"/>
              </w:rPr>
            </w:pPr>
          </w:p>
        </w:tc>
      </w:tr>
      <w:tr>
        <w:trPr>
          <w:trHeight w:val="156"/>
        </w:trPr>
        <w:tc>
          <w:tcPr>
            <w:tcW w:w="140" w:type="dxa"/>
            <w:vAlign w:val="bottom"/>
            <w:tcBorders>
              <w:right w:val="single" w:sz="8" w:color="CCEEFF"/>
            </w:tcBorders>
          </w:tcPr>
          <w:p>
            <w:pPr>
              <w:spacing w:after="0"/>
              <w:rPr>
                <w:sz w:val="13"/>
                <w:szCs w:val="13"/>
                <w:color w:val="auto"/>
              </w:rPr>
            </w:pPr>
          </w:p>
        </w:tc>
        <w:tc>
          <w:tcPr>
            <w:tcW w:w="7640" w:type="dxa"/>
            <w:vAlign w:val="bottom"/>
            <w:gridSpan w:val="16"/>
            <w:shd w:val="clear" w:color="auto" w:fill="CCEEFF"/>
          </w:tcPr>
          <w:p>
            <w:pPr>
              <w:spacing w:after="0" w:line="155" w:lineRule="exact"/>
              <w:rPr>
                <w:rFonts w:ascii="Arial" w:cs="Arial" w:eastAsia="Arial" w:hAnsi="Arial"/>
                <w:sz w:val="16"/>
                <w:szCs w:val="16"/>
                <w:color w:val="0000EE"/>
              </w:rPr>
            </w:pPr>
            <w:hyperlink w:anchor="page3">
              <w:r>
                <w:rPr>
                  <w:rFonts w:ascii="Arial" w:cs="Arial" w:eastAsia="Arial" w:hAnsi="Arial"/>
                  <w:sz w:val="16"/>
                  <w:szCs w:val="16"/>
                  <w:color w:val="0000EE"/>
                </w:rPr>
                <w:t>About this Prospectus Supplement</w:t>
              </w:r>
            </w:hyperlink>
          </w:p>
        </w:tc>
        <w:tc>
          <w:tcPr>
            <w:tcW w:w="1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gridSpan w:val="2"/>
            <w:shd w:val="clear" w:color="auto" w:fill="CCEEFF"/>
          </w:tcPr>
          <w:p>
            <w:pPr>
              <w:jc w:val="right"/>
              <w:ind w:right="29"/>
              <w:spacing w:after="0" w:line="156" w:lineRule="exact"/>
              <w:rPr>
                <w:rFonts w:ascii="Arial" w:cs="Arial" w:eastAsia="Arial" w:hAnsi="Arial"/>
                <w:sz w:val="15"/>
                <w:szCs w:val="15"/>
                <w:color w:val="0000EE"/>
                <w:w w:val="73"/>
              </w:rPr>
            </w:pPr>
            <w:hyperlink w:anchor="page3">
              <w:r>
                <w:rPr>
                  <w:rFonts w:ascii="Arial" w:cs="Arial" w:eastAsia="Arial" w:hAnsi="Arial"/>
                  <w:sz w:val="15"/>
                  <w:szCs w:val="15"/>
                  <w:color w:val="0000EE"/>
                  <w:w w:val="73"/>
                </w:rPr>
                <w:t>S-ii</w:t>
              </w:r>
            </w:hyperlink>
          </w:p>
        </w:tc>
        <w:tc>
          <w:tcPr>
            <w:tcW w:w="1260" w:type="dxa"/>
            <w:vAlign w:val="bottom"/>
          </w:tcPr>
          <w:p>
            <w:pPr>
              <w:spacing w:after="0"/>
              <w:rPr>
                <w:sz w:val="13"/>
                <w:szCs w:val="13"/>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4">
              <w:r>
                <w:rPr>
                  <w:rFonts w:ascii="Arial" w:cs="Arial" w:eastAsia="Arial" w:hAnsi="Arial"/>
                  <w:sz w:val="16"/>
                  <w:szCs w:val="16"/>
                  <w:color w:val="0000EE"/>
                </w:rPr>
                <w:t>Prospectus Supplement Summary</w:t>
              </w:r>
            </w:hyperlink>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29"/>
              <w:spacing w:after="0"/>
              <w:rPr>
                <w:rFonts w:ascii="Arial" w:cs="Arial" w:eastAsia="Arial" w:hAnsi="Arial"/>
                <w:sz w:val="14"/>
                <w:szCs w:val="14"/>
                <w:color w:val="0000EE"/>
                <w:w w:val="73"/>
              </w:rPr>
            </w:pPr>
            <w:hyperlink w:anchor="page4">
              <w:r>
                <w:rPr>
                  <w:rFonts w:ascii="Arial" w:cs="Arial" w:eastAsia="Arial" w:hAnsi="Arial"/>
                  <w:sz w:val="14"/>
                  <w:szCs w:val="14"/>
                  <w:color w:val="0000EE"/>
                  <w:w w:val="73"/>
                </w:rPr>
                <w:t>S-1</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9">
              <w:r>
                <w:rPr>
                  <w:rFonts w:ascii="Arial" w:cs="Arial" w:eastAsia="Arial" w:hAnsi="Arial"/>
                  <w:sz w:val="16"/>
                  <w:szCs w:val="16"/>
                  <w:color w:val="0000EE"/>
                </w:rPr>
                <w:t>Risk Factors</w:t>
              </w:r>
            </w:hyperlink>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260" w:type="dxa"/>
            <w:vAlign w:val="bottom"/>
            <w:gridSpan w:val="2"/>
            <w:shd w:val="clear" w:color="auto" w:fill="CCEEFF"/>
          </w:tcPr>
          <w:p>
            <w:pPr>
              <w:jc w:val="right"/>
              <w:ind w:right="29"/>
              <w:spacing w:after="0"/>
              <w:rPr>
                <w:rFonts w:ascii="Arial" w:cs="Arial" w:eastAsia="Arial" w:hAnsi="Arial"/>
                <w:sz w:val="14"/>
                <w:szCs w:val="14"/>
                <w:color w:val="0000EE"/>
                <w:w w:val="73"/>
              </w:rPr>
            </w:pPr>
            <w:hyperlink w:anchor="page9">
              <w:r>
                <w:rPr>
                  <w:rFonts w:ascii="Arial" w:cs="Arial" w:eastAsia="Arial" w:hAnsi="Arial"/>
                  <w:sz w:val="14"/>
                  <w:szCs w:val="14"/>
                  <w:color w:val="0000EE"/>
                  <w:w w:val="73"/>
                </w:rPr>
                <w:t>S-6</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2">
              <w:r>
                <w:rPr>
                  <w:rFonts w:ascii="Arial" w:cs="Arial" w:eastAsia="Arial" w:hAnsi="Arial"/>
                  <w:sz w:val="16"/>
                  <w:szCs w:val="16"/>
                  <w:color w:val="0000EE"/>
                </w:rPr>
                <w:t>Warning Regarding Forward-Looking Statements</w:t>
              </w:r>
            </w:hyperlink>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gridSpan w:val="2"/>
          </w:tcPr>
          <w:p>
            <w:pPr>
              <w:jc w:val="right"/>
              <w:ind w:right="29"/>
              <w:spacing w:after="0"/>
              <w:rPr>
                <w:rFonts w:ascii="Arial" w:cs="Arial" w:eastAsia="Arial" w:hAnsi="Arial"/>
                <w:sz w:val="14"/>
                <w:szCs w:val="14"/>
                <w:color w:val="0000EE"/>
                <w:w w:val="73"/>
              </w:rPr>
            </w:pPr>
            <w:hyperlink w:anchor="page12">
              <w:r>
                <w:rPr>
                  <w:rFonts w:ascii="Arial" w:cs="Arial" w:eastAsia="Arial" w:hAnsi="Arial"/>
                  <w:sz w:val="14"/>
                  <w:szCs w:val="14"/>
                  <w:color w:val="0000EE"/>
                  <w:w w:val="73"/>
                </w:rPr>
                <w:t>S-9</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Use of Proceeds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13">
              <w:r>
                <w:rPr>
                  <w:rFonts w:ascii="Arial" w:cs="Arial" w:eastAsia="Arial" w:hAnsi="Arial"/>
                  <w:sz w:val="16"/>
                  <w:szCs w:val="16"/>
                  <w:color w:val="0000EE"/>
                </w:rPr>
                <w:t>S-10</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Price Range of Ordinary Shares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14">
              <w:r>
                <w:rPr>
                  <w:rFonts w:ascii="Arial" w:cs="Arial" w:eastAsia="Arial" w:hAnsi="Arial"/>
                  <w:sz w:val="16"/>
                  <w:szCs w:val="16"/>
                  <w:color w:val="0000EE"/>
                </w:rPr>
                <w:t>S-11</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Dividend Policy</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15">
              <w:r>
                <w:rPr>
                  <w:rFonts w:ascii="Arial" w:cs="Arial" w:eastAsia="Arial" w:hAnsi="Arial"/>
                  <w:sz w:val="16"/>
                  <w:szCs w:val="16"/>
                  <w:color w:val="0000EE"/>
                </w:rPr>
                <w:t>S-12</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Capitalization</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16">
              <w:r>
                <w:rPr>
                  <w:rFonts w:ascii="Arial" w:cs="Arial" w:eastAsia="Arial" w:hAnsi="Arial"/>
                  <w:sz w:val="16"/>
                  <w:szCs w:val="16"/>
                  <w:color w:val="0000EE"/>
                </w:rPr>
                <w:t>S-13</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17">
              <w:r>
                <w:rPr>
                  <w:rFonts w:ascii="Arial" w:cs="Arial" w:eastAsia="Arial" w:hAnsi="Arial"/>
                  <w:sz w:val="16"/>
                  <w:szCs w:val="16"/>
                  <w:color w:val="0000EE"/>
                </w:rPr>
                <w:t>Dilution</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17">
              <w:r>
                <w:rPr>
                  <w:rFonts w:ascii="Arial" w:cs="Arial" w:eastAsia="Arial" w:hAnsi="Arial"/>
                  <w:sz w:val="16"/>
                  <w:szCs w:val="16"/>
                  <w:color w:val="0000EE"/>
                </w:rPr>
                <w:t>S-14</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Underwriting</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S-15</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Legal Matters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S-23</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Experts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S-23</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Where You Can Find More Information and Incorporation of Certain Information by Reference</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26">
              <w:r>
                <w:rPr>
                  <w:rFonts w:ascii="Arial" w:cs="Arial" w:eastAsia="Arial" w:hAnsi="Arial"/>
                  <w:sz w:val="16"/>
                  <w:szCs w:val="16"/>
                  <w:color w:val="0000EE"/>
                </w:rPr>
                <w:t>S-23</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Borders>
              <w:right w:val="single" w:sz="8" w:color="CCEEFF"/>
            </w:tcBorders>
            <w:shd w:val="clear" w:color="auto" w:fill="0000EE"/>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40" w:type="dxa"/>
            <w:vAlign w:val="bottom"/>
          </w:tcPr>
          <w:p>
            <w:pPr>
              <w:spacing w:after="0"/>
              <w:rPr>
                <w:sz w:val="16"/>
                <w:szCs w:val="16"/>
                <w:color w:val="auto"/>
              </w:rPr>
            </w:pPr>
          </w:p>
        </w:tc>
        <w:tc>
          <w:tcPr>
            <w:tcW w:w="7640" w:type="dxa"/>
            <w:vAlign w:val="bottom"/>
            <w:gridSpan w:val="16"/>
          </w:tcPr>
          <w:p>
            <w:pPr>
              <w:spacing w:after="0"/>
              <w:rPr>
                <w:sz w:val="20"/>
                <w:szCs w:val="20"/>
                <w:color w:val="auto"/>
              </w:rPr>
            </w:pPr>
            <w:r>
              <w:rPr>
                <w:rFonts w:ascii="Arial" w:cs="Arial" w:eastAsia="Arial" w:hAnsi="Arial"/>
                <w:sz w:val="16"/>
                <w:szCs w:val="16"/>
                <w:b w:val="1"/>
                <w:bCs w:val="1"/>
                <w:color w:val="auto"/>
              </w:rPr>
              <w:t>Prospectus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0">
              <w:r>
                <w:rPr>
                  <w:rFonts w:ascii="Arial" w:cs="Arial" w:eastAsia="Arial" w:hAnsi="Arial"/>
                  <w:sz w:val="16"/>
                  <w:szCs w:val="16"/>
                  <w:color w:val="0000EE"/>
                </w:rPr>
                <w:t>About this Prospectus</w:t>
              </w:r>
            </w:hyperlink>
          </w:p>
        </w:tc>
        <w:tc>
          <w:tcPr>
            <w:tcW w:w="1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jc w:val="right"/>
              <w:ind w:right="29"/>
              <w:spacing w:after="0"/>
              <w:rPr>
                <w:rFonts w:ascii="Arial" w:cs="Arial" w:eastAsia="Arial" w:hAnsi="Arial"/>
                <w:sz w:val="12"/>
                <w:szCs w:val="12"/>
                <w:color w:val="0000EE"/>
                <w:w w:val="74"/>
              </w:rPr>
            </w:pPr>
            <w:hyperlink w:anchor="page30">
              <w:r>
                <w:rPr>
                  <w:rFonts w:ascii="Arial" w:cs="Arial" w:eastAsia="Arial" w:hAnsi="Arial"/>
                  <w:sz w:val="12"/>
                  <w:szCs w:val="12"/>
                  <w:color w:val="0000EE"/>
                  <w:w w:val="74"/>
                </w:rPr>
                <w:t>ii</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1">
              <w:r>
                <w:rPr>
                  <w:rFonts w:ascii="Arial" w:cs="Arial" w:eastAsia="Arial" w:hAnsi="Arial"/>
                  <w:sz w:val="16"/>
                  <w:szCs w:val="16"/>
                  <w:color w:val="0000EE"/>
                </w:rPr>
                <w:t>About Alcobra Ltd.</w:t>
              </w:r>
            </w:hyperlink>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jc w:val="right"/>
              <w:ind w:right="29"/>
              <w:spacing w:after="0"/>
              <w:rPr>
                <w:rFonts w:ascii="Arial" w:cs="Arial" w:eastAsia="Arial" w:hAnsi="Arial"/>
                <w:sz w:val="8"/>
                <w:szCs w:val="8"/>
                <w:color w:val="0000EE"/>
                <w:w w:val="74"/>
              </w:rPr>
            </w:pPr>
            <w:hyperlink w:anchor="page31">
              <w:r>
                <w:rPr>
                  <w:rFonts w:ascii="Arial" w:cs="Arial" w:eastAsia="Arial" w:hAnsi="Arial"/>
                  <w:sz w:val="8"/>
                  <w:szCs w:val="8"/>
                  <w:color w:val="0000EE"/>
                  <w:w w:val="74"/>
                </w:rPr>
                <w:t>iii</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2">
              <w:r>
                <w:rPr>
                  <w:rFonts w:ascii="Arial" w:cs="Arial" w:eastAsia="Arial" w:hAnsi="Arial"/>
                  <w:sz w:val="16"/>
                  <w:szCs w:val="16"/>
                  <w:color w:val="0000EE"/>
                </w:rPr>
                <w:t>1</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3">
              <w:r>
                <w:rPr>
                  <w:rFonts w:ascii="Arial" w:cs="Arial" w:eastAsia="Arial" w:hAnsi="Arial"/>
                  <w:sz w:val="16"/>
                  <w:szCs w:val="16"/>
                  <w:color w:val="0000EE"/>
                </w:rPr>
                <w:t>Warning Regarding Forward-Looking Statements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3">
              <w:r>
                <w:rPr>
                  <w:rFonts w:ascii="Arial" w:cs="Arial" w:eastAsia="Arial" w:hAnsi="Arial"/>
                  <w:sz w:val="16"/>
                  <w:szCs w:val="16"/>
                  <w:color w:val="0000EE"/>
                </w:rPr>
                <w:t>2</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Capitalization and Indebtedness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3</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Reasons for the Offer and Use of Proceeds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4">
              <w:r>
                <w:rPr>
                  <w:rFonts w:ascii="Arial" w:cs="Arial" w:eastAsia="Arial" w:hAnsi="Arial"/>
                  <w:sz w:val="16"/>
                  <w:szCs w:val="16"/>
                  <w:color w:val="0000EE"/>
                </w:rPr>
                <w:t>3</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5">
              <w:r>
                <w:rPr>
                  <w:rFonts w:ascii="Arial" w:cs="Arial" w:eastAsia="Arial" w:hAnsi="Arial"/>
                  <w:sz w:val="16"/>
                  <w:szCs w:val="16"/>
                  <w:color w:val="0000EE"/>
                </w:rPr>
                <w:t>Price Range of our Ordinary Shares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5">
              <w:r>
                <w:rPr>
                  <w:rFonts w:ascii="Arial" w:cs="Arial" w:eastAsia="Arial" w:hAnsi="Arial"/>
                  <w:sz w:val="16"/>
                  <w:szCs w:val="16"/>
                  <w:color w:val="0000EE"/>
                </w:rPr>
                <w:t>4</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6">
              <w:r>
                <w:rPr>
                  <w:rFonts w:ascii="Arial" w:cs="Arial" w:eastAsia="Arial" w:hAnsi="Arial"/>
                  <w:sz w:val="16"/>
                  <w:szCs w:val="16"/>
                  <w:color w:val="0000EE"/>
                </w:rPr>
                <w:t>Description of our Ordinary Shares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6">
              <w:r>
                <w:rPr>
                  <w:rFonts w:ascii="Arial" w:cs="Arial" w:eastAsia="Arial" w:hAnsi="Arial"/>
                  <w:sz w:val="16"/>
                  <w:szCs w:val="16"/>
                  <w:color w:val="0000EE"/>
                </w:rPr>
                <w:t>5</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Plan of Distribution</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38">
              <w:r>
                <w:rPr>
                  <w:rFonts w:ascii="Arial" w:cs="Arial" w:eastAsia="Arial" w:hAnsi="Arial"/>
                  <w:sz w:val="16"/>
                  <w:szCs w:val="16"/>
                  <w:color w:val="0000EE"/>
                </w:rPr>
                <w:t>7</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39">
              <w:r>
                <w:rPr>
                  <w:rFonts w:ascii="Arial" w:cs="Arial" w:eastAsia="Arial" w:hAnsi="Arial"/>
                  <w:sz w:val="16"/>
                  <w:szCs w:val="16"/>
                  <w:color w:val="0000EE"/>
                </w:rPr>
                <w:t>Expenses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39">
              <w:r>
                <w:rPr>
                  <w:rFonts w:ascii="Arial" w:cs="Arial" w:eastAsia="Arial" w:hAnsi="Arial"/>
                  <w:sz w:val="16"/>
                  <w:szCs w:val="16"/>
                  <w:color w:val="0000EE"/>
                </w:rPr>
                <w:t>8</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Legal Matters</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9</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Experts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9</w:t>
              </w:r>
            </w:hyperlink>
          </w:p>
        </w:tc>
        <w:tc>
          <w:tcPr>
            <w:tcW w:w="126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Borders>
              <w:right w:val="single" w:sz="8" w:color="CCEEFF"/>
            </w:tcBorders>
          </w:tcPr>
          <w:p>
            <w:pPr>
              <w:spacing w:after="0"/>
              <w:rPr>
                <w:sz w:val="14"/>
                <w:szCs w:val="14"/>
                <w:color w:val="auto"/>
              </w:rPr>
            </w:pPr>
          </w:p>
        </w:tc>
        <w:tc>
          <w:tcPr>
            <w:tcW w:w="7640" w:type="dxa"/>
            <w:vAlign w:val="bottom"/>
            <w:gridSpan w:val="16"/>
            <w:shd w:val="clear" w:color="auto" w:fill="CCEEFF"/>
          </w:tcPr>
          <w:p>
            <w:pPr>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Where You Can Find More Information and Incorporation of Certain Information By Reference</w:t>
              </w:r>
            </w:hyperlink>
          </w:p>
        </w:tc>
        <w:tc>
          <w:tcPr>
            <w:tcW w:w="560" w:type="dxa"/>
            <w:vAlign w:val="bottom"/>
            <w:gridSpan w:val="4"/>
            <w:shd w:val="clear" w:color="auto" w:fill="CCEEFF"/>
          </w:tcPr>
          <w:p>
            <w:pPr>
              <w:jc w:val="right"/>
              <w:ind w:right="29"/>
              <w:spacing w:after="0" w:line="162" w:lineRule="exact"/>
              <w:rPr>
                <w:rFonts w:ascii="Arial" w:cs="Arial" w:eastAsia="Arial" w:hAnsi="Arial"/>
                <w:sz w:val="16"/>
                <w:szCs w:val="16"/>
                <w:color w:val="0000EE"/>
              </w:rPr>
            </w:pPr>
            <w:hyperlink w:anchor="page40">
              <w:r>
                <w:rPr>
                  <w:rFonts w:ascii="Arial" w:cs="Arial" w:eastAsia="Arial" w:hAnsi="Arial"/>
                  <w:sz w:val="16"/>
                  <w:szCs w:val="16"/>
                  <w:color w:val="0000EE"/>
                </w:rPr>
                <w:t>9</w:t>
              </w:r>
            </w:hyperlink>
          </w:p>
        </w:tc>
        <w:tc>
          <w:tcPr>
            <w:tcW w:w="1260" w:type="dxa"/>
            <w:vAlign w:val="bottom"/>
          </w:tcPr>
          <w:p>
            <w:pPr>
              <w:spacing w:after="0"/>
              <w:rPr>
                <w:sz w:val="14"/>
                <w:szCs w:val="14"/>
                <w:color w:val="auto"/>
              </w:rPr>
            </w:pPr>
          </w:p>
        </w:tc>
      </w:tr>
      <w:tr>
        <w:trPr>
          <w:trHeight w:val="27"/>
        </w:trPr>
        <w:tc>
          <w:tcPr>
            <w:tcW w:w="140" w:type="dxa"/>
            <w:vAlign w:val="bottom"/>
            <w:tcBorders>
              <w:right w:val="single" w:sz="8" w:color="CCEEFF"/>
            </w:tcBorders>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180" w:type="dxa"/>
            <w:vAlign w:val="bottom"/>
            <w:tcBorders>
              <w:right w:val="single" w:sz="8" w:color="0000EE"/>
            </w:tcBorders>
            <w:shd w:val="clear" w:color="auto" w:fill="0000EE"/>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62"/>
        </w:trPr>
        <w:tc>
          <w:tcPr>
            <w:tcW w:w="140" w:type="dxa"/>
            <w:vAlign w:val="bottom"/>
          </w:tcPr>
          <w:p>
            <w:pPr>
              <w:spacing w:after="0"/>
              <w:rPr>
                <w:sz w:val="14"/>
                <w:szCs w:val="14"/>
                <w:color w:val="auto"/>
              </w:rPr>
            </w:pPr>
          </w:p>
        </w:tc>
        <w:tc>
          <w:tcPr>
            <w:tcW w:w="7640" w:type="dxa"/>
            <w:vAlign w:val="bottom"/>
            <w:gridSpan w:val="16"/>
          </w:tcPr>
          <w:p>
            <w:pPr>
              <w:spacing w:after="0" w:line="162" w:lineRule="exact"/>
              <w:rPr>
                <w:rFonts w:ascii="Arial" w:cs="Arial" w:eastAsia="Arial" w:hAnsi="Arial"/>
                <w:sz w:val="16"/>
                <w:szCs w:val="16"/>
                <w:color w:val="0000EE"/>
              </w:rPr>
            </w:pPr>
            <w:hyperlink w:anchor="page42">
              <w:r>
                <w:rPr>
                  <w:rFonts w:ascii="Arial" w:cs="Arial" w:eastAsia="Arial" w:hAnsi="Arial"/>
                  <w:sz w:val="16"/>
                  <w:szCs w:val="16"/>
                  <w:color w:val="0000EE"/>
                </w:rPr>
                <w:t>Enforceability of Civil Liabilities</w:t>
              </w:r>
            </w:hyperlink>
          </w:p>
        </w:tc>
        <w:tc>
          <w:tcPr>
            <w:tcW w:w="560" w:type="dxa"/>
            <w:vAlign w:val="bottom"/>
            <w:gridSpan w:val="4"/>
          </w:tcPr>
          <w:p>
            <w:pPr>
              <w:jc w:val="right"/>
              <w:ind w:right="29"/>
              <w:spacing w:after="0" w:line="162" w:lineRule="exact"/>
              <w:rPr>
                <w:rFonts w:ascii="Arial" w:cs="Arial" w:eastAsia="Arial" w:hAnsi="Arial"/>
                <w:sz w:val="16"/>
                <w:szCs w:val="16"/>
                <w:color w:val="0000EE"/>
              </w:rPr>
            </w:pPr>
            <w:hyperlink w:anchor="page42">
              <w:r>
                <w:rPr>
                  <w:rFonts w:ascii="Arial" w:cs="Arial" w:eastAsia="Arial" w:hAnsi="Arial"/>
                  <w:sz w:val="16"/>
                  <w:szCs w:val="16"/>
                  <w:color w:val="0000EE"/>
                </w:rPr>
                <w:t>11</w:t>
              </w:r>
            </w:hyperlink>
          </w:p>
        </w:tc>
        <w:tc>
          <w:tcPr>
            <w:tcW w:w="1260" w:type="dxa"/>
            <w:vAlign w:val="bottom"/>
          </w:tcPr>
          <w:p>
            <w:pPr>
              <w:spacing w:after="0"/>
              <w:rPr>
                <w:sz w:val="14"/>
                <w:szCs w:val="14"/>
                <w:color w:val="auto"/>
              </w:rPr>
            </w:pPr>
          </w:p>
        </w:tc>
      </w:tr>
      <w:tr>
        <w:trPr>
          <w:trHeight w:val="723"/>
        </w:trPr>
        <w:tc>
          <w:tcPr>
            <w:tcW w:w="14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-4038600</wp:posOffset>
            </wp:positionV>
            <wp:extent cx="5205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ABOUT THIS PROSPECTUS SUPPLEMENT</w:t>
      </w:r>
    </w:p>
    <w:p>
      <w:pPr>
        <w:spacing w:after="0" w:line="139" w:lineRule="exact"/>
        <w:rPr>
          <w:sz w:val="20"/>
          <w:szCs w:val="20"/>
          <w:color w:val="auto"/>
        </w:rPr>
      </w:pPr>
    </w:p>
    <w:p>
      <w:pPr>
        <w:ind w:left="40" w:right="659"/>
        <w:spacing w:after="0" w:line="252" w:lineRule="auto"/>
        <w:rPr>
          <w:sz w:val="20"/>
          <w:szCs w:val="20"/>
          <w:color w:val="auto"/>
        </w:rPr>
      </w:pPr>
      <w:r>
        <w:rPr>
          <w:rFonts w:ascii="Arial" w:cs="Arial" w:eastAsia="Arial" w:hAnsi="Arial"/>
          <w:sz w:val="18"/>
          <w:szCs w:val="18"/>
          <w:color w:val="auto"/>
        </w:rPr>
        <w:t>A registration statement on Form F-3 (File No. 333-197411) utilizing a shelf registration process relating to the securities described in this prospectus supplement was initially filed with the Securities and Exchange Commission, or the SEC, on July 14, 2014, and was declared effective on August 1, 2014. Under this shelf registration process, of which this offering is a part, we may, from time to time, sell up to an aggregate of $100 million of our securities. In January 2015, we sold ordinary shares for a total aggregate amount of $29,900,000 under this shelf registration process.</w:t>
      </w:r>
    </w:p>
    <w:p>
      <w:pPr>
        <w:spacing w:after="0" w:line="101" w:lineRule="exact"/>
        <w:rPr>
          <w:sz w:val="20"/>
          <w:szCs w:val="20"/>
          <w:color w:val="auto"/>
        </w:rPr>
      </w:pPr>
    </w:p>
    <w:p>
      <w:pPr>
        <w:ind w:left="40" w:right="579"/>
        <w:spacing w:after="0" w:line="251"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this offering of our ordinary shares, and also adds, updates and changes information contained in the accompanying prospectus and the documents incorporated herein and therein by reference. The second part is the accompanying prospectus, which gives more general information, some of which may not apply to this offering. To the extent the information contained in this prospectus supplement differs or varies from the information contained in the accompanying prospectus or any document filed prior to the date of this prospectus supplement and incorporated herein by reference, the information in this prospectus supplement will control. In addition, this prospectus supplement and the accompanying prospectus do not contain all of the information provided in the registration statement that we filed with the SEC. For further information about us, you should refer to that registration statement, which you can obtain from the SEC as described elsewhere in this prospectus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w:t>
      </w:r>
    </w:p>
    <w:p>
      <w:pPr>
        <w:ind w:left="40"/>
        <w:spacing w:after="0" w:line="207" w:lineRule="auto"/>
        <w:rPr>
          <w:sz w:val="20"/>
          <w:szCs w:val="20"/>
          <w:color w:val="auto"/>
        </w:rPr>
      </w:pPr>
      <w:r>
        <w:rPr>
          <w:rFonts w:ascii="Arial" w:cs="Arial" w:eastAsia="Arial" w:hAnsi="Arial"/>
          <w:sz w:val="17"/>
          <w:szCs w:val="17"/>
          <w:color w:val="auto"/>
        </w:rPr>
        <w:t>address or telephone number: Alcobra Ltd., Azrieli Triangle Building, 132 Derech Menachem Begin 39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Tel Aviv</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6701101 Israel, Telephone: +972 72 220 4661.</w:t>
      </w:r>
    </w:p>
    <w:p>
      <w:pPr>
        <w:spacing w:after="0" w:line="117" w:lineRule="exact"/>
        <w:rPr>
          <w:sz w:val="20"/>
          <w:szCs w:val="20"/>
          <w:color w:val="auto"/>
        </w:rPr>
      </w:pPr>
    </w:p>
    <w:p>
      <w:pPr>
        <w:ind w:left="40" w:right="679"/>
        <w:spacing w:after="0" w:line="251" w:lineRule="auto"/>
        <w:rPr>
          <w:sz w:val="20"/>
          <w:szCs w:val="20"/>
          <w:color w:val="auto"/>
        </w:rPr>
      </w:pPr>
      <w:r>
        <w:rPr>
          <w:rFonts w:ascii="Arial" w:cs="Arial" w:eastAsia="Arial" w:hAnsi="Arial"/>
          <w:sz w:val="18"/>
          <w:szCs w:val="18"/>
          <w:color w:val="auto"/>
        </w:rPr>
        <w:t>You should rely only on the information contained in or incorporated by reference into this prospectus supplement and the accompanying prospectus. We have not, and the underwriters have not, authorized anyone to provide you with information that is different. This prospectus supplement is not an offer to sell or solicitation of an offer to buy these securities in any circumstances under which the offer or solicitation is unlawful. We are offering to sell, and seeking offers to buy, our securities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or of any of our securities. Our business, financial condition, results of operations and prospects may have changed since those dates.</w:t>
      </w:r>
    </w:p>
    <w:p>
      <w:pPr>
        <w:spacing w:after="0" w:line="104" w:lineRule="exact"/>
        <w:rPr>
          <w:sz w:val="20"/>
          <w:szCs w:val="20"/>
          <w:color w:val="auto"/>
        </w:rPr>
      </w:pPr>
    </w:p>
    <w:p>
      <w:pPr>
        <w:ind w:left="40" w:right="1059"/>
        <w:spacing w:after="0" w:line="262" w:lineRule="auto"/>
        <w:rPr>
          <w:sz w:val="20"/>
          <w:szCs w:val="20"/>
          <w:color w:val="auto"/>
        </w:rPr>
      </w:pPr>
      <w:r>
        <w:rPr>
          <w:rFonts w:ascii="Arial" w:cs="Arial" w:eastAsia="Arial" w:hAnsi="Arial"/>
          <w:sz w:val="18"/>
          <w:szCs w:val="18"/>
          <w:color w:val="auto"/>
        </w:rPr>
        <w:t>Unless the context otherwise requires, all references in this prospectus supplement to “we,” “our,” “our company,” “Alcobra,” “us” and the “company” refer to Alcobra Ltd. and its wholly owned subsidiary, Alcobra, Inc.</w:t>
      </w:r>
    </w:p>
    <w:p>
      <w:pPr>
        <w:spacing w:after="0" w:line="88" w:lineRule="exact"/>
        <w:rPr>
          <w:sz w:val="20"/>
          <w:szCs w:val="20"/>
          <w:color w:val="auto"/>
        </w:rPr>
      </w:pPr>
    </w:p>
    <w:p>
      <w:pPr>
        <w:ind w:left="40" w:right="599"/>
        <w:spacing w:after="0" w:line="256" w:lineRule="auto"/>
        <w:rPr>
          <w:sz w:val="20"/>
          <w:szCs w:val="20"/>
          <w:color w:val="auto"/>
        </w:rPr>
      </w:pPr>
      <w:r>
        <w:rPr>
          <w:rFonts w:ascii="Arial" w:cs="Arial" w:eastAsia="Arial" w:hAnsi="Arial"/>
          <w:sz w:val="18"/>
          <w:szCs w:val="18"/>
          <w:color w:val="auto"/>
        </w:rPr>
        <w:t>All references in this prospectus supplement to “ordinary shares” refer to Alcobra’s ordinary shares, par value NIS 0.01 per share. We sometimes refer to our ordinary shares to be offered under this prospectus supplement as the “securities.”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“NIS” are to New Israel Shekels, the lawful currency of Israel.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“dollars” or “$” are to the lawful currency of the United States.</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147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4585" cy="714756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40" w:right="539"/>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sections, starting on page S-</w:t>
      </w:r>
      <w:hyperlink w:anchor="page9">
        <w:r>
          <w:rPr>
            <w:rFonts w:ascii="Arial" w:cs="Arial" w:eastAsia="Arial" w:hAnsi="Arial"/>
            <w:sz w:val="18"/>
            <w:szCs w:val="18"/>
            <w:i w:val="1"/>
            <w:iCs w:val="1"/>
            <w:u w:val="single" w:color="auto"/>
            <w:color w:val="0000EE"/>
          </w:rPr>
          <w:t>6</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of this prospectus supplement and page </w:t>
      </w:r>
      <w:hyperlink w:anchor="page32">
        <w:r>
          <w:rPr>
            <w:rFonts w:ascii="Arial" w:cs="Arial" w:eastAsia="Arial" w:hAnsi="Arial"/>
            <w:sz w:val="18"/>
            <w:szCs w:val="18"/>
            <w:i w:val="1"/>
            <w:iCs w:val="1"/>
            <w:u w:val="single" w:color="auto"/>
            <w:color w:val="0000EE"/>
          </w:rPr>
          <w:t>1</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of the accompanying prospectus and under Item 3.D. — “Risk Factors” in our most recent Annual Report on Form 20-F, as well as the financial statements and the other information incorporated by reference herein, before making an investment decision.</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left="40" w:right="539"/>
        <w:spacing w:after="0" w:line="251"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our proprietary oral drug candidate, MDX, to treat Attention Deficit Hyperactivity Disorder, or ADHD, and other cognitive dysfunctions including Fragile X Syndrome, or Fragile X.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is designed to be a monoamine-independent modulator of gamma-aminobutyric acid transmission. Metadoxine has been available since the 1980s only in immediate release forms for the acute treatment of alcohol intoxication and the chronic treatment of alcoholic liver disease in Italy, Portugal, Hungary, Russia, India, China, Mexico and Thailand.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MDX for the Treatment of ADHD</w:t>
      </w:r>
    </w:p>
    <w:p>
      <w:pPr>
        <w:spacing w:after="0" w:line="139" w:lineRule="exact"/>
        <w:rPr>
          <w:sz w:val="20"/>
          <w:szCs w:val="20"/>
          <w:color w:val="auto"/>
        </w:rPr>
      </w:pPr>
    </w:p>
    <w:p>
      <w:pPr>
        <w:ind w:left="40" w:right="699"/>
        <w:spacing w:after="0" w:line="253" w:lineRule="auto"/>
        <w:rPr>
          <w:sz w:val="20"/>
          <w:szCs w:val="20"/>
          <w:color w:val="auto"/>
        </w:rPr>
      </w:pPr>
      <w:r>
        <w:rPr>
          <w:rFonts w:ascii="Arial" w:cs="Arial" w:eastAsia="Arial" w:hAnsi="Arial"/>
          <w:sz w:val="18"/>
          <w:szCs w:val="18"/>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children with ADHD continuing to have symptoms of the disorder as adults. Over 90% of adults with ADHD experience impaired attention and executive function symptoms, of which approximately 35% also experience hyperactivity-impulsivity symptoms.</w:t>
      </w:r>
    </w:p>
    <w:p>
      <w:pPr>
        <w:spacing w:after="0" w:line="97" w:lineRule="exact"/>
        <w:rPr>
          <w:sz w:val="20"/>
          <w:szCs w:val="20"/>
          <w:color w:val="auto"/>
        </w:rPr>
      </w:pPr>
    </w:p>
    <w:p>
      <w:pPr>
        <w:ind w:left="40" w:right="559"/>
        <w:spacing w:after="0" w:line="251" w:lineRule="auto"/>
        <w:rPr>
          <w:sz w:val="20"/>
          <w:szCs w:val="20"/>
          <w:color w:val="auto"/>
        </w:rPr>
      </w:pPr>
      <w:r>
        <w:rPr>
          <w:rFonts w:ascii="Arial" w:cs="Arial" w:eastAsia="Arial" w:hAnsi="Arial"/>
          <w:sz w:val="18"/>
          <w:szCs w:val="18"/>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as their use may lead to severe psychological or physical dependence. In addition, stimulants have numerous side effects, such as uncomfortable mental states, interference with sleep and appetite, development of nervous tics and potential cardiovascular effects resulting from increased blood pressure and heart rate. There are limited effective treatments for these side effects for patients taking the drugs. The prevalence of such side effects has also led to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potential side effects, such as fatigue, gastrointestinal upset, sexual problems, palpitations, increased heart rate and high blood pressure and also has regulatory warning labels relating to suicidal thoughts and liver damage. Moreover, Strattera takes six to eight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200" w:lineRule="exact"/>
        <w:rPr>
          <w:sz w:val="20"/>
          <w:szCs w:val="20"/>
          <w:color w:val="auto"/>
        </w:rPr>
      </w:pPr>
    </w:p>
    <w:p>
      <w:pPr>
        <w:spacing w:after="0" w:line="3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336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4585" cy="733615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99"/>
        <w:spacing w:after="0" w:line="253" w:lineRule="auto"/>
        <w:rPr>
          <w:sz w:val="20"/>
          <w:szCs w:val="20"/>
          <w:color w:val="auto"/>
        </w:rPr>
      </w:pPr>
      <w:r>
        <w:rPr>
          <w:rFonts w:ascii="Arial" w:cs="Arial" w:eastAsia="Arial" w:hAnsi="Arial"/>
          <w:sz w:val="18"/>
          <w:szCs w:val="18"/>
          <w:color w:val="auto"/>
        </w:rPr>
        <w:t>In contrast to the most common available treatments, which involve the use of stimulants, MDX is not a stimulant and employs a different mechanism of action that is neither dopaminergic (related to dopamine) nor noradrenergic (related to norepinephrine). Our clinical trials to date have suggested a pro-cognitive effect and favorable tolerability and safety. We therefore believe MDX potentially represents an effective treatment and a safer alternative to currently marketed treatments.</w:t>
      </w:r>
    </w:p>
    <w:p>
      <w:pPr>
        <w:spacing w:after="0" w:line="97"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color w:val="auto"/>
        </w:rPr>
        <w:t>In September 2011, we completed a 120 subject double-blind placebo-controlled Phase 2 study in adult ADHD subjects in two academic sites in Israel. The study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96" w:lineRule="exact"/>
        <w:rPr>
          <w:sz w:val="20"/>
          <w:szCs w:val="20"/>
          <w:color w:val="auto"/>
        </w:rPr>
      </w:pPr>
    </w:p>
    <w:p>
      <w:pPr>
        <w:jc w:val="both"/>
        <w:ind w:left="40" w:right="939"/>
        <w:spacing w:after="0" w:line="256" w:lineRule="auto"/>
        <w:rPr>
          <w:sz w:val="20"/>
          <w:szCs w:val="20"/>
          <w:color w:val="auto"/>
        </w:rPr>
      </w:pPr>
      <w:r>
        <w:rPr>
          <w:rFonts w:ascii="Arial" w:cs="Arial" w:eastAsia="Arial" w:hAnsi="Arial"/>
          <w:sz w:val="18"/>
          <w:szCs w:val="18"/>
          <w:color w:val="auto"/>
        </w:rPr>
        <w:t>In December 2013, we completed an additional 36 subject double-blind placebo-controlled Phase 2 study in adult ADHD, which confirmed our previous findings, highlighted the rapid onset of MDX, and demonstrated efficacy over placebo from the first day of dosing using a computerized assessment tool.</w:t>
      </w:r>
    </w:p>
    <w:p>
      <w:pPr>
        <w:spacing w:after="0" w:line="94"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In October 2014, we announced the results of a 300 subject double-blind placebo-controlled Phase 3 study in adult ADHD in 20 sites (18 in the United States and 2 in Israel). The study’s primary efficacy endpoint did not reach statistical significance. A non-significant favorable trend was observed on the primary endpoint. Other secondary measures showed strong or statistically significant trends. Similar to previous studies, MDX showed a favorable safety profile.</w:t>
      </w:r>
    </w:p>
    <w:p>
      <w:pPr>
        <w:spacing w:after="0" w:line="96"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In March 2015, we reported that our Phase 2 safety and tolerability study of a single administration of MDX in adolescent patients with ADHD achieved its primary endpoint. In the study, MDX showed good tolerability and no safety concerns were identified.</w:t>
      </w:r>
    </w:p>
    <w:p>
      <w:pPr>
        <w:spacing w:after="0" w:line="94" w:lineRule="exact"/>
        <w:rPr>
          <w:sz w:val="20"/>
          <w:szCs w:val="20"/>
          <w:color w:val="auto"/>
        </w:rPr>
      </w:pPr>
    </w:p>
    <w:p>
      <w:pPr>
        <w:ind w:left="40" w:right="579"/>
        <w:spacing w:after="0" w:line="251" w:lineRule="auto"/>
        <w:rPr>
          <w:sz w:val="20"/>
          <w:szCs w:val="20"/>
          <w:color w:val="auto"/>
        </w:rPr>
      </w:pPr>
      <w:r>
        <w:rPr>
          <w:rFonts w:ascii="Arial" w:cs="Arial" w:eastAsia="Arial" w:hAnsi="Arial"/>
          <w:sz w:val="18"/>
          <w:szCs w:val="18"/>
          <w:color w:val="auto"/>
        </w:rPr>
        <w:t>In the first quarter of 2015, we met with the U.S. Food and Drug Administration (FDA) to discuss the results of our first Phase 3 study in adults with ADHD, the proposed protocol for our second Phase 3 study in adults, the requirements for clinical development of MDX for pediatric ADHD, as well as the requirements for a new drug application (NDA) submission. The FDA confirmed that a single additional study showing efficacy in adult ADHD may provide a sufficient basis of efficacy for approval of MDX in this sub-population. The FDA also confirmed that a single Phase 2 study, followed by a single Phase 3 study, in a pediatric ADHD population can provide a sufficient basis of efficacy for approval of MDX in this population. We expect to launch the first of two adequate, well-controlled, short-term efficacy studies in children with ADHD in 2016 after receiving comments from the FDA on our Pediatric Study Plan for the indication of ADHD. The study will be a multi-center, Phase 2, placebo-controlled, short-term efficacy study.</w:t>
      </w:r>
    </w:p>
    <w:p>
      <w:pPr>
        <w:spacing w:after="0" w:line="105"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color w:val="auto"/>
        </w:rPr>
        <w:t>In the second quarter of 2015, we launched the MEASURE study (MDX Evaluation in Adults — StUdy of Response and Efficacy). The MEASURE study is our second Phase 3 study of MDX in adults with ADHD. The study includes design and operational elements to potentially mitigate placebo response and reduce response variability, and we expect to report data in the middle of 2016.</w:t>
      </w:r>
    </w:p>
    <w:p>
      <w:pPr>
        <w:spacing w:after="0" w:line="96" w:lineRule="exact"/>
        <w:rPr>
          <w:sz w:val="20"/>
          <w:szCs w:val="20"/>
          <w:color w:val="auto"/>
        </w:rPr>
      </w:pPr>
    </w:p>
    <w:p>
      <w:pPr>
        <w:ind w:left="40" w:right="599"/>
        <w:spacing w:after="0" w:line="256" w:lineRule="auto"/>
        <w:rPr>
          <w:sz w:val="20"/>
          <w:szCs w:val="20"/>
          <w:color w:val="auto"/>
        </w:rPr>
      </w:pPr>
      <w:r>
        <w:rPr>
          <w:rFonts w:ascii="Arial" w:cs="Arial" w:eastAsia="Arial" w:hAnsi="Arial"/>
          <w:sz w:val="18"/>
          <w:szCs w:val="18"/>
          <w:color w:val="auto"/>
        </w:rPr>
        <w:t>If the data from these and future clinical trials demonstrate the safety and efficacy of MDX, we will seek to obtain marketing approval from the FDA for MDX for use in ADHD. We have similar plans to seek marketing approval in other territories.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MDX for the Treatment of Fragile X</w:t>
      </w:r>
    </w:p>
    <w:p>
      <w:pPr>
        <w:spacing w:after="0" w:line="139"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We are also studying MDX for the treatment of Fragile X, a rare neurogenetic disorder related to autism marked by severe intellectual disability. In June 2015, we reported that our Phase 2 exploratory clinical study of MDX in adolescent and adult patients with Fragile X did not achieve statistical significance on the primary endpoint, yet demonstrated statistically significant improvements in certain clinically meaningful behavioral and cognitive endpoints, including the Vineland II Daily Living Skills Assessment. The FDA has granted Fast Track designation and Orphan Drug status to MDX for the treatment of Fragile X.</w:t>
      </w:r>
    </w:p>
    <w:p>
      <w:pPr>
        <w:spacing w:after="0" w:line="101" w:lineRule="exact"/>
        <w:rPr>
          <w:sz w:val="20"/>
          <w:szCs w:val="20"/>
          <w:color w:val="auto"/>
        </w:rPr>
      </w:pPr>
    </w:p>
    <w:p>
      <w:pPr>
        <w:ind w:left="40" w:right="579"/>
        <w:spacing w:after="0" w:line="262" w:lineRule="auto"/>
        <w:rPr>
          <w:sz w:val="20"/>
          <w:szCs w:val="20"/>
          <w:color w:val="auto"/>
        </w:rPr>
      </w:pPr>
      <w:r>
        <w:rPr>
          <w:rFonts w:ascii="Arial" w:cs="Arial" w:eastAsia="Arial" w:hAnsi="Arial"/>
          <w:sz w:val="18"/>
          <w:szCs w:val="18"/>
          <w:color w:val="auto"/>
        </w:rPr>
        <w:t>In October 2015, we met with the FDA to discuss the results of our Phase 2 study in Fragile X and the requirements for NDA submission of MDX in this therapeutic indication. The FDA concurred that results from a</w:t>
      </w:r>
    </w:p>
    <w:p>
      <w:pPr>
        <w:spacing w:after="0" w:line="200" w:lineRule="exact"/>
        <w:rPr>
          <w:sz w:val="20"/>
          <w:szCs w:val="20"/>
          <w:color w:val="auto"/>
        </w:rPr>
      </w:pPr>
    </w:p>
    <w:p>
      <w:pPr>
        <w:spacing w:after="0" w:line="34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338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4585" cy="533844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699"/>
        <w:spacing w:after="0" w:line="252" w:lineRule="auto"/>
        <w:rPr>
          <w:sz w:val="20"/>
          <w:szCs w:val="20"/>
          <w:color w:val="auto"/>
        </w:rPr>
      </w:pPr>
      <w:r>
        <w:rPr>
          <w:rFonts w:ascii="Arial" w:cs="Arial" w:eastAsia="Arial" w:hAnsi="Arial"/>
          <w:sz w:val="18"/>
          <w:szCs w:val="18"/>
          <w:color w:val="auto"/>
        </w:rPr>
        <w:t>single short-term, adequate and well-controlled efficacy study in adolescents and adult patients with Fragile X may be sufficient to support a claim of efficacy for approval of MDX in this indication (in line with the FDA's Guidance for Industry — Providing Evidence of Effectiveness for Human Drug and Biological Products, May 1998). We plan to submit a separate application for pediatric patients (ages 4-11) following FDA approval via a supplemental NDA. The FDA confirmed that the Vineland II Daily Living Skills Assessment could serve as the primary endpoint in the adolescents and adults Fragile X pivotal study. The study is scheduled to begin in 2016.</w:t>
      </w:r>
    </w:p>
    <w:p>
      <w:pPr>
        <w:spacing w:after="0" w:line="101" w:lineRule="exact"/>
        <w:rPr>
          <w:sz w:val="20"/>
          <w:szCs w:val="20"/>
          <w:color w:val="auto"/>
        </w:rPr>
      </w:pPr>
    </w:p>
    <w:p>
      <w:pPr>
        <w:jc w:val="both"/>
        <w:ind w:left="40" w:right="859"/>
        <w:spacing w:after="0" w:line="256"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As of September 30, 2015, we had an accumulated deficit of $66 million, as described below under “Capitalization and Indebtedness.”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Strategic Plan</w:t>
      </w:r>
    </w:p>
    <w:p>
      <w:pPr>
        <w:spacing w:after="0" w:line="139" w:lineRule="exact"/>
        <w:rPr>
          <w:sz w:val="20"/>
          <w:szCs w:val="20"/>
          <w:color w:val="auto"/>
        </w:rPr>
      </w:pPr>
    </w:p>
    <w:p>
      <w:pPr>
        <w:ind w:left="40" w:right="679"/>
        <w:spacing w:after="0" w:line="252" w:lineRule="auto"/>
        <w:rPr>
          <w:sz w:val="20"/>
          <w:szCs w:val="20"/>
          <w:color w:val="auto"/>
        </w:rPr>
      </w:pPr>
      <w:r>
        <w:rPr>
          <w:rFonts w:ascii="Arial" w:cs="Arial" w:eastAsia="Arial" w:hAnsi="Arial"/>
          <w:sz w:val="18"/>
          <w:szCs w:val="18"/>
          <w:color w:val="auto"/>
        </w:rPr>
        <w:t>Our objective is to develop and commercialize proprietary pharmaceutical products for treatment of central nervous system disorders, and cognitive dysfunctions in particular. To this effect, we intend to seek approval to conduct additional clinical trials for our most advanced product (MDX) and, if those trials are successful, seek marketing approvals from the FDA and other worldwide regulatory bodies for MDX for the treatment of ADHD in adults and children. We also plan to advance clinical studies and commercialization plans for MDX in Fragile X. To achieve these objectives, we plan to:</w:t>
      </w:r>
    </w:p>
    <w:p>
      <w:pPr>
        <w:spacing w:after="0" w:line="101" w:lineRule="exact"/>
        <w:rPr>
          <w:sz w:val="20"/>
          <w:szCs w:val="20"/>
          <w:color w:val="auto"/>
        </w:rPr>
      </w:pPr>
    </w:p>
    <w:p>
      <w:pPr>
        <w:ind w:left="600" w:right="1079" w:hanging="322"/>
        <w:spacing w:after="0" w:line="262"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for the treatment of ADHD in adults and children, and, if successful, file for marketing approval in the United States;</w:t>
      </w:r>
    </w:p>
    <w:p>
      <w:pPr>
        <w:spacing w:after="0" w:line="88" w:lineRule="exact"/>
        <w:rPr>
          <w:rFonts w:ascii="Arial" w:cs="Arial" w:eastAsia="Arial" w:hAnsi="Arial"/>
          <w:sz w:val="18"/>
          <w:szCs w:val="18"/>
          <w:color w:val="auto"/>
        </w:rPr>
      </w:pPr>
    </w:p>
    <w:p>
      <w:pPr>
        <w:ind w:left="600" w:right="1079" w:hanging="322"/>
        <w:spacing w:after="0" w:line="262"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seek the necessary regulatory approvals to complete the clinical development of MDX for the treatment of Fragile X in adults and children, and, if successful, file for marketing approval in the United States; and</w:t>
      </w:r>
    </w:p>
    <w:p>
      <w:pPr>
        <w:spacing w:after="0" w:line="88" w:lineRule="exact"/>
        <w:rPr>
          <w:rFonts w:ascii="Arial" w:cs="Arial" w:eastAsia="Arial" w:hAnsi="Arial"/>
          <w:sz w:val="18"/>
          <w:szCs w:val="18"/>
          <w:color w:val="auto"/>
        </w:rPr>
      </w:pPr>
    </w:p>
    <w:p>
      <w:pPr>
        <w:ind w:left="600" w:right="619" w:hanging="322"/>
        <w:spacing w:after="0" w:line="256"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and Fragile X by establishing independent distribution capabilities or in conjunction with other pharmaceutical companies in the United States and other key markets.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7"/>
          <w:szCs w:val="17"/>
          <w:color w:val="auto"/>
        </w:rPr>
        <w:t>We were incorporated under the laws of the State of Israel in 2008. Our principal executive offices are located at Azrieli</w:t>
      </w:r>
    </w:p>
    <w:p>
      <w:pPr>
        <w:spacing w:after="0" w:line="48" w:lineRule="exact"/>
        <w:rPr>
          <w:sz w:val="20"/>
          <w:szCs w:val="20"/>
          <w:color w:val="auto"/>
        </w:rPr>
      </w:pPr>
    </w:p>
    <w:p>
      <w:pPr>
        <w:ind w:left="40" w:right="579"/>
        <w:spacing w:after="0" w:line="229" w:lineRule="auto"/>
        <w:rPr>
          <w:sz w:val="20"/>
          <w:szCs w:val="20"/>
          <w:color w:val="auto"/>
        </w:rPr>
      </w:pPr>
      <w:r>
        <w:rPr>
          <w:rFonts w:ascii="Arial" w:cs="Arial" w:eastAsia="Arial" w:hAnsi="Arial"/>
          <w:sz w:val="18"/>
          <w:szCs w:val="18"/>
          <w:color w:val="auto"/>
        </w:rPr>
        <w:t>Triangle Building, 132 Derech Menachem Begin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6701101 Israel, and our telephone number is +972 72 220 4661. In 2013, we established a wholly-owned subsidiary in the United States, Alcobra Inc., a Delaware corporation. Alcobra, Inc. is located at 600 West Germantown Pike, Suite 400, Plymouth Meeting, PA, 19462, and its telephone number is (610) 940-1631. Our website address is </w:t>
      </w:r>
      <w:r>
        <w:rPr>
          <w:rFonts w:ascii="Arial" w:cs="Arial" w:eastAsia="Arial" w:hAnsi="Arial"/>
          <w:sz w:val="18"/>
          <w:szCs w:val="18"/>
          <w:i w:val="1"/>
          <w:iCs w:val="1"/>
          <w:color w:val="auto"/>
        </w:rPr>
        <w:t>www.alcobra-pharma.com</w:t>
      </w:r>
      <w:r>
        <w:rPr>
          <w:rFonts w:ascii="Arial" w:cs="Arial" w:eastAsia="Arial" w:hAnsi="Arial"/>
          <w:sz w:val="18"/>
          <w:szCs w:val="18"/>
          <w:color w:val="auto"/>
        </w:rPr>
        <w:t>. The information contained on our website is not incorporated by reference and should not be considered as part of this prospectus supplement.</w:t>
      </w: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4249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4585" cy="424942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079"/>
          </w:cols>
          <w:pgMar w:left="380" w:top="8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Ordinary shares to be outstanding after this offering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Underwriters’ Option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OFFERING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6,175,000 shares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27,356,722 shares</w:t>
      </w:r>
    </w:p>
    <w:p>
      <w:pPr>
        <w:spacing w:after="0" w:line="90" w:lineRule="exact"/>
        <w:rPr>
          <w:sz w:val="20"/>
          <w:szCs w:val="20"/>
          <w:color w:val="auto"/>
        </w:rPr>
      </w:pPr>
    </w:p>
    <w:p>
      <w:pPr>
        <w:ind w:right="599"/>
        <w:spacing w:after="0"/>
        <w:rPr>
          <w:sz w:val="20"/>
          <w:szCs w:val="20"/>
          <w:color w:val="auto"/>
        </w:rPr>
      </w:pPr>
      <w:r>
        <w:rPr>
          <w:rFonts w:ascii="Arial" w:cs="Arial" w:eastAsia="Arial" w:hAnsi="Arial"/>
          <w:sz w:val="18"/>
          <w:szCs w:val="18"/>
          <w:color w:val="auto"/>
        </w:rPr>
        <w:t>We have granted the underwriters an option for a period of 30 days after the date of the underwriting agreement to purchase up to 926,250 additional ordinary shares.</w:t>
      </w:r>
    </w:p>
    <w:p>
      <w:pPr>
        <w:spacing w:after="0" w:line="81" w:lineRule="exact"/>
        <w:rPr>
          <w:sz w:val="20"/>
          <w:szCs w:val="20"/>
          <w:color w:val="auto"/>
        </w:rPr>
      </w:pPr>
    </w:p>
    <w:p>
      <w:pPr>
        <w:ind w:right="1179"/>
        <w:spacing w:after="0" w:line="246" w:lineRule="auto"/>
        <w:rPr>
          <w:sz w:val="20"/>
          <w:szCs w:val="20"/>
          <w:color w:val="auto"/>
        </w:rPr>
      </w:pPr>
      <w:r>
        <w:rPr>
          <w:rFonts w:ascii="Arial" w:cs="Arial" w:eastAsia="Arial" w:hAnsi="Arial"/>
          <w:sz w:val="18"/>
          <w:szCs w:val="18"/>
          <w:color w:val="auto"/>
        </w:rPr>
        <w:t>To fund our future clinical development program and for general corporate purposes</w:t>
      </w:r>
    </w:p>
    <w:p>
      <w:pPr>
        <w:spacing w:after="0" w:line="75" w:lineRule="exact"/>
        <w:rPr>
          <w:sz w:val="20"/>
          <w:szCs w:val="20"/>
          <w:color w:val="auto"/>
        </w:rPr>
      </w:pPr>
    </w:p>
    <w:p>
      <w:pPr>
        <w:ind w:right="879"/>
        <w:spacing w:after="0" w:line="234" w:lineRule="auto"/>
        <w:rPr>
          <w:rFonts w:ascii="Arial" w:cs="Arial" w:eastAsia="Arial" w:hAnsi="Arial"/>
          <w:sz w:val="18"/>
          <w:szCs w:val="18"/>
          <w:color w:val="auto"/>
        </w:rPr>
      </w:pPr>
      <w:r>
        <w:rPr>
          <w:rFonts w:ascii="Arial" w:cs="Arial" w:eastAsia="Arial" w:hAnsi="Arial"/>
          <w:sz w:val="18"/>
          <w:szCs w:val="18"/>
          <w:color w:val="auto"/>
        </w:rPr>
        <w:t>See “Risk Factors” beginning on page S-</w:t>
      </w:r>
      <w:hyperlink w:anchor="page9">
        <w:r>
          <w:rPr>
            <w:rFonts w:ascii="Arial" w:cs="Arial" w:eastAsia="Arial" w:hAnsi="Arial"/>
            <w:sz w:val="18"/>
            <w:szCs w:val="18"/>
            <w:u w:val="single" w:color="auto"/>
            <w:color w:val="0000EE"/>
          </w:rPr>
          <w:t>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supplement and page 1 of the accompanying prospectus and in the documents incorporated by reference herein (including under Item</w:t>
      </w:r>
    </w:p>
    <w:p>
      <w:pPr>
        <w:spacing w:after="0" w:line="2" w:lineRule="exact"/>
        <w:rPr>
          <w:sz w:val="20"/>
          <w:szCs w:val="20"/>
          <w:color w:val="auto"/>
        </w:rPr>
      </w:pPr>
    </w:p>
    <w:p>
      <w:pPr>
        <w:ind w:right="619"/>
        <w:spacing w:after="0"/>
        <w:rPr>
          <w:sz w:val="20"/>
          <w:szCs w:val="20"/>
          <w:color w:val="auto"/>
        </w:rPr>
      </w:pPr>
      <w:r>
        <w:rPr>
          <w:rFonts w:ascii="Arial" w:cs="Arial" w:eastAsia="Arial" w:hAnsi="Arial"/>
          <w:sz w:val="18"/>
          <w:szCs w:val="18"/>
          <w:color w:val="auto"/>
        </w:rPr>
        <w:t>3.D. — “Risk Factors” in our most recent Annual Report on Form 20-F) for a discussion of the risks you should carefully consider before deciding to invest in our ordinary shares.</w:t>
      </w:r>
    </w:p>
    <w:p>
      <w:pPr>
        <w:spacing w:after="0" w:line="81" w:lineRule="exact"/>
        <w:rPr>
          <w:sz w:val="20"/>
          <w:szCs w:val="20"/>
          <w:color w:val="auto"/>
        </w:rPr>
      </w:pPr>
    </w:p>
    <w:p>
      <w:pPr>
        <w:sectPr>
          <w:pgSz w:w="11900" w:h="16838" w:orient="portrait"/>
          <w:cols w:equalWidth="0" w:num="2">
            <w:col w:w="3120" w:space="700"/>
            <w:col w:w="6259"/>
          </w:cols>
          <w:pgMar w:left="380" w:top="802" w:right="1440" w:bottom="1440" w:gutter="0" w:footer="0" w:header="0"/>
          <w:type w:val="continuous"/>
        </w:sectPr>
      </w:pPr>
    </w:p>
    <w:p>
      <w:pPr>
        <w:spacing w:after="0"/>
        <w:tabs>
          <w:tab w:leader="none" w:pos="380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ADHD</w:t>
      </w:r>
    </w:p>
    <w:p>
      <w:pPr>
        <w:spacing w:after="0" w:line="104" w:lineRule="exact"/>
        <w:rPr>
          <w:sz w:val="20"/>
          <w:szCs w:val="20"/>
          <w:color w:val="auto"/>
        </w:rPr>
      </w:pPr>
    </w:p>
    <w:p>
      <w:pPr>
        <w:ind w:left="40" w:right="899"/>
        <w:spacing w:after="0" w:line="256" w:lineRule="auto"/>
        <w:rPr>
          <w:sz w:val="20"/>
          <w:szCs w:val="20"/>
          <w:color w:val="auto"/>
        </w:rPr>
      </w:pPr>
      <w:r>
        <w:rPr>
          <w:rFonts w:ascii="Arial" w:cs="Arial" w:eastAsia="Arial" w:hAnsi="Arial"/>
          <w:sz w:val="18"/>
          <w:szCs w:val="18"/>
          <w:color w:val="auto"/>
        </w:rPr>
        <w:t>Unless otherwise stated, all information in this prospectus supplement is based on 21,181,722 ordinary shares outstanding as of September 30, 2015, and assumes no exercise of the underwriters’ option to purchase additional shares and does not include the following as of that date:</w:t>
      </w:r>
    </w:p>
    <w:p>
      <w:pPr>
        <w:spacing w:after="0" w:line="94" w:lineRule="exact"/>
        <w:rPr>
          <w:sz w:val="20"/>
          <w:szCs w:val="20"/>
          <w:color w:val="auto"/>
        </w:rPr>
      </w:pPr>
    </w:p>
    <w:p>
      <w:pPr>
        <w:ind w:left="600" w:right="859" w:hanging="322"/>
        <w:spacing w:after="0" w:line="26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1,836,979 ordinary shares issuable upon the exercise of share options outstanding under our 2010 Incentive Option Plan, at a weighted average exercise price of $5.80 per share; and</w:t>
      </w:r>
    </w:p>
    <w:p>
      <w:pPr>
        <w:spacing w:after="0" w:line="88" w:lineRule="exact"/>
        <w:rPr>
          <w:rFonts w:ascii="Arial" w:cs="Arial" w:eastAsia="Arial" w:hAnsi="Arial"/>
          <w:sz w:val="18"/>
          <w:szCs w:val="18"/>
          <w:color w:val="auto"/>
        </w:rPr>
      </w:pPr>
    </w:p>
    <w:p>
      <w:pPr>
        <w:ind w:left="600" w:right="839" w:hanging="322"/>
        <w:spacing w:after="0" w:line="262"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104,167 ordinary shares issuable upon the exercise of outstanding warrants, at a weighted average exercise price of $18.00 per share.</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type w:val="continuous"/>
        </w:sectPr>
      </w:pPr>
    </w:p>
    <w:bookmarkStart w:id="7" w:name="page8"/>
    <w:bookmarkEnd w:id="7"/>
    <w:p>
      <w:pPr>
        <w:ind w:left="20"/>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4823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04585" cy="482346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39" w:lineRule="exact"/>
        <w:rPr>
          <w:sz w:val="20"/>
          <w:szCs w:val="20"/>
          <w:color w:val="auto"/>
        </w:rPr>
      </w:pPr>
    </w:p>
    <w:p>
      <w:pPr>
        <w:ind w:left="60" w:right="539"/>
        <w:spacing w:after="0" w:line="251" w:lineRule="auto"/>
        <w:rPr>
          <w:sz w:val="20"/>
          <w:szCs w:val="20"/>
          <w:color w:val="auto"/>
        </w:rPr>
      </w:pPr>
      <w:r>
        <w:rPr>
          <w:rFonts w:ascii="Arial" w:cs="Arial" w:eastAsia="Arial" w:hAnsi="Arial"/>
          <w:sz w:val="18"/>
          <w:szCs w:val="18"/>
          <w:color w:val="auto"/>
        </w:rPr>
        <w:t>We derived the summary consolidated financial statement data for the years ended December 31, 2014, 2013 and 2012, set forth below from our audited consolidated financial statements and related notes incorporated by reference in this prospectus supplement and the accompanying prospectus. We derived the summary consolidated financial data as of September 30, 2015, and for the nine months ended September 30, 2015, and 2014, from our unaudited condensed consolidated financial information incorporated by reference in this prospectus supplement and the accompanying prospectus. The unaudited condensed financial data as of and for the nine months ended September 30, 2015, in the opinion of management, contains all adjustments (consisting of only normal recurring adjustments) necessary to present fairly our financial position and results of operations for the period. Our unaudited quarterly results as of and for the nine months ended September 30, 2015 have not been reviewed by our independent auditors. Accordingly, we cannot assure you that upon completion of the review of our independent auditors and of the audit by our independent auditors of our results for the year ending December 31, 2015, we will not report different financial results than those set forth below. Further, our results for interim periods are not necessarily indicative of the results that may be expected for the entire year. You should read the information presented below together with our consolidated financial statements, the notes to those statements and the other financial information incorporated by reference in this prospectus supplement and the accompanying prospectus.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 thousands of U.S. dollars, except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156"/>
        </w:trPr>
        <w:tc>
          <w:tcPr>
            <w:tcW w:w="28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Statements of Operations Data:</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Research and development expenses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10,126</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20,197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25,105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7,066</w:t>
            </w: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818</w:t>
            </w: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 commercialization expenses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4,403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5,839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3,224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683</w:t>
            </w: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(income) expense, net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w:t>
            </w: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Taxes on income (benefits)</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attributable to holders of ordinary</w:t>
            </w: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8"/>
        </w:trPr>
        <w:tc>
          <w:tcPr>
            <w:tcW w:w="2860" w:type="dxa"/>
            <w:vAlign w:val="bottom"/>
            <w:shd w:val="clear" w:color="auto" w:fill="CCEEFF"/>
          </w:tcPr>
          <w:p>
            <w:pPr>
              <w:ind w:left="200"/>
              <w:spacing w:after="0" w:line="157" w:lineRule="exact"/>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14,562</w:t>
            </w:r>
          </w:p>
        </w:tc>
        <w:tc>
          <w:tcPr>
            <w:tcW w:w="1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26,032</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32,834</w:t>
            </w:r>
          </w:p>
        </w:tc>
        <w:tc>
          <w:tcPr>
            <w:tcW w:w="1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10,548</w:t>
            </w:r>
          </w:p>
        </w:tc>
        <w:tc>
          <w:tcPr>
            <w:tcW w:w="3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1,579</w:t>
            </w:r>
          </w:p>
        </w:tc>
      </w:tr>
      <w:tr>
        <w:trPr>
          <w:trHeight w:val="160"/>
        </w:trPr>
        <w:tc>
          <w:tcPr>
            <w:tcW w:w="286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Weighted average number of ordinary</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162"/>
        </w:trPr>
        <w:tc>
          <w:tcPr>
            <w:tcW w:w="2860" w:type="dxa"/>
            <w:vAlign w:val="bottom"/>
          </w:tcPr>
          <w:p>
            <w:pPr>
              <w:ind w:left="200"/>
              <w:spacing w:after="0"/>
              <w:rPr>
                <w:sz w:val="20"/>
                <w:szCs w:val="20"/>
                <w:color w:val="auto"/>
              </w:rPr>
            </w:pPr>
            <w:r>
              <w:rPr>
                <w:rFonts w:ascii="Arial" w:cs="Arial" w:eastAsia="Arial" w:hAnsi="Arial"/>
                <w:sz w:val="14"/>
                <w:szCs w:val="14"/>
                <w:color w:val="auto"/>
              </w:rPr>
              <w:t>shares used in computing basic and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2860" w:type="dxa"/>
            <w:vAlign w:val="bottom"/>
          </w:tcPr>
          <w:p>
            <w:pPr>
              <w:ind w:left="200"/>
              <w:spacing w:after="0"/>
              <w:rPr>
                <w:sz w:val="20"/>
                <w:szCs w:val="20"/>
                <w:color w:val="auto"/>
              </w:rPr>
            </w:pPr>
            <w:r>
              <w:rPr>
                <w:rFonts w:ascii="Arial" w:cs="Arial" w:eastAsia="Arial" w:hAnsi="Arial"/>
                <w:sz w:val="14"/>
                <w:szCs w:val="14"/>
                <w:color w:val="auto"/>
              </w:rPr>
              <w:t>diluted net loss per share</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20,796,235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13,665,459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13,674,818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10,177,786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7,791,932</w:t>
            </w:r>
          </w:p>
        </w:tc>
      </w:tr>
    </w:tbl>
    <w:p>
      <w:pPr>
        <w:spacing w:after="0" w:line="200" w:lineRule="exact"/>
        <w:rPr>
          <w:sz w:val="20"/>
          <w:szCs w:val="20"/>
          <w:color w:val="auto"/>
        </w:rPr>
      </w:pPr>
    </w:p>
    <w:p>
      <w:pPr>
        <w:spacing w:after="0" w:line="35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 FACTORS</w:t>
      </w:r>
    </w:p>
    <w:p>
      <w:pPr>
        <w:spacing w:after="0" w:line="139" w:lineRule="exact"/>
        <w:rPr>
          <w:sz w:val="20"/>
          <w:szCs w:val="20"/>
          <w:color w:val="auto"/>
        </w:rPr>
      </w:pPr>
    </w:p>
    <w:p>
      <w:pPr>
        <w:ind w:left="40" w:right="619"/>
        <w:spacing w:after="0" w:line="251"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below, in the accompanying prospectus and under Item 3.D. — “Risk Factors” in our most recent Annual Report on Form 20-F, or in any updates in our Reports on Form 6-K, together with all of the other information appearing in this prospectus supplement or the accompanying prospectus or incorporated by reference herein or therein, including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“Warning Regarding Forward-Looking Statements” below.</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subject to any number of legal proceedings.</w:t>
      </w:r>
    </w:p>
    <w:p>
      <w:pPr>
        <w:spacing w:after="0" w:line="139" w:lineRule="exact"/>
        <w:rPr>
          <w:sz w:val="20"/>
          <w:szCs w:val="20"/>
          <w:color w:val="auto"/>
        </w:rPr>
      </w:pPr>
    </w:p>
    <w:p>
      <w:pPr>
        <w:ind w:left="40" w:right="659"/>
        <w:spacing w:after="0" w:line="251" w:lineRule="auto"/>
        <w:rPr>
          <w:sz w:val="20"/>
          <w:szCs w:val="20"/>
          <w:color w:val="auto"/>
        </w:rPr>
      </w:pPr>
      <w:r>
        <w:rPr>
          <w:rFonts w:ascii="Arial" w:cs="Arial" w:eastAsia="Arial" w:hAnsi="Arial"/>
          <w:sz w:val="18"/>
          <w:szCs w:val="18"/>
          <w:color w:val="auto"/>
        </w:rPr>
        <w:t>On December 16, 2014, a class action lawsuit was filed against us and certain of our current and former officers and directors in the United States District Court for the Southern District of New York. The complaint, brought by a putative class of investors, alleges, among other things, that our officers and directors made false or misleading statements relating to the results of our Phase 3 study for our MDX drug candidate. On May 20, 2015, we moved to dismiss the complaint. The motion to dismiss has been fully briefed, and oral argument occurred on September 22, 2015, and the court’s decision remains pending.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121" w:lineRule="exact"/>
        <w:rPr>
          <w:sz w:val="20"/>
          <w:szCs w:val="20"/>
          <w:color w:val="auto"/>
        </w:rPr>
      </w:pPr>
    </w:p>
    <w:p>
      <w:pPr>
        <w:jc w:val="both"/>
        <w:ind w:left="40" w:right="799"/>
        <w:spacing w:after="0" w:line="262" w:lineRule="auto"/>
        <w:rPr>
          <w:sz w:val="20"/>
          <w:szCs w:val="20"/>
          <w:color w:val="auto"/>
        </w:rPr>
      </w:pPr>
      <w:r>
        <w:rPr>
          <w:rFonts w:ascii="Arial" w:cs="Arial" w:eastAsia="Arial" w:hAnsi="Arial"/>
          <w:sz w:val="18"/>
          <w:szCs w:val="18"/>
          <w:b w:val="1"/>
          <w:bCs w:val="1"/>
          <w:i w:val="1"/>
          <w:iCs w:val="1"/>
          <w:color w:val="auto"/>
        </w:rPr>
        <w:t>We have filed multiple patent applications and have three issued patents by the U.S. Patent and Trademark Office, or the USPTO, and three issued patents in other jurisdictions. There can be no assurance that any of our other patent applications will result in issued patents. As a result, we may have limited protection of our proprietary technology in the marketplace.</w:t>
      </w:r>
    </w:p>
    <w:p>
      <w:pPr>
        <w:spacing w:after="0" w:line="91" w:lineRule="exact"/>
        <w:rPr>
          <w:sz w:val="20"/>
          <w:szCs w:val="20"/>
          <w:color w:val="auto"/>
        </w:rPr>
      </w:pPr>
    </w:p>
    <w:p>
      <w:pPr>
        <w:ind w:left="40" w:right="539"/>
        <w:spacing w:after="0" w:line="251" w:lineRule="auto"/>
        <w:rPr>
          <w:sz w:val="20"/>
          <w:szCs w:val="20"/>
          <w:color w:val="auto"/>
        </w:rPr>
      </w:pPr>
      <w:r>
        <w:rPr>
          <w:rFonts w:ascii="Arial" w:cs="Arial" w:eastAsia="Arial" w:hAnsi="Arial"/>
          <w:sz w:val="18"/>
          <w:szCs w:val="18"/>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The USPTO has issued three patents to us, covering the composition of the sustained release form of MDX, the use of metadoxine for ADHD, and new molecular derivatives of metadoxine. We also have three issued patents in Australia and New Zealand. Unless and until other pending applications issue, their additional protective scope is impossible to determine. It is impossible to predict whether or how many of these additional applications will result in issued patents. Even if pending applications issue, they may issue with claims significantly narrower than those we currently seek. The patent position of biotechnology and pharmaceutical companies is generally uncertain because it involves complex legal and factual considerations. The standards applied by the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right="679"/>
        <w:spacing w:after="0" w:line="287" w:lineRule="auto"/>
        <w:rPr>
          <w:sz w:val="20"/>
          <w:szCs w:val="20"/>
          <w:color w:val="auto"/>
        </w:rPr>
      </w:pPr>
      <w:r>
        <w:rPr>
          <w:rFonts w:ascii="Arial" w:cs="Arial" w:eastAsia="Arial" w:hAnsi="Arial"/>
          <w:sz w:val="18"/>
          <w:szCs w:val="18"/>
          <w:b w:val="1"/>
          <w:bCs w:val="1"/>
          <w:i w:val="1"/>
          <w:iCs w:val="1"/>
          <w:color w:val="auto"/>
        </w:rPr>
        <w:t>If we were to be characterized as a “passive foreign investment company” for U.S. tax purposes, U.S. holders of our ordinary shares could have adverse U.S. income tax consequences.</w:t>
      </w:r>
    </w:p>
    <w:p>
      <w:pPr>
        <w:spacing w:after="0" w:line="67" w:lineRule="exact"/>
        <w:rPr>
          <w:sz w:val="20"/>
          <w:szCs w:val="20"/>
          <w:color w:val="auto"/>
        </w:rPr>
      </w:pPr>
    </w:p>
    <w:p>
      <w:pPr>
        <w:ind w:left="40" w:right="519"/>
        <w:spacing w:after="0" w:line="251" w:lineRule="auto"/>
        <w:rPr>
          <w:sz w:val="20"/>
          <w:szCs w:val="20"/>
          <w:color w:val="auto"/>
        </w:rPr>
      </w:pPr>
      <w:r>
        <w:rPr>
          <w:rFonts w:ascii="Arial" w:cs="Arial" w:eastAsia="Arial" w:hAnsi="Arial"/>
          <w:sz w:val="18"/>
          <w:szCs w:val="18"/>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Based on the nature of our business, the projected composition of our income and the projected composition and estimated fair market values of our assets, we cannot rule out a PFIC designation. In particular, in light of the complexity of PFIC rules, we cannot assure you that we have not been a PFIC in prior years or are not a PFIC or will avoid becoming a PFIC in the future. Were we to be classified as a PFIC, a U.S. investor may be able to mitigate some of the adverse U.S. federal income tax consequences with respect to owning the ordinary shares for our taxable year ending December 31, 2015, provided that such U.S. investor is eligible to make, and successfully makes, a “mark-to-market” election. U.S. investors could also mitigate some of the adverse U.S. federal income tax consequences of us being classified as a PFIC by making a “qualified electing fund” election, provided that we provide the information necessary for a U.S. investor to make such an election. We intend to make available to U.S. investors upon request the information necessary for U.S. holders to make qualified electing fund elections. U.S. Holders are strongly urged to consult their tax advisors about the PFIC rules, including tax return filing requirements and the eligibility, manner, and consequences to them of making a QEF or mark-to-market election with respect to our Ordinary Shares in the event we that qualify as a PFIC. For more information see “U.S. Federal Income Tax Consequences” in our Annual Report on Form 20-F incorporated by reference herein.</w:t>
      </w:r>
    </w:p>
    <w:p>
      <w:pPr>
        <w:spacing w:after="0" w:line="120" w:lineRule="exact"/>
        <w:rPr>
          <w:sz w:val="20"/>
          <w:szCs w:val="20"/>
          <w:color w:val="auto"/>
        </w:rPr>
      </w:pPr>
    </w:p>
    <w:p>
      <w:pPr>
        <w:ind w:left="40" w:right="879"/>
        <w:spacing w:after="0" w:line="287" w:lineRule="auto"/>
        <w:rPr>
          <w:sz w:val="20"/>
          <w:szCs w:val="20"/>
          <w:color w:val="auto"/>
        </w:rPr>
      </w:pPr>
      <w:r>
        <w:rPr>
          <w:rFonts w:ascii="Arial" w:cs="Arial" w:eastAsia="Arial" w:hAnsi="Arial"/>
          <w:sz w:val="18"/>
          <w:szCs w:val="18"/>
          <w:b w:val="1"/>
          <w:bCs w:val="1"/>
          <w:i w:val="1"/>
          <w:iCs w:val="1"/>
          <w:color w:val="auto"/>
        </w:rPr>
        <w:t>Since we have broad discretion in how we use the proceeds from this offering, we may use the proceeds in ways with which you disagree.</w:t>
      </w:r>
    </w:p>
    <w:p>
      <w:pPr>
        <w:spacing w:after="0" w:line="67"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We intend to use the net proceeds of this offering to fund the company’s future clinical development program and for general corporate purposes.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a favorable, or any, return for the company. The failure of our management to use such funds effectively could have a material adverse effect on our business, financial condition, operating results and cash flow.</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Investors will incur an immediate dilution from the public offering price.</w:t>
      </w:r>
    </w:p>
    <w:p>
      <w:pPr>
        <w:spacing w:after="0" w:line="139" w:lineRule="exact"/>
        <w:rPr>
          <w:sz w:val="20"/>
          <w:szCs w:val="20"/>
          <w:color w:val="auto"/>
        </w:rPr>
      </w:pPr>
    </w:p>
    <w:p>
      <w:pPr>
        <w:ind w:left="40" w:right="559"/>
        <w:spacing w:after="0" w:line="252" w:lineRule="auto"/>
        <w:rPr>
          <w:sz w:val="20"/>
          <w:szCs w:val="20"/>
          <w:color w:val="auto"/>
        </w:rPr>
      </w:pPr>
      <w:r>
        <w:rPr>
          <w:rFonts w:ascii="Arial" w:cs="Arial" w:eastAsia="Arial" w:hAnsi="Arial"/>
          <w:sz w:val="18"/>
          <w:szCs w:val="18"/>
          <w:color w:val="auto"/>
        </w:rPr>
        <w:t>Because the price per share of our ordinary shares being offered is substantially higher than the book value per share of our ordinary shares, you will suffer substantial dilution in the net tangible book value of the ordinary shares you purchase in this offering. Based on the initial public offering price of $6.50 per share, if you purchase ordinary shares in this offering, you will suffer immediate and substantial dilution of $3.85 per ordinary share in the net tangible book value of the ordinary shares, as of September 30, 2015. See “Dilution” for a more detailed discussion of the dilution you will incur in this offering.</w:t>
      </w:r>
    </w:p>
    <w:p>
      <w:pPr>
        <w:spacing w:after="0" w:line="106" w:lineRule="exact"/>
        <w:rPr>
          <w:sz w:val="20"/>
          <w:szCs w:val="20"/>
          <w:color w:val="auto"/>
        </w:rPr>
      </w:pPr>
    </w:p>
    <w:p>
      <w:pPr>
        <w:ind w:left="40" w:right="639"/>
        <w:spacing w:after="0" w:line="287" w:lineRule="auto"/>
        <w:rPr>
          <w:sz w:val="20"/>
          <w:szCs w:val="20"/>
          <w:color w:val="auto"/>
        </w:rPr>
      </w:pPr>
      <w:r>
        <w:rPr>
          <w:rFonts w:ascii="Arial" w:cs="Arial" w:eastAsia="Arial" w:hAnsi="Arial"/>
          <w:sz w:val="18"/>
          <w:szCs w:val="18"/>
          <w:b w:val="1"/>
          <w:bCs w:val="1"/>
          <w:i w:val="1"/>
          <w:iCs w:val="1"/>
          <w:color w:val="auto"/>
        </w:rPr>
        <w:t>A substantial percentage of our authorized shares may be sold in this offering, which could cause the price of our ordinary shares to decline.</w:t>
      </w:r>
    </w:p>
    <w:p>
      <w:pPr>
        <w:spacing w:after="0" w:line="67" w:lineRule="exact"/>
        <w:rPr>
          <w:sz w:val="20"/>
          <w:szCs w:val="20"/>
          <w:color w:val="auto"/>
        </w:rPr>
      </w:pPr>
    </w:p>
    <w:p>
      <w:pPr>
        <w:ind w:left="40" w:right="539"/>
        <w:spacing w:after="0" w:line="251" w:lineRule="auto"/>
        <w:rPr>
          <w:sz w:val="20"/>
          <w:szCs w:val="20"/>
          <w:color w:val="auto"/>
        </w:rPr>
      </w:pPr>
      <w:r>
        <w:rPr>
          <w:rFonts w:ascii="Arial" w:cs="Arial" w:eastAsia="Arial" w:hAnsi="Arial"/>
          <w:sz w:val="18"/>
          <w:szCs w:val="18"/>
          <w:color w:val="auto"/>
        </w:rPr>
        <w:t>Pursuant to this offering, we will sell 6,175,000 ordinary shares, or approximately 29.2%, of our outstanding ordinary shares as of September 30, 2015. This sale and any future sales of a substantial number of ordinary shares in the public market, or the perception that such sales may occur, could adversely affect the price of our ordinary shares. We have issued a substantial number of ordinary shares upon exercise of warrants and options to purchase our ordinary shares, which are eligible for, or may become eligible for, unrestricted resale. Any sales or registration of such shares in the public market or otherwise could reduce the prevailing market price for our ordinary shares, as well as make future sales of equity securities by us less attractive or even not feasible. The sale of shares issued upon the exercise of options and warrants granted pursuant to our employee stock purchase plan could also further dilute the holdings of our then existing shareholders.</w:t>
      </w:r>
    </w:p>
    <w:p>
      <w:pPr>
        <w:spacing w:after="0" w:line="200" w:lineRule="exact"/>
        <w:rPr>
          <w:sz w:val="20"/>
          <w:szCs w:val="20"/>
          <w:color w:val="auto"/>
        </w:rPr>
      </w:pPr>
    </w:p>
    <w:p>
      <w:pPr>
        <w:spacing w:after="0" w:line="36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right="1159"/>
        <w:spacing w:after="0" w:line="287" w:lineRule="auto"/>
        <w:rPr>
          <w:sz w:val="20"/>
          <w:szCs w:val="20"/>
          <w:color w:val="auto"/>
        </w:rPr>
      </w:pPr>
      <w:r>
        <w:rPr>
          <w:rFonts w:ascii="Arial" w:cs="Arial" w:eastAsia="Arial" w:hAnsi="Arial"/>
          <w:sz w:val="18"/>
          <w:szCs w:val="18"/>
          <w:b w:val="1"/>
          <w:bCs w:val="1"/>
          <w:i w:val="1"/>
          <w:iCs w:val="1"/>
          <w:color w:val="auto"/>
        </w:rPr>
        <w:t>We may need additional funds in the future. We may be unable to obtain additional funds or if we obtain financing it may not be on terms favorable to us. You may lose your entire investment.</w:t>
      </w:r>
    </w:p>
    <w:p>
      <w:pPr>
        <w:spacing w:after="0" w:line="67" w:lineRule="exact"/>
        <w:rPr>
          <w:sz w:val="20"/>
          <w:szCs w:val="20"/>
          <w:color w:val="auto"/>
        </w:rPr>
      </w:pPr>
    </w:p>
    <w:p>
      <w:pPr>
        <w:ind w:left="40" w:right="779"/>
        <w:spacing w:after="0" w:line="253" w:lineRule="auto"/>
        <w:rPr>
          <w:sz w:val="20"/>
          <w:szCs w:val="20"/>
          <w:color w:val="auto"/>
        </w:rPr>
      </w:pPr>
      <w:r>
        <w:rPr>
          <w:rFonts w:ascii="Arial" w:cs="Arial" w:eastAsia="Arial" w:hAnsi="Arial"/>
          <w:sz w:val="18"/>
          <w:szCs w:val="18"/>
          <w:color w:val="auto"/>
        </w:rPr>
        <w:t>Based on our current plans, we believe our existing cash and cash equivalents along with cash generated from this offering will be sufficient to fund our operating expenses and capital requirements through 2017, although there is no assurance of this result, and we may need funds in the future. If our capital resources are insufficient to meet future capital requirements, we will have to raise additional funds. If we are unable to obtain additional funds on terms favorable to us, we may be required to cease or reduce our operating activities.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39" w:lineRule="exact"/>
        <w:rPr>
          <w:sz w:val="20"/>
          <w:szCs w:val="20"/>
          <w:color w:val="auto"/>
        </w:rPr>
      </w:pPr>
    </w:p>
    <w:p>
      <w:pPr>
        <w:ind w:left="40" w:right="579"/>
        <w:spacing w:after="0" w:line="256" w:lineRule="auto"/>
        <w:rPr>
          <w:sz w:val="20"/>
          <w:szCs w:val="20"/>
          <w:color w:val="auto"/>
        </w:rPr>
      </w:pPr>
      <w:r>
        <w:rPr>
          <w:rFonts w:ascii="Arial" w:cs="Arial" w:eastAsia="Arial" w:hAnsi="Arial"/>
          <w:sz w:val="18"/>
          <w:szCs w:val="18"/>
          <w:color w:val="auto"/>
        </w:rPr>
        <w:t>The market price of our ordinary shares has been subject to fluctuation in the past. Consequently, the current market price of our ordinary shares may not be indicative of future market prices, and we may be unable to sustain or increase the value of an investment in our ordinary shares.</w:t>
      </w:r>
    </w:p>
    <w:p>
      <w:pPr>
        <w:spacing w:after="0" w:line="200" w:lineRule="exact"/>
        <w:rPr>
          <w:sz w:val="20"/>
          <w:szCs w:val="20"/>
          <w:color w:val="auto"/>
        </w:rPr>
      </w:pPr>
    </w:p>
    <w:p>
      <w:pPr>
        <w:spacing w:after="0" w:line="3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39" w:lineRule="exact"/>
        <w:rPr>
          <w:sz w:val="20"/>
          <w:szCs w:val="20"/>
          <w:color w:val="auto"/>
        </w:rPr>
      </w:pPr>
    </w:p>
    <w:p>
      <w:pPr>
        <w:ind w:left="40" w:right="539"/>
        <w:spacing w:after="0" w:line="266" w:lineRule="auto"/>
        <w:rPr>
          <w:sz w:val="20"/>
          <w:szCs w:val="20"/>
          <w:color w:val="auto"/>
        </w:rPr>
      </w:pPr>
      <w:r>
        <w:rPr>
          <w:rFonts w:ascii="Arial" w:cs="Arial" w:eastAsia="Arial" w:hAnsi="Arial"/>
          <w:sz w:val="17"/>
          <w:szCs w:val="17"/>
          <w:color w:val="auto"/>
        </w:rPr>
        <w:t>This prospectus supplement contains, “forward-looking statements” within the meaning of the Private Securities Litigation Reform Act of 1995 and other U.S. Federal securities laws. Also, documents that we incorporate by reference into this prospectus supplement,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and studies we are or anticipate conducting, if at all; FDA approval of, or other regulatory action in the United States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supplement would be interpreted differently in light of additional research and clinical and preclinical trials results. Also, while the FDA has indicated to us that positive efficacy results from certain clinical studies may be sufficient to demonstrate efficacy for approval of MDX, the FDA is not bound by these communications and accordingly may change its position in the future due to reasons within or outside of our control. The forward-looking statements contained in this prospectus supplement are subject to risks and uncertainties, including those described herein under “Risk Factors” and in our most recent Annual Report on Form 20-F, under Item 3.D. — “Risk Factors” and in our other filings with the SEC. You are cautioned not to place undue reliance on these forward looking statements, which speak only as of the date on which that statement is made.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USE OF PROCEEDS</w:t>
      </w:r>
    </w:p>
    <w:p>
      <w:pPr>
        <w:spacing w:after="0" w:line="139" w:lineRule="exact"/>
        <w:rPr>
          <w:sz w:val="20"/>
          <w:szCs w:val="20"/>
          <w:color w:val="auto"/>
        </w:rPr>
      </w:pPr>
    </w:p>
    <w:p>
      <w:pPr>
        <w:ind w:left="40" w:right="719"/>
        <w:spacing w:after="0" w:line="253" w:lineRule="auto"/>
        <w:rPr>
          <w:sz w:val="20"/>
          <w:szCs w:val="20"/>
          <w:color w:val="auto"/>
        </w:rPr>
      </w:pPr>
      <w:r>
        <w:rPr>
          <w:rFonts w:ascii="Arial" w:cs="Arial" w:eastAsia="Arial" w:hAnsi="Arial"/>
          <w:sz w:val="18"/>
          <w:szCs w:val="18"/>
          <w:color w:val="auto"/>
        </w:rPr>
        <w:t>We estimate that the net proceeds from our issuance and sale of 6,175,000 shares of our ordinary shares in this offering will be approximately $ 37.4 million, after deducting underwriting discounts and commissions and offering expenses payable by us. If the underwriters exercise the option to purchase additional shares in full, we estimate that the net proceeds from this offering will be approximately $43.1 million, after deducting underwriting discounts and commissions and offering expenses payable by us.</w:t>
      </w:r>
    </w:p>
    <w:p>
      <w:pPr>
        <w:spacing w:after="0" w:line="97" w:lineRule="exact"/>
        <w:rPr>
          <w:sz w:val="20"/>
          <w:szCs w:val="20"/>
          <w:color w:val="auto"/>
        </w:rPr>
      </w:pPr>
    </w:p>
    <w:p>
      <w:pPr>
        <w:ind w:left="40" w:right="699"/>
        <w:spacing w:after="0" w:line="262" w:lineRule="auto"/>
        <w:rPr>
          <w:sz w:val="20"/>
          <w:szCs w:val="20"/>
          <w:color w:val="auto"/>
        </w:rPr>
      </w:pPr>
      <w:r>
        <w:rPr>
          <w:rFonts w:ascii="Arial" w:cs="Arial" w:eastAsia="Arial" w:hAnsi="Arial"/>
          <w:sz w:val="18"/>
          <w:szCs w:val="18"/>
          <w:color w:val="auto"/>
        </w:rPr>
        <w:t>We currently expect to use the net proceeds from this offering to fund our future clinical development program and for general corporate purposes.</w:t>
      </w:r>
    </w:p>
    <w:p>
      <w:pPr>
        <w:spacing w:after="0" w:line="88"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96" w:lineRule="exact"/>
        <w:rPr>
          <w:sz w:val="20"/>
          <w:szCs w:val="20"/>
          <w:color w:val="auto"/>
        </w:rPr>
      </w:pPr>
    </w:p>
    <w:p>
      <w:pPr>
        <w:ind w:left="40" w:right="839"/>
        <w:spacing w:after="0" w:line="262"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PRICE RANGE OF ORDINARY SHARES</w:t>
      </w:r>
    </w:p>
    <w:p>
      <w:pPr>
        <w:spacing w:after="0" w:line="139" w:lineRule="exact"/>
        <w:rPr>
          <w:sz w:val="20"/>
          <w:szCs w:val="20"/>
          <w:color w:val="auto"/>
        </w:rPr>
      </w:pPr>
    </w:p>
    <w:p>
      <w:pPr>
        <w:ind w:left="60" w:right="699"/>
        <w:spacing w:after="0" w:line="256" w:lineRule="auto"/>
        <w:rPr>
          <w:sz w:val="20"/>
          <w:szCs w:val="20"/>
          <w:color w:val="auto"/>
        </w:rPr>
      </w:pPr>
      <w:r>
        <w:rPr>
          <w:rFonts w:ascii="Arial" w:cs="Arial" w:eastAsia="Arial" w:hAnsi="Arial"/>
          <w:sz w:val="18"/>
          <w:szCs w:val="18"/>
          <w:color w:val="auto"/>
        </w:rPr>
        <w:t>Our ordinary shares are listed on the NASDAQ Global Market under the symbol “ADHD”. From May 22, 2013, until March 28, 2014, our ordinary shares were listed on the NASDAQ Capital Market. Prior to May 22, 2013, there was no public trading market for our ordinary shares.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for the periods indicated, the high and low sales prices of our ordinary shares on the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NASDAQ Global Market or the NASDAQ Capital Market,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4751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Low</w:t>
            </w:r>
          </w:p>
        </w:tc>
      </w:tr>
      <w:tr>
        <w:trPr>
          <w:trHeight w:val="156"/>
        </w:trPr>
        <w:tc>
          <w:tcPr>
            <w:tcW w:w="5760" w:type="dxa"/>
            <w:vAlign w:val="bottom"/>
            <w:gridSpan w:val="5"/>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Year</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2015 (through November 12,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3.68</w:t>
            </w:r>
          </w:p>
        </w:tc>
      </w:tr>
      <w:tr>
        <w:trPr>
          <w:trHeight w:val="189"/>
        </w:trPr>
        <w:tc>
          <w:tcPr>
            <w:tcW w:w="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840" w:type="dxa"/>
            <w:vAlign w:val="bottom"/>
            <w:shd w:val="clear" w:color="auto" w:fill="CCEEFF"/>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color w:val="auto"/>
              </w:rPr>
              <w:t>2013</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26.96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6.50</w:t>
            </w:r>
          </w:p>
        </w:tc>
      </w:tr>
      <w:tr>
        <w:trPr>
          <w:trHeight w:val="162"/>
        </w:trPr>
        <w:tc>
          <w:tcPr>
            <w:tcW w:w="5760" w:type="dxa"/>
            <w:vAlign w:val="bottom"/>
            <w:gridSpan w:val="5"/>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Calendar Quarter</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b w:val="1"/>
                <w:bCs w:val="1"/>
                <w:color w:val="auto"/>
              </w:rPr>
              <w:t>2015</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Second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5.38</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Fourth quarter (through November 12,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8.78</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189"/>
        </w:trPr>
        <w:tc>
          <w:tcPr>
            <w:tcW w:w="5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2014</w:t>
            </w:r>
          </w:p>
        </w:tc>
        <w:tc>
          <w:tcPr>
            <w:tcW w:w="840" w:type="dxa"/>
            <w:vAlign w:val="bottom"/>
            <w:shd w:val="clear" w:color="auto" w:fill="CCEEFF"/>
          </w:tcPr>
          <w:p>
            <w:pPr>
              <w:spacing w:after="0"/>
              <w:rPr>
                <w:sz w:val="16"/>
                <w:szCs w:val="16"/>
                <w:color w:val="auto"/>
              </w:rPr>
            </w:pPr>
          </w:p>
        </w:tc>
        <w:tc>
          <w:tcPr>
            <w:tcW w:w="4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First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25.44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17.11</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Second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Third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22.19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14.77</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r>
      <w:tr>
        <w:trPr>
          <w:trHeight w:val="189"/>
        </w:trPr>
        <w:tc>
          <w:tcPr>
            <w:tcW w:w="500" w:type="dxa"/>
            <w:vAlign w:val="bottom"/>
            <w:gridSpan w:val="3"/>
          </w:tcPr>
          <w:p>
            <w:pPr>
              <w:ind w:left="20"/>
              <w:spacing w:after="0"/>
              <w:rPr>
                <w:sz w:val="20"/>
                <w:szCs w:val="20"/>
                <w:color w:val="auto"/>
              </w:rPr>
            </w:pPr>
            <w:r>
              <w:rPr>
                <w:rFonts w:ascii="Arial" w:cs="Arial" w:eastAsia="Arial" w:hAnsi="Arial"/>
                <w:sz w:val="16"/>
                <w:szCs w:val="16"/>
                <w:b w:val="1"/>
                <w:bCs w:val="1"/>
                <w:color w:val="auto"/>
              </w:rPr>
              <w:t>2013</w:t>
            </w:r>
          </w:p>
        </w:tc>
        <w:tc>
          <w:tcPr>
            <w:tcW w:w="8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Second quarter (from May 22, 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Third quarter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18.99</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6.80</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w:t>
            </w:r>
          </w:p>
        </w:tc>
      </w:tr>
      <w:tr>
        <w:trPr>
          <w:trHeight w:val="162"/>
        </w:trPr>
        <w:tc>
          <w:tcPr>
            <w:tcW w:w="5760" w:type="dxa"/>
            <w:vAlign w:val="bottom"/>
            <w:gridSpan w:val="5"/>
          </w:tcPr>
          <w:p>
            <w:pPr>
              <w:ind w:left="20"/>
              <w:spacing w:after="0" w:line="162" w:lineRule="exact"/>
              <w:rPr>
                <w:sz w:val="20"/>
                <w:szCs w:val="20"/>
                <w:color w:val="auto"/>
              </w:rPr>
            </w:pPr>
            <w:r>
              <w:rPr>
                <w:rFonts w:ascii="Arial" w:cs="Arial" w:eastAsia="Arial" w:hAnsi="Arial"/>
                <w:sz w:val="16"/>
                <w:szCs w:val="16"/>
                <w:b w:val="1"/>
                <w:bCs w:val="1"/>
                <w:color w:val="auto"/>
              </w:rPr>
              <w:t>Month</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May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June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8.84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5.91</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July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August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7.13</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September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189"/>
        </w:trPr>
        <w:tc>
          <w:tcPr>
            <w:tcW w:w="5760" w:type="dxa"/>
            <w:vAlign w:val="bottom"/>
            <w:gridSpan w:val="5"/>
          </w:tcPr>
          <w:p>
            <w:pPr>
              <w:ind w:left="20"/>
              <w:spacing w:after="0"/>
              <w:rPr>
                <w:sz w:val="20"/>
                <w:szCs w:val="20"/>
                <w:color w:val="auto"/>
              </w:rPr>
            </w:pPr>
            <w:r>
              <w:rPr>
                <w:rFonts w:ascii="Arial" w:cs="Arial" w:eastAsia="Arial" w:hAnsi="Arial"/>
                <w:sz w:val="16"/>
                <w:szCs w:val="16"/>
                <w:color w:val="auto"/>
              </w:rPr>
              <w:t>October 2015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8.34</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189"/>
        </w:trPr>
        <w:tc>
          <w:tcPr>
            <w:tcW w:w="57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November 2015 (through November 12, 2015)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r>
    </w:tbl>
    <w:p>
      <w:pPr>
        <w:spacing w:after="0" w:line="107" w:lineRule="exact"/>
        <w:rPr>
          <w:sz w:val="20"/>
          <w:szCs w:val="20"/>
          <w:color w:val="auto"/>
        </w:rPr>
      </w:pPr>
    </w:p>
    <w:p>
      <w:pPr>
        <w:ind w:left="60" w:right="739"/>
        <w:spacing w:after="0" w:line="262" w:lineRule="auto"/>
        <w:rPr>
          <w:sz w:val="20"/>
          <w:szCs w:val="20"/>
          <w:color w:val="auto"/>
        </w:rPr>
      </w:pPr>
      <w:r>
        <w:rPr>
          <w:rFonts w:ascii="Arial" w:cs="Arial" w:eastAsia="Arial" w:hAnsi="Arial"/>
          <w:sz w:val="18"/>
          <w:szCs w:val="18"/>
          <w:color w:val="auto"/>
        </w:rPr>
        <w:t>On November 12, 2015, the last reported sale price of our ordinary shares on the NASDAQ Global Market was $7.12 per share.</w:t>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ind w:left="40" w:right="539"/>
        <w:spacing w:after="0" w:line="252" w:lineRule="auto"/>
        <w:rPr>
          <w:sz w:val="20"/>
          <w:szCs w:val="20"/>
          <w:color w:val="auto"/>
        </w:rPr>
      </w:pPr>
      <w:r>
        <w:rPr>
          <w:rFonts w:ascii="Arial" w:cs="Arial" w:eastAsia="Arial" w:hAnsi="Arial"/>
          <w:sz w:val="18"/>
          <w:szCs w:val="18"/>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 The Israeli Companies Law imposes further restrictions on our ability to declare and pay dividends and payment of dividends may be subject to Israeli withholding taxes.</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our cash and cash equivalents, short-term investments and shareholders’ equity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2015, as follows:</w:t>
      </w:r>
    </w:p>
    <w:p>
      <w:pPr>
        <w:spacing w:after="0" w:line="117" w:lineRule="exact"/>
        <w:rPr>
          <w:sz w:val="20"/>
          <w:szCs w:val="20"/>
          <w:color w:val="auto"/>
        </w:rPr>
      </w:pPr>
    </w:p>
    <w:p>
      <w:pPr>
        <w:ind w:left="620" w:hanging="32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620" w:right="539" w:hanging="322"/>
        <w:spacing w:after="0" w:line="256"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and sale of 6,175,000 ordinary shares by us in this offering at the public offering price of $6.50 per ordinary share, after deducting underwriting discounts and commissions and estimated offering expenses payable by us.</w:t>
      </w:r>
    </w:p>
    <w:p>
      <w:pPr>
        <w:spacing w:after="0" w:line="94" w:lineRule="exact"/>
        <w:rPr>
          <w:sz w:val="20"/>
          <w:szCs w:val="20"/>
          <w:color w:val="auto"/>
        </w:rPr>
      </w:pPr>
    </w:p>
    <w:p>
      <w:pPr>
        <w:ind w:left="60" w:right="539"/>
        <w:spacing w:after="0" w:line="256" w:lineRule="auto"/>
        <w:rPr>
          <w:sz w:val="20"/>
          <w:szCs w:val="20"/>
          <w:color w:val="auto"/>
        </w:rPr>
      </w:pPr>
      <w:r>
        <w:rPr>
          <w:rFonts w:ascii="Arial" w:cs="Arial" w:eastAsia="Arial" w:hAnsi="Arial"/>
          <w:sz w:val="18"/>
          <w:szCs w:val="18"/>
          <w:color w:val="auto"/>
        </w:rPr>
        <w:t>The financial data in the following table should be read in conjunction with our consolidated unaudited financial information included in the report of foreign private issuer on Form 6-K furnished to the SEC on November 12, 2015, for the period ended September 30, 2015, which has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13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As of September 30, 2015</w:t>
            </w:r>
          </w:p>
        </w:tc>
      </w:tr>
      <w:tr>
        <w:trPr>
          <w:trHeight w:val="169"/>
        </w:trPr>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Adjusted</w:t>
            </w:r>
          </w:p>
        </w:tc>
      </w:tr>
      <w:tr>
        <w:trPr>
          <w:trHeight w:val="160"/>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4"/>
                <w:szCs w:val="14"/>
                <w:color w:val="auto"/>
              </w:rPr>
              <w:t>(unaudited, U.S. Dollars,</w:t>
            </w:r>
          </w:p>
        </w:tc>
      </w:tr>
      <w:tr>
        <w:trPr>
          <w:trHeight w:val="157"/>
        </w:trPr>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center"/>
              <w:ind w:right="100"/>
              <w:spacing w:after="0" w:line="157" w:lineRule="exact"/>
              <w:rPr>
                <w:sz w:val="20"/>
                <w:szCs w:val="20"/>
                <w:color w:val="auto"/>
              </w:rPr>
            </w:pPr>
            <w:r>
              <w:rPr>
                <w:rFonts w:ascii="Arial" w:cs="Arial" w:eastAsia="Arial" w:hAnsi="Arial"/>
                <w:sz w:val="14"/>
                <w:szCs w:val="14"/>
                <w:color w:val="auto"/>
              </w:rPr>
              <w:t>in thousands)</w:t>
            </w:r>
          </w:p>
        </w:tc>
      </w:tr>
      <w:tr>
        <w:trPr>
          <w:trHeight w:val="18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47,384</w:t>
            </w:r>
          </w:p>
        </w:tc>
      </w:tr>
      <w:tr>
        <w:trPr>
          <w:trHeight w:val="189"/>
        </w:trPr>
        <w:tc>
          <w:tcPr>
            <w:tcW w:w="6340" w:type="dxa"/>
            <w:vAlign w:val="bottom"/>
          </w:tcPr>
          <w:p>
            <w:pPr>
              <w:ind w:left="20"/>
              <w:spacing w:after="0"/>
              <w:rPr>
                <w:sz w:val="20"/>
                <w:szCs w:val="20"/>
                <w:color w:val="auto"/>
              </w:rPr>
            </w:pPr>
            <w:r>
              <w:rPr>
                <w:rFonts w:ascii="Arial" w:cs="Arial" w:eastAsia="Arial" w:hAnsi="Arial"/>
                <w:sz w:val="16"/>
                <w:szCs w:val="16"/>
                <w:color w:val="auto"/>
              </w:rPr>
              <w:t>Short-term bank deposit</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25,537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25,537</w:t>
            </w: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634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Total Cash and cash equivalents and Short-term bank deposit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35,507</w:t>
            </w: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72,921</w:t>
            </w:r>
          </w:p>
        </w:tc>
      </w:tr>
      <w:tr>
        <w:trPr>
          <w:trHeight w:val="189"/>
        </w:trPr>
        <w:tc>
          <w:tcPr>
            <w:tcW w:w="63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1"/>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Ordinary Shares of NIS 0.01 par value: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 50,000,000 as of September 30, 2015;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(Actual) – 21,181,722 shares as of September 30, 2015; Outstanding</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 Adjusted) – 27,356,722 shares as of September 30, 2015</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r>
      <w:tr>
        <w:trPr>
          <w:trHeight w:val="189"/>
        </w:trPr>
        <w:tc>
          <w:tcPr>
            <w:tcW w:w="63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101,155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138,553</w:t>
            </w:r>
          </w:p>
        </w:tc>
      </w:tr>
      <w:tr>
        <w:trPr>
          <w:trHeight w:val="18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deficit during the development stage</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(66,130)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(66,130)</w:t>
            </w:r>
          </w:p>
        </w:tc>
      </w:tr>
      <w:tr>
        <w:trPr>
          <w:trHeight w:val="189"/>
        </w:trPr>
        <w:tc>
          <w:tcPr>
            <w:tcW w:w="634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35,083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72,497</w:t>
            </w:r>
          </w:p>
        </w:tc>
      </w:tr>
      <w:tr>
        <w:trPr>
          <w:trHeight w:val="21"/>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63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35,083</w:t>
            </w:r>
          </w:p>
        </w:tc>
        <w:tc>
          <w:tcPr>
            <w:tcW w:w="3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72,497</w:t>
            </w:r>
          </w:p>
        </w:tc>
      </w:tr>
    </w:tbl>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DILUTION</w:t>
      </w:r>
    </w:p>
    <w:p>
      <w:pPr>
        <w:spacing w:after="0" w:line="139" w:lineRule="exact"/>
        <w:rPr>
          <w:sz w:val="20"/>
          <w:szCs w:val="20"/>
          <w:color w:val="auto"/>
        </w:rPr>
      </w:pPr>
    </w:p>
    <w:p>
      <w:pPr>
        <w:ind w:left="60" w:right="619"/>
        <w:spacing w:after="0" w:line="256"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public offering price of our ordinary shares and the pro forma net tangible book value per share of our ordinary shares immediately after the offering.</w:t>
      </w:r>
    </w:p>
    <w:p>
      <w:pPr>
        <w:spacing w:after="0" w:line="94" w:lineRule="exact"/>
        <w:rPr>
          <w:sz w:val="20"/>
          <w:szCs w:val="20"/>
          <w:color w:val="auto"/>
        </w:rPr>
      </w:pPr>
    </w:p>
    <w:p>
      <w:pPr>
        <w:ind w:left="60" w:right="559"/>
        <w:spacing w:after="0" w:line="256" w:lineRule="auto"/>
        <w:rPr>
          <w:sz w:val="20"/>
          <w:szCs w:val="20"/>
          <w:color w:val="auto"/>
        </w:rPr>
      </w:pPr>
      <w:r>
        <w:rPr>
          <w:rFonts w:ascii="Arial" w:cs="Arial" w:eastAsia="Arial" w:hAnsi="Arial"/>
          <w:sz w:val="18"/>
          <w:szCs w:val="18"/>
          <w:color w:val="auto"/>
        </w:rPr>
        <w:t>Our historical net tangible book value per share is determined by dividing our total tangible assets, less total liabilities, by the actual number of outstanding ordinary shares. The historical net tangible book value of our ordinary shares as of September 30, 2015, was $35,083,000 or $1.66 per share.</w:t>
      </w:r>
    </w:p>
    <w:p>
      <w:pPr>
        <w:spacing w:after="0" w:line="94" w:lineRule="exact"/>
        <w:rPr>
          <w:sz w:val="20"/>
          <w:szCs w:val="20"/>
          <w:color w:val="auto"/>
        </w:rPr>
      </w:pPr>
    </w:p>
    <w:p>
      <w:pPr>
        <w:ind w:left="60" w:right="699"/>
        <w:spacing w:after="0" w:line="253" w:lineRule="auto"/>
        <w:rPr>
          <w:sz w:val="20"/>
          <w:szCs w:val="20"/>
          <w:color w:val="auto"/>
        </w:rPr>
      </w:pPr>
      <w:r>
        <w:rPr>
          <w:rFonts w:ascii="Arial" w:cs="Arial" w:eastAsia="Arial" w:hAnsi="Arial"/>
          <w:sz w:val="18"/>
          <w:szCs w:val="18"/>
          <w:color w:val="auto"/>
        </w:rPr>
        <w:t>The as adjusted net tangible book value of our ordinary shares as of September 30, 2015, was $72,497,250, or $2.65 per share. The as adjusted net tangible book value gives effect to the issuance and sale of 6,175,000 ordinary shares in this offering at a public offering price of $6.50 per share, after deducting underwriting discounts and commissions and estimated offering expenses payable by us. This represents an immediate increase in net tangible book value of $0.99.</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4751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ind w:left="20"/>
              <w:spacing w:after="0"/>
              <w:rPr>
                <w:sz w:val="20"/>
                <w:szCs w:val="20"/>
                <w:color w:val="auto"/>
              </w:rPr>
            </w:pPr>
            <w:r>
              <w:rPr>
                <w:rFonts w:ascii="Arial" w:cs="Arial" w:eastAsia="Arial" w:hAnsi="Arial"/>
                <w:sz w:val="16"/>
                <w:szCs w:val="16"/>
                <w:color w:val="auto"/>
              </w:rPr>
              <w:t>Public offering price per share</w:t>
            </w:r>
          </w:p>
        </w:tc>
        <w:tc>
          <w:tcPr>
            <w:tcW w:w="260" w:type="dxa"/>
            <w:vAlign w:val="bottom"/>
          </w:tcPr>
          <w:p>
            <w:pPr>
              <w:spacing w:after="0"/>
              <w:rPr>
                <w:sz w:val="16"/>
                <w:szCs w:val="16"/>
                <w:color w:val="auto"/>
              </w:rPr>
            </w:pPr>
          </w:p>
        </w:tc>
        <w:tc>
          <w:tcPr>
            <w:tcW w:w="106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6.50</w:t>
            </w:r>
          </w:p>
        </w:tc>
      </w:tr>
      <w:tr>
        <w:trPr>
          <w:trHeight w:val="18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tangible book value per share as of September 30, 2015</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1.66</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6"/>
                <w:szCs w:val="16"/>
                <w:color w:val="auto"/>
              </w:rPr>
              <w:t>Increase in net tangible book value per share attributable to this offering</w:t>
            </w:r>
          </w:p>
        </w:tc>
        <w:tc>
          <w:tcPr>
            <w:tcW w:w="26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0.99</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adjusted net tangible book value per share as of September 30, 2015,</w:t>
            </w:r>
          </w:p>
        </w:tc>
        <w:tc>
          <w:tcPr>
            <w:tcW w:w="2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5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after giving effect to this offering</w:t>
            </w: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2.65</w:t>
            </w:r>
          </w:p>
        </w:tc>
      </w:tr>
      <w:tr>
        <w:trPr>
          <w:trHeight w:val="20"/>
        </w:trPr>
        <w:tc>
          <w:tcPr>
            <w:tcW w:w="5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0"/>
        </w:trPr>
        <w:tc>
          <w:tcPr>
            <w:tcW w:w="5500" w:type="dxa"/>
            <w:vAlign w:val="bottom"/>
          </w:tcPr>
          <w:p>
            <w:pPr>
              <w:ind w:left="20"/>
              <w:spacing w:after="0"/>
              <w:rPr>
                <w:sz w:val="20"/>
                <w:szCs w:val="20"/>
                <w:color w:val="auto"/>
              </w:rPr>
            </w:pPr>
            <w:r>
              <w:rPr>
                <w:rFonts w:ascii="Arial" w:cs="Arial" w:eastAsia="Arial" w:hAnsi="Arial"/>
                <w:sz w:val="16"/>
                <w:szCs w:val="16"/>
                <w:color w:val="auto"/>
              </w:rPr>
              <w:t>Dilution per share to new investors in this offering</w:t>
            </w:r>
          </w:p>
        </w:tc>
        <w:tc>
          <w:tcPr>
            <w:tcW w:w="260" w:type="dxa"/>
            <w:vAlign w:val="bottom"/>
          </w:tcPr>
          <w:p>
            <w:pPr>
              <w:spacing w:after="0"/>
              <w:rPr>
                <w:sz w:val="16"/>
                <w:szCs w:val="16"/>
                <w:color w:val="auto"/>
              </w:rPr>
            </w:pPr>
          </w:p>
        </w:tc>
        <w:tc>
          <w:tcPr>
            <w:tcW w:w="760" w:type="dxa"/>
            <w:vAlign w:val="bottom"/>
            <w:gridSpan w:val="2"/>
          </w:tcPr>
          <w:p>
            <w:pPr>
              <w:spacing w:after="0"/>
              <w:rPr>
                <w:sz w:val="16"/>
                <w:szCs w:val="16"/>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-132715</wp:posOffset>
            </wp:positionV>
            <wp:extent cx="475107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spacing w:after="0" w:line="80"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If the underwriters’ option to purchase additional shares from us is exercised in full, and based on a public offering price of $6.50 per share, and after deducting underwriting discounts and commissions and estimated offering expenses payable by us, the as adjusted net tangible book value per share after this offering would be approximately $2.76 per share, the increase in the as adjusted net tangible book value per share would be approximately $1.10 per share and the dilution per share to new investors purchasing shares in this offering would be approximately $3.74 per share.</w:t>
      </w:r>
    </w:p>
    <w:p>
      <w:pPr>
        <w:spacing w:after="0" w:line="200" w:lineRule="exact"/>
        <w:rPr>
          <w:sz w:val="20"/>
          <w:szCs w:val="20"/>
          <w:color w:val="auto"/>
        </w:rPr>
      </w:pP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UNDERWRITING</w:t>
      </w:r>
    </w:p>
    <w:p>
      <w:pPr>
        <w:spacing w:after="0" w:line="139"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Subject to the terms and conditions set forth in the underwriting agreement, dated November 13, 2015, between us and Jefferies LLC, 520 Madison Avenue, New York, New York 10022, and Barclays Capital Inc., 745 Seventh Avenue, New York, New York 10019, as the representatives of the underwriters named below and the joint book-running managers of this offering, we have agreed to sell to the underwriters, and each of the underwriters has agreed, severally and not jointly, to purchase from us, the respective number of ordinary shares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47167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6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183"/>
        </w:trPr>
        <w:tc>
          <w:tcPr>
            <w:tcW w:w="63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Jefferies LLC</w:t>
            </w:r>
          </w:p>
        </w:tc>
        <w:tc>
          <w:tcPr>
            <w:tcW w:w="11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2,470,000</w:t>
            </w:r>
          </w:p>
        </w:tc>
        <w:tc>
          <w:tcPr>
            <w:tcW w:w="80" w:type="dxa"/>
            <w:vAlign w:val="bottom"/>
            <w:shd w:val="clear" w:color="auto" w:fill="CCEEFF"/>
          </w:tcPr>
          <w:p>
            <w:pPr>
              <w:spacing w:after="0"/>
              <w:rPr>
                <w:sz w:val="15"/>
                <w:szCs w:val="15"/>
                <w:color w:val="auto"/>
              </w:rPr>
            </w:pPr>
          </w:p>
        </w:tc>
      </w:tr>
      <w:tr>
        <w:trPr>
          <w:trHeight w:val="189"/>
        </w:trPr>
        <w:tc>
          <w:tcPr>
            <w:tcW w:w="6300" w:type="dxa"/>
            <w:vAlign w:val="bottom"/>
          </w:tcPr>
          <w:p>
            <w:pPr>
              <w:ind w:left="20"/>
              <w:spacing w:after="0"/>
              <w:rPr>
                <w:sz w:val="20"/>
                <w:szCs w:val="20"/>
                <w:color w:val="auto"/>
              </w:rPr>
            </w:pPr>
            <w:r>
              <w:rPr>
                <w:rFonts w:ascii="Arial" w:cs="Arial" w:eastAsia="Arial" w:hAnsi="Arial"/>
                <w:sz w:val="16"/>
                <w:szCs w:val="16"/>
                <w:color w:val="auto"/>
              </w:rPr>
              <w:t>Barclays Capital Inc.</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1,852,500</w:t>
            </w:r>
          </w:p>
        </w:tc>
        <w:tc>
          <w:tcPr>
            <w:tcW w:w="80" w:type="dxa"/>
            <w:vAlign w:val="bottom"/>
          </w:tcPr>
          <w:p>
            <w:pPr>
              <w:spacing w:after="0"/>
              <w:rPr>
                <w:sz w:val="16"/>
                <w:szCs w:val="16"/>
                <w:color w:val="auto"/>
              </w:rPr>
            </w:pPr>
          </w:p>
        </w:tc>
      </w:tr>
      <w:tr>
        <w:trPr>
          <w:trHeight w:val="18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Oppenheimer &amp; Co. Inc.</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926,250</w:t>
            </w:r>
          </w:p>
        </w:tc>
        <w:tc>
          <w:tcPr>
            <w:tcW w:w="80" w:type="dxa"/>
            <w:vAlign w:val="bottom"/>
            <w:shd w:val="clear" w:color="auto" w:fill="CCEEFF"/>
          </w:tcPr>
          <w:p>
            <w:pPr>
              <w:spacing w:after="0"/>
              <w:rPr>
                <w:sz w:val="16"/>
                <w:szCs w:val="16"/>
                <w:color w:val="auto"/>
              </w:rPr>
            </w:pPr>
          </w:p>
        </w:tc>
      </w:tr>
      <w:tr>
        <w:trPr>
          <w:trHeight w:val="189"/>
        </w:trPr>
        <w:tc>
          <w:tcPr>
            <w:tcW w:w="6300" w:type="dxa"/>
            <w:vAlign w:val="bottom"/>
          </w:tcPr>
          <w:p>
            <w:pPr>
              <w:ind w:left="20"/>
              <w:spacing w:after="0"/>
              <w:rPr>
                <w:sz w:val="20"/>
                <w:szCs w:val="20"/>
                <w:color w:val="auto"/>
              </w:rPr>
            </w:pPr>
            <w:r>
              <w:rPr>
                <w:rFonts w:ascii="Arial" w:cs="Arial" w:eastAsia="Arial" w:hAnsi="Arial"/>
                <w:sz w:val="16"/>
                <w:szCs w:val="16"/>
                <w:color w:val="auto"/>
              </w:rPr>
              <w:t>Cantor Fitzgerald &amp; Co.</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463,125</w:t>
            </w:r>
          </w:p>
        </w:tc>
        <w:tc>
          <w:tcPr>
            <w:tcW w:w="80" w:type="dxa"/>
            <w:vAlign w:val="bottom"/>
          </w:tcPr>
          <w:p>
            <w:pPr>
              <w:spacing w:after="0"/>
              <w:rPr>
                <w:sz w:val="16"/>
                <w:szCs w:val="16"/>
                <w:color w:val="auto"/>
              </w:rPr>
            </w:pPr>
          </w:p>
        </w:tc>
      </w:tr>
      <w:tr>
        <w:trPr>
          <w:trHeight w:val="189"/>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Roth Capital Partners, LLC</w:t>
            </w:r>
          </w:p>
        </w:tc>
        <w:tc>
          <w:tcPr>
            <w:tcW w:w="1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463,125</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3"/>
        </w:trPr>
        <w:tc>
          <w:tcPr>
            <w:tcW w:w="6300" w:type="dxa"/>
            <w:vAlign w:val="bottom"/>
          </w:tcPr>
          <w:p>
            <w:pPr>
              <w:ind w:left="200"/>
              <w:spacing w:after="0" w:line="183" w:lineRule="exact"/>
              <w:rPr>
                <w:sz w:val="20"/>
                <w:szCs w:val="20"/>
                <w:color w:val="auto"/>
              </w:rPr>
            </w:pPr>
            <w:r>
              <w:rPr>
                <w:rFonts w:ascii="Arial" w:cs="Arial" w:eastAsia="Arial" w:hAnsi="Arial"/>
                <w:sz w:val="16"/>
                <w:szCs w:val="16"/>
                <w:color w:val="auto"/>
              </w:rPr>
              <w:t>Total</w:t>
            </w:r>
          </w:p>
        </w:tc>
        <w:tc>
          <w:tcPr>
            <w:tcW w:w="11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6,175,000</w:t>
            </w:r>
          </w:p>
        </w:tc>
        <w:tc>
          <w:tcPr>
            <w:tcW w:w="80" w:type="dxa"/>
            <w:vAlign w:val="bottom"/>
          </w:tcPr>
          <w:p>
            <w:pPr>
              <w:spacing w:after="0"/>
              <w:rPr>
                <w:sz w:val="15"/>
                <w:szCs w:val="15"/>
                <w:color w:val="auto"/>
              </w:rPr>
            </w:pPr>
          </w:p>
        </w:tc>
      </w:tr>
      <w:tr>
        <w:trPr>
          <w:trHeight w:val="21"/>
        </w:trPr>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-162560</wp:posOffset>
            </wp:positionV>
            <wp:extent cx="475107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87" w:lineRule="exact"/>
        <w:rPr>
          <w:sz w:val="20"/>
          <w:szCs w:val="20"/>
          <w:color w:val="auto"/>
        </w:rPr>
      </w:pPr>
    </w:p>
    <w:p>
      <w:pPr>
        <w:ind w:left="60" w:right="699"/>
        <w:spacing w:after="0" w:line="252"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98" w:lineRule="exact"/>
        <w:rPr>
          <w:sz w:val="20"/>
          <w:szCs w:val="20"/>
          <w:color w:val="auto"/>
        </w:rPr>
      </w:pPr>
    </w:p>
    <w:p>
      <w:pPr>
        <w:ind w:left="60" w:right="619"/>
        <w:spacing w:after="0" w:line="252"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101" w:lineRule="exact"/>
        <w:rPr>
          <w:sz w:val="20"/>
          <w:szCs w:val="20"/>
          <w:color w:val="auto"/>
        </w:rPr>
      </w:pPr>
    </w:p>
    <w:p>
      <w:pPr>
        <w:ind w:left="60" w:right="539"/>
        <w:spacing w:after="0" w:line="254" w:lineRule="auto"/>
        <w:rPr>
          <w:sz w:val="20"/>
          <w:szCs w:val="20"/>
          <w:color w:val="auto"/>
        </w:rPr>
      </w:pPr>
      <w:r>
        <w:rPr>
          <w:rFonts w:ascii="Arial" w:cs="Arial" w:eastAsia="Arial" w:hAnsi="Arial"/>
          <w:sz w:val="18"/>
          <w:szCs w:val="18"/>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Commission and Expenses</w:t>
      </w:r>
    </w:p>
    <w:p>
      <w:pPr>
        <w:spacing w:after="0" w:line="139" w:lineRule="exact"/>
        <w:rPr>
          <w:sz w:val="20"/>
          <w:szCs w:val="20"/>
          <w:color w:val="auto"/>
        </w:rPr>
      </w:pPr>
    </w:p>
    <w:p>
      <w:pPr>
        <w:ind w:left="60" w:right="539"/>
        <w:spacing w:after="0" w:line="253" w:lineRule="auto"/>
        <w:rPr>
          <w:sz w:val="20"/>
          <w:szCs w:val="20"/>
          <w:color w:val="auto"/>
        </w:rPr>
      </w:pPr>
      <w:r>
        <w:rPr>
          <w:rFonts w:ascii="Arial" w:cs="Arial" w:eastAsia="Arial" w:hAnsi="Arial"/>
          <w:sz w:val="18"/>
          <w:szCs w:val="18"/>
          <w:color w:val="auto"/>
        </w:rPr>
        <w:t>The underwriters have advised us that they propose to offer the ordinary shares to the public at the initial public offering price set forth on the cover page of this prospectus supplement and to certain dealers, which may include the underwriters, at that price less a concession not in excess of $0.234 per ordinary share. After the offering, the initial public offering price and concession to dealers may be reduced by the representatives. No such reduction will change the amount of proceeds to be received by us as set forth on the cover page of this prospectus supplement.</w:t>
      </w:r>
    </w:p>
    <w:p>
      <w:pPr>
        <w:spacing w:after="0" w:line="200" w:lineRule="exact"/>
        <w:rPr>
          <w:sz w:val="20"/>
          <w:szCs w:val="20"/>
          <w:color w:val="auto"/>
        </w:rPr>
      </w:pPr>
    </w:p>
    <w:p>
      <w:pPr>
        <w:spacing w:after="0" w:line="35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 w:right="659"/>
        <w:spacing w:after="0" w:line="256"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139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44"/>
              <w:spacing w:after="0"/>
              <w:rPr>
                <w:sz w:val="20"/>
                <w:szCs w:val="20"/>
                <w:color w:val="auto"/>
              </w:rPr>
            </w:pPr>
            <w:r>
              <w:rPr>
                <w:rFonts w:ascii="Arial" w:cs="Arial" w:eastAsia="Arial" w:hAnsi="Arial"/>
                <w:sz w:val="14"/>
                <w:szCs w:val="14"/>
                <w:b w:val="1"/>
                <w:bCs w:val="1"/>
                <w:color w:val="auto"/>
              </w:rPr>
              <w:t>Per Ordinary Share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940" w:type="dxa"/>
            <w:vAlign w:val="bottom"/>
            <w:tcBorders>
              <w:bottom w:val="single" w:sz="8" w:color="auto"/>
            </w:tcBorders>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25"/>
              <w:spacing w:after="0" w:line="143" w:lineRule="exact"/>
              <w:rPr>
                <w:sz w:val="20"/>
                <w:szCs w:val="20"/>
                <w:color w:val="auto"/>
              </w:rPr>
            </w:pPr>
            <w:r>
              <w:rPr>
                <w:rFonts w:ascii="Arial" w:cs="Arial" w:eastAsia="Arial" w:hAnsi="Arial"/>
                <w:sz w:val="14"/>
                <w:szCs w:val="14"/>
                <w:b w:val="1"/>
                <w:bCs w:val="1"/>
                <w:color w:val="auto"/>
              </w:rPr>
              <w:t>Without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With Option to</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 Option to</w:t>
            </w:r>
          </w:p>
        </w:tc>
      </w:tr>
      <w:tr>
        <w:trPr>
          <w:trHeight w:val="16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Option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5"/>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3"/>
              <w:spacing w:after="0"/>
              <w:rPr>
                <w:sz w:val="20"/>
                <w:szCs w:val="20"/>
                <w:color w:val="auto"/>
              </w:rPr>
            </w:pPr>
            <w:r>
              <w:rPr>
                <w:rFonts w:ascii="Arial" w:cs="Arial" w:eastAsia="Arial" w:hAnsi="Arial"/>
                <w:sz w:val="14"/>
                <w:szCs w:val="14"/>
                <w:b w:val="1"/>
                <w:bCs w:val="1"/>
                <w:color w:val="auto"/>
              </w:rPr>
              <w:t>to Purchase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44"/>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5"/>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Ordinary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3"/>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64"/>
              <w:spacing w:after="0"/>
              <w:rPr>
                <w:sz w:val="20"/>
                <w:szCs w:val="20"/>
                <w:color w:val="auto"/>
              </w:rPr>
            </w:pPr>
            <w:r>
              <w:rPr>
                <w:rFonts w:ascii="Arial" w:cs="Arial" w:eastAsia="Arial" w:hAnsi="Arial"/>
                <w:sz w:val="14"/>
                <w:szCs w:val="14"/>
                <w:b w:val="1"/>
                <w:bCs w:val="1"/>
                <w:color w:val="auto"/>
              </w:rPr>
              <w:t>Ordinary</w:t>
            </w:r>
          </w:p>
        </w:tc>
      </w:tr>
      <w:tr>
        <w:trPr>
          <w:trHeight w:val="175"/>
        </w:trPr>
        <w:tc>
          <w:tcPr>
            <w:tcW w:w="3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Shares</w:t>
            </w:r>
          </w:p>
        </w:tc>
      </w:tr>
      <w:tr>
        <w:trPr>
          <w:trHeight w:val="183"/>
        </w:trPr>
        <w:tc>
          <w:tcPr>
            <w:tcW w:w="3520" w:type="dxa"/>
            <w:vAlign w:val="bottom"/>
          </w:tcPr>
          <w:p>
            <w:pPr>
              <w:ind w:left="20"/>
              <w:spacing w:after="0" w:line="183" w:lineRule="exact"/>
              <w:rPr>
                <w:sz w:val="20"/>
                <w:szCs w:val="20"/>
                <w:color w:val="auto"/>
              </w:rPr>
            </w:pPr>
            <w:r>
              <w:rPr>
                <w:rFonts w:ascii="Arial" w:cs="Arial" w:eastAsia="Arial" w:hAnsi="Arial"/>
                <w:sz w:val="16"/>
                <w:szCs w:val="16"/>
                <w:color w:val="auto"/>
              </w:rPr>
              <w:t>Public offering price</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ind w:right="65"/>
              <w:spacing w:after="0" w:line="183" w:lineRule="exact"/>
              <w:rPr>
                <w:sz w:val="20"/>
                <w:szCs w:val="20"/>
                <w:color w:val="auto"/>
              </w:rPr>
            </w:pPr>
            <w:r>
              <w:rPr>
                <w:rFonts w:ascii="Arial" w:cs="Arial" w:eastAsia="Arial" w:hAnsi="Arial"/>
                <w:sz w:val="16"/>
                <w:szCs w:val="16"/>
                <w:color w:val="auto"/>
              </w:rPr>
              <w:t>6.50</w:t>
            </w:r>
          </w:p>
        </w:tc>
        <w:tc>
          <w:tcPr>
            <w:tcW w:w="280" w:type="dxa"/>
            <w:vAlign w:val="bottom"/>
            <w:gridSpan w:val="2"/>
          </w:tcPr>
          <w:p>
            <w:pPr>
              <w:ind w:left="160"/>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44"/>
              <w:spacing w:after="0" w:line="183" w:lineRule="exact"/>
              <w:rPr>
                <w:sz w:val="20"/>
                <w:szCs w:val="20"/>
                <w:color w:val="auto"/>
              </w:rPr>
            </w:pPr>
            <w:r>
              <w:rPr>
                <w:rFonts w:ascii="Arial" w:cs="Arial" w:eastAsia="Arial" w:hAnsi="Arial"/>
                <w:sz w:val="16"/>
                <w:szCs w:val="16"/>
                <w:color w:val="auto"/>
              </w:rPr>
              <w:t>6.50</w:t>
            </w:r>
          </w:p>
        </w:tc>
        <w:tc>
          <w:tcPr>
            <w:tcW w:w="300" w:type="dxa"/>
            <w:vAlign w:val="bottom"/>
            <w:gridSpan w:val="2"/>
          </w:tcPr>
          <w:p>
            <w:pPr>
              <w:ind w:left="16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40,137,500</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46,158,125</w:t>
            </w:r>
          </w:p>
        </w:tc>
      </w:tr>
      <w:tr>
        <w:trPr>
          <w:trHeight w:val="18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and commissions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0.39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0.39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2,769,488</w:t>
            </w:r>
          </w:p>
        </w:tc>
      </w:tr>
      <w:tr>
        <w:trPr>
          <w:trHeight w:val="197"/>
        </w:trPr>
        <w:tc>
          <w:tcPr>
            <w:tcW w:w="3520" w:type="dxa"/>
            <w:vAlign w:val="bottom"/>
          </w:tcPr>
          <w:p>
            <w:pPr>
              <w:ind w:left="20"/>
              <w:spacing w:after="0"/>
              <w:rPr>
                <w:sz w:val="20"/>
                <w:szCs w:val="20"/>
                <w:color w:val="auto"/>
              </w:rPr>
            </w:pPr>
            <w:r>
              <w:rPr>
                <w:rFonts w:ascii="Arial" w:cs="Arial" w:eastAsia="Arial" w:hAnsi="Arial"/>
                <w:sz w:val="16"/>
                <w:szCs w:val="16"/>
                <w:color w:val="auto"/>
              </w:rPr>
              <w:t>Proceeds to us, before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5"/>
              <w:spacing w:after="0"/>
              <w:rPr>
                <w:sz w:val="20"/>
                <w:szCs w:val="20"/>
                <w:color w:val="auto"/>
              </w:rPr>
            </w:pPr>
            <w:r>
              <w:rPr>
                <w:rFonts w:ascii="Arial" w:cs="Arial" w:eastAsia="Arial" w:hAnsi="Arial"/>
                <w:sz w:val="16"/>
                <w:szCs w:val="16"/>
                <w:color w:val="auto"/>
              </w:rPr>
              <w:t>6.11</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6.11</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37,729,250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43,388,638</w:t>
            </w:r>
          </w:p>
        </w:tc>
      </w:tr>
    </w:tbl>
    <w:p>
      <w:pPr>
        <w:spacing w:after="0" w:line="100" w:lineRule="exact"/>
        <w:rPr>
          <w:sz w:val="20"/>
          <w:szCs w:val="20"/>
          <w:color w:val="auto"/>
        </w:rPr>
      </w:pPr>
    </w:p>
    <w:p>
      <w:pPr>
        <w:ind w:left="60" w:right="679"/>
        <w:spacing w:after="0" w:line="252"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$315,000, including reimbursement to the underwriters for up to $15,000 for their FINRA counsel fee. In accordance with Financial Industry Regulatory Authority, Inc., or FINRA, Rule 5110, this reimbursed counsel fee is deemed underwriting compensation for this offering. In addition, we may at our absolute and sole discretion pay Jefferies LLC an incentive fee of up to $100,000. In accordance with FINRA Rule 5110, this incentive fee is deemed underwriting compensation for this offering.</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Listing</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ordinary shares are listed on The NASDAQ Global Market under the trading symbol “ADHD”.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Stamp Taxes</w:t>
      </w:r>
    </w:p>
    <w:p>
      <w:pPr>
        <w:spacing w:after="0" w:line="139" w:lineRule="exact"/>
        <w:rPr>
          <w:sz w:val="20"/>
          <w:szCs w:val="20"/>
          <w:color w:val="auto"/>
        </w:rPr>
      </w:pPr>
    </w:p>
    <w:p>
      <w:pPr>
        <w:ind w:left="60" w:right="819"/>
        <w:spacing w:after="0" w:line="256" w:lineRule="auto"/>
        <w:rPr>
          <w:sz w:val="20"/>
          <w:szCs w:val="20"/>
          <w:color w:val="auto"/>
        </w:rPr>
      </w:pPr>
      <w:r>
        <w:rPr>
          <w:rFonts w:ascii="Arial" w:cs="Arial" w:eastAsia="Arial" w:hAnsi="Arial"/>
          <w:sz w:val="18"/>
          <w:szCs w:val="18"/>
          <w:color w:val="auto"/>
        </w:rPr>
        <w:t>If you purchase ordinary shares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Option to Purchase Additional Ordinary Shares</w:t>
      </w:r>
    </w:p>
    <w:p>
      <w:pPr>
        <w:spacing w:after="0" w:line="139" w:lineRule="exact"/>
        <w:rPr>
          <w:sz w:val="20"/>
          <w:szCs w:val="20"/>
          <w:color w:val="auto"/>
        </w:rPr>
      </w:pPr>
    </w:p>
    <w:p>
      <w:pPr>
        <w:ind w:left="60" w:right="539"/>
        <w:spacing w:after="0" w:line="252" w:lineRule="auto"/>
        <w:rPr>
          <w:sz w:val="20"/>
          <w:szCs w:val="20"/>
          <w:color w:val="auto"/>
        </w:rPr>
      </w:pPr>
      <w:r>
        <w:rPr>
          <w:rFonts w:ascii="Arial" w:cs="Arial" w:eastAsia="Arial" w:hAnsi="Arial"/>
          <w:sz w:val="18"/>
          <w:szCs w:val="18"/>
          <w:color w:val="auto"/>
        </w:rPr>
        <w:t>We have granted to the underwriters an option, exercisable for 30 days from the date of the underwriting agreement, to purchase, from time to time, in whole or in part, up to an aggregate of 926,250 ordinary shares from us at the public offering price set forth on the cover page of this prospectus supplement, less underwriting discounts and commissions. If the underwriters exercise this option, each underwriter will be obligated, subject to specified conditions, to purchase a number of additional ordinary shares proportionate to that underwriter’s initial purchase commitment as indicated in the table above. This option may be exercised only if the underwriters sell more ordinary shares than the total number set forth on the cover page of this prospectus supplement.</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 Sales of Similar Securities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our officers and our directors have agreed, subject to specified exceptions, not to directly or indirectly:</w:t>
      </w:r>
    </w:p>
    <w:p>
      <w:pPr>
        <w:spacing w:after="0" w:line="117" w:lineRule="exact"/>
        <w:rPr>
          <w:sz w:val="20"/>
          <w:szCs w:val="20"/>
          <w:color w:val="auto"/>
        </w:rPr>
      </w:pPr>
    </w:p>
    <w:p>
      <w:pPr>
        <w:ind w:left="620" w:right="679" w:hanging="322"/>
        <w:spacing w:after="0" w:line="256"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Securities Exchange Act of 1934, as amended, or</w:t>
      </w:r>
    </w:p>
    <w:p>
      <w:pPr>
        <w:spacing w:after="0" w:line="93" w:lineRule="exact"/>
        <w:rPr>
          <w:rFonts w:ascii="Arial" w:cs="Arial" w:eastAsia="Arial" w:hAnsi="Arial"/>
          <w:sz w:val="18"/>
          <w:szCs w:val="18"/>
          <w:color w:val="auto"/>
        </w:rPr>
      </w:pPr>
    </w:p>
    <w:p>
      <w:pPr>
        <w:jc w:val="both"/>
        <w:ind w:left="620" w:right="599" w:hanging="322"/>
        <w:spacing w:after="0" w:line="291"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66" w:lineRule="exact"/>
        <w:rPr>
          <w:rFonts w:ascii="Arial" w:cs="Arial" w:eastAsia="Arial" w:hAnsi="Arial"/>
          <w:sz w:val="17"/>
          <w:szCs w:val="17"/>
          <w:color w:val="auto"/>
        </w:rPr>
      </w:pPr>
    </w:p>
    <w:p>
      <w:pPr>
        <w:ind w:left="620" w:right="559" w:hanging="322"/>
        <w:spacing w:after="0" w:line="26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 for a period of 90 days after the date of this prospectus supplement without the prior written consent of Jefferies LLC and Barclays Capital Inc.</w:t>
      </w:r>
    </w:p>
    <w:p>
      <w:pPr>
        <w:spacing w:after="0" w:line="200" w:lineRule="exact"/>
        <w:rPr>
          <w:sz w:val="20"/>
          <w:szCs w:val="20"/>
          <w:color w:val="auto"/>
        </w:rPr>
      </w:pPr>
    </w:p>
    <w:p>
      <w:pPr>
        <w:spacing w:after="0" w:line="34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3" w:lineRule="exact"/>
        <w:rPr>
          <w:sz w:val="20"/>
          <w:szCs w:val="20"/>
          <w:color w:val="auto"/>
        </w:rPr>
      </w:pPr>
    </w:p>
    <w:p>
      <w:pPr>
        <w:ind w:left="40" w:right="719"/>
        <w:spacing w:after="0" w:line="205" w:lineRule="auto"/>
        <w:rPr>
          <w:sz w:val="20"/>
          <w:szCs w:val="20"/>
          <w:color w:val="auto"/>
        </w:rPr>
      </w:pPr>
      <w:r>
        <w:rPr>
          <w:rFonts w:ascii="Arial" w:cs="Arial" w:eastAsia="Arial" w:hAnsi="Arial"/>
          <w:sz w:val="18"/>
          <w:szCs w:val="18"/>
          <w:color w:val="auto"/>
        </w:rPr>
        <w:t>This restriction terminates after the close of trading of the ordinary shares on and including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supplement.</w:t>
      </w:r>
    </w:p>
    <w:p>
      <w:pPr>
        <w:spacing w:after="0" w:line="109" w:lineRule="exact"/>
        <w:rPr>
          <w:sz w:val="20"/>
          <w:szCs w:val="20"/>
          <w:color w:val="auto"/>
        </w:rPr>
      </w:pPr>
    </w:p>
    <w:p>
      <w:pPr>
        <w:ind w:left="40" w:right="579"/>
        <w:spacing w:after="0" w:line="254" w:lineRule="auto"/>
        <w:rPr>
          <w:sz w:val="20"/>
          <w:szCs w:val="20"/>
          <w:color w:val="auto"/>
        </w:rPr>
      </w:pPr>
      <w:r>
        <w:rPr>
          <w:rFonts w:ascii="Arial" w:cs="Arial" w:eastAsia="Arial" w:hAnsi="Arial"/>
          <w:sz w:val="18"/>
          <w:szCs w:val="18"/>
          <w:color w:val="auto"/>
        </w:rPr>
        <w:t>Jefferies LLC and Barclays Capital Inc. may, in their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 capital prior to the expiration of the lock-up period.</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Stabilization</w:t>
      </w:r>
    </w:p>
    <w:p>
      <w:pPr>
        <w:spacing w:after="0" w:line="139"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underwriters have advised us that they, pursuant to Regulation M under the Securities Exchange Act of 1934, as amended,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101"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to purchase additional ordinary shares.</w:t>
      </w:r>
    </w:p>
    <w:p>
      <w:pPr>
        <w:spacing w:after="0" w:line="101" w:lineRule="exact"/>
        <w:rPr>
          <w:sz w:val="20"/>
          <w:szCs w:val="20"/>
          <w:color w:val="auto"/>
        </w:rPr>
      </w:pPr>
    </w:p>
    <w:p>
      <w:pPr>
        <w:ind w:left="40" w:right="579"/>
        <w:spacing w:after="0" w:line="254" w:lineRule="auto"/>
        <w:rPr>
          <w:sz w:val="20"/>
          <w:szCs w:val="20"/>
          <w:color w:val="auto"/>
        </w:rPr>
      </w:pPr>
      <w:r>
        <w:rPr>
          <w:rFonts w:ascii="Arial" w:cs="Arial" w:eastAsia="Arial" w:hAnsi="Arial"/>
          <w:sz w:val="18"/>
          <w:szCs w:val="18"/>
          <w:color w:val="auto"/>
        </w:rPr>
        <w:t>“Naked” short sales are sales in excess of the option to purchase additional ordinary shares.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this offering.</w:t>
      </w:r>
    </w:p>
    <w:p>
      <w:pPr>
        <w:spacing w:after="0" w:line="96" w:lineRule="exact"/>
        <w:rPr>
          <w:sz w:val="20"/>
          <w:szCs w:val="20"/>
          <w:color w:val="auto"/>
        </w:rPr>
      </w:pPr>
    </w:p>
    <w:p>
      <w:pPr>
        <w:ind w:left="40" w:right="659"/>
        <w:spacing w:after="0" w:line="251" w:lineRule="auto"/>
        <w:rPr>
          <w:sz w:val="20"/>
          <w:szCs w:val="20"/>
          <w:color w:val="auto"/>
        </w:rPr>
      </w:pPr>
      <w:r>
        <w:rPr>
          <w:rFonts w:ascii="Arial" w:cs="Arial" w:eastAsia="Arial" w:hAnsi="Arial"/>
          <w:sz w:val="18"/>
          <w:szCs w:val="18"/>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04" w:lineRule="exact"/>
        <w:rPr>
          <w:sz w:val="20"/>
          <w:szCs w:val="20"/>
          <w:color w:val="auto"/>
        </w:rPr>
      </w:pPr>
    </w:p>
    <w:p>
      <w:pPr>
        <w:ind w:left="40" w:right="739"/>
        <w:spacing w:after="0" w:line="256"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any of the activities may be discontinued at any time.</w:t>
      </w:r>
    </w:p>
    <w:p>
      <w:pPr>
        <w:spacing w:after="0" w:line="94" w:lineRule="exact"/>
        <w:rPr>
          <w:sz w:val="20"/>
          <w:szCs w:val="20"/>
          <w:color w:val="auto"/>
        </w:rPr>
      </w:pPr>
    </w:p>
    <w:p>
      <w:pPr>
        <w:ind w:left="40" w:right="919"/>
        <w:spacing w:after="0" w:line="252" w:lineRule="auto"/>
        <w:rPr>
          <w:sz w:val="20"/>
          <w:szCs w:val="20"/>
          <w:color w:val="auto"/>
        </w:rPr>
      </w:pPr>
      <w:r>
        <w:rPr>
          <w:rFonts w:ascii="Arial" w:cs="Arial" w:eastAsia="Arial" w:hAnsi="Arial"/>
          <w:sz w:val="18"/>
          <w:szCs w:val="18"/>
          <w:color w:val="auto"/>
        </w:rPr>
        <w:t>The underwriters may also engage in passive market making transactions in our ordinary shares on The NASDAQ Global Market in accordance with Rule 103 of Regulation M during a period before the commencement of offers or sales of our ordinary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0" w:lineRule="exact"/>
        <w:rPr>
          <w:sz w:val="20"/>
          <w:szCs w:val="20"/>
          <w:color w:val="auto"/>
        </w:rPr>
      </w:pP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Electronic Distribution</w:t>
      </w:r>
    </w:p>
    <w:p>
      <w:pPr>
        <w:spacing w:after="0" w:line="139" w:lineRule="exact"/>
        <w:rPr>
          <w:sz w:val="20"/>
          <w:szCs w:val="20"/>
          <w:color w:val="auto"/>
        </w:rPr>
      </w:pPr>
    </w:p>
    <w:p>
      <w:pPr>
        <w:ind w:left="40" w:right="539"/>
        <w:spacing w:after="0" w:line="252" w:lineRule="auto"/>
        <w:rPr>
          <w:sz w:val="20"/>
          <w:szCs w:val="20"/>
          <w:color w:val="auto"/>
        </w:rPr>
      </w:pPr>
      <w:r>
        <w:rPr>
          <w:rFonts w:ascii="Arial" w:cs="Arial" w:eastAsia="Arial" w:hAnsi="Arial"/>
          <w:sz w:val="18"/>
          <w:szCs w:val="18"/>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Activities and Relationships</w:t>
      </w:r>
    </w:p>
    <w:p>
      <w:pPr>
        <w:spacing w:after="0" w:line="139"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01" w:lineRule="exact"/>
        <w:rPr>
          <w:sz w:val="20"/>
          <w:szCs w:val="20"/>
          <w:color w:val="auto"/>
        </w:rPr>
      </w:pPr>
    </w:p>
    <w:p>
      <w:pPr>
        <w:ind w:left="40" w:right="659"/>
        <w:spacing w:after="0" w:line="251"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ordinary shares offered hereby. Any such short positions could adversely affect future trading prices of the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34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NOTICE TO INVESTORS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Resale Restrictions</w:t>
      </w:r>
    </w:p>
    <w:p>
      <w:pPr>
        <w:spacing w:after="0" w:line="135" w:lineRule="exact"/>
        <w:rPr>
          <w:sz w:val="20"/>
          <w:szCs w:val="20"/>
          <w:color w:val="auto"/>
        </w:rPr>
      </w:pPr>
    </w:p>
    <w:p>
      <w:pPr>
        <w:ind w:left="40" w:right="619"/>
        <w:spacing w:after="0" w:line="252"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Representations of Canadian Purchasers</w:t>
      </w:r>
    </w:p>
    <w:p>
      <w:pPr>
        <w:spacing w:after="0" w:line="135" w:lineRule="exact"/>
        <w:rPr>
          <w:sz w:val="20"/>
          <w:szCs w:val="20"/>
          <w:color w:val="auto"/>
        </w:rPr>
      </w:pPr>
    </w:p>
    <w:p>
      <w:pPr>
        <w:ind w:left="40" w:right="619"/>
        <w:spacing w:after="0" w:line="262" w:lineRule="auto"/>
        <w:rPr>
          <w:sz w:val="20"/>
          <w:szCs w:val="20"/>
          <w:color w:val="auto"/>
        </w:rPr>
      </w:pPr>
      <w:r>
        <w:rPr>
          <w:rFonts w:ascii="Arial" w:cs="Arial" w:eastAsia="Arial" w:hAnsi="Arial"/>
          <w:sz w:val="18"/>
          <w:szCs w:val="18"/>
          <w:color w:val="auto"/>
        </w:rPr>
        <w:t>By purchasing the securities in Canada and accepting delivery of a purchase confirmation, a purchaser is representing to us and the dealer from whom the purchase confirmation is received that:</w:t>
      </w:r>
    </w:p>
    <w:p>
      <w:pPr>
        <w:spacing w:after="0" w:line="88" w:lineRule="exact"/>
        <w:rPr>
          <w:sz w:val="20"/>
          <w:szCs w:val="20"/>
          <w:color w:val="auto"/>
        </w:rPr>
      </w:pPr>
    </w:p>
    <w:p>
      <w:pPr>
        <w:ind w:left="600" w:right="559" w:hanging="322"/>
        <w:spacing w:after="0" w:line="256"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securities without the benefit of a prospectus qualified under those securities laws as it is an “accredited investor” as defined under National Instrument 45-106 — Prospectus Exemptions,</w:t>
      </w:r>
    </w:p>
    <w:p>
      <w:pPr>
        <w:spacing w:after="0" w:line="93" w:lineRule="exact"/>
        <w:rPr>
          <w:rFonts w:ascii="Arial" w:cs="Arial" w:eastAsia="Arial" w:hAnsi="Arial"/>
          <w:sz w:val="18"/>
          <w:szCs w:val="18"/>
          <w:color w:val="auto"/>
        </w:rPr>
      </w:pPr>
    </w:p>
    <w:p>
      <w:pPr>
        <w:ind w:left="600" w:right="899" w:hanging="322"/>
        <w:spacing w:after="0" w:line="262"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Conflicts of Interest</w:t>
      </w:r>
    </w:p>
    <w:p>
      <w:pPr>
        <w:spacing w:after="0" w:line="135"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Canadian purchasers are hereby notified that Jefferies LLC and Barclays Capital Inc. are relying on the exemption set out in section 3A.3 or 3A.4, if applicable, of National Instrument 33-105 — Underwriting Conflicts from having to provide certain conflict of interest disclosure in this document.</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Statutory Rights of Action</w:t>
      </w:r>
    </w:p>
    <w:p>
      <w:pPr>
        <w:spacing w:after="0" w:line="135" w:lineRule="exact"/>
        <w:rPr>
          <w:sz w:val="20"/>
          <w:szCs w:val="20"/>
          <w:color w:val="auto"/>
        </w:rPr>
      </w:pPr>
    </w:p>
    <w:p>
      <w:pPr>
        <w:ind w:left="40" w:right="559"/>
        <w:spacing w:after="0" w:line="252"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Enforcement of Legal Rights</w:t>
      </w:r>
    </w:p>
    <w:p>
      <w:pPr>
        <w:spacing w:after="0" w:line="135" w:lineRule="exact"/>
        <w:rPr>
          <w:sz w:val="20"/>
          <w:szCs w:val="20"/>
          <w:color w:val="auto"/>
        </w:rPr>
      </w:pPr>
    </w:p>
    <w:p>
      <w:pPr>
        <w:ind w:left="40" w:right="559"/>
        <w:spacing w:after="0" w:line="253"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35" w:lineRule="exact"/>
        <w:rPr>
          <w:sz w:val="20"/>
          <w:szCs w:val="20"/>
          <w:color w:val="auto"/>
        </w:rPr>
      </w:pPr>
    </w:p>
    <w:p>
      <w:pPr>
        <w:ind w:left="40" w:right="1239"/>
        <w:spacing w:after="0" w:line="256" w:lineRule="auto"/>
        <w:rPr>
          <w:sz w:val="20"/>
          <w:szCs w:val="20"/>
          <w:color w:val="auto"/>
        </w:rPr>
      </w:pPr>
      <w:r>
        <w:rPr>
          <w:rFonts w:ascii="Arial" w:cs="Arial" w:eastAsia="Arial" w:hAnsi="Arial"/>
          <w:sz w:val="18"/>
          <w:szCs w:val="18"/>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200" w:lineRule="exact"/>
        <w:rPr>
          <w:sz w:val="20"/>
          <w:szCs w:val="20"/>
          <w:color w:val="auto"/>
        </w:rPr>
      </w:pP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Australia</w:t>
      </w:r>
    </w:p>
    <w:p>
      <w:pPr>
        <w:spacing w:after="0" w:line="166" w:lineRule="exact"/>
        <w:rPr>
          <w:sz w:val="20"/>
          <w:szCs w:val="20"/>
          <w:color w:val="auto"/>
        </w:rPr>
      </w:pPr>
    </w:p>
    <w:p>
      <w:pPr>
        <w:jc w:val="both"/>
        <w:ind w:left="40" w:right="519"/>
        <w:spacing w:after="0" w:line="21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w:t>
      </w:r>
      <w:r>
        <w:rPr>
          <w:rFonts w:ascii="Arial" w:cs="Arial" w:eastAsia="Arial" w:hAnsi="Arial"/>
          <w:sz w:val="30"/>
          <w:szCs w:val="30"/>
          <w:color w:val="auto"/>
          <w:vertAlign w:val="superscript"/>
        </w:rPr>
        <w:t>th</w:t>
      </w:r>
      <w:r>
        <w:rPr>
          <w:rFonts w:ascii="Arial" w:cs="Arial" w:eastAsia="Arial" w:hAnsi="Arial"/>
          <w:sz w:val="18"/>
          <w:szCs w:val="18"/>
          <w:color w:val="auto"/>
        </w:rPr>
        <w:t>) of Australia, or Corporations Act, has not been lodged with the Australian Securities &amp; Investments Commission and is only directed to the categories of exempt persons set out below. Accordingly, if you receive this prospectus in Australia:</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You confirm and warrant that you are either:</w:t>
      </w:r>
    </w:p>
    <w:p>
      <w:pPr>
        <w:spacing w:after="0" w:line="139"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600" w:right="599" w:hanging="322"/>
        <w:spacing w:after="0" w:line="256"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or</w:t>
      </w:r>
    </w:p>
    <w:p>
      <w:pPr>
        <w:spacing w:after="0" w:line="93" w:lineRule="exact"/>
        <w:rPr>
          <w:rFonts w:ascii="Arial" w:cs="Arial" w:eastAsia="Arial" w:hAnsi="Arial"/>
          <w:sz w:val="18"/>
          <w:szCs w:val="18"/>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17" w:lineRule="exact"/>
        <w:rPr>
          <w:sz w:val="20"/>
          <w:szCs w:val="20"/>
          <w:color w:val="auto"/>
        </w:rPr>
      </w:pPr>
    </w:p>
    <w:p>
      <w:pPr>
        <w:ind w:left="40" w:right="679"/>
        <w:spacing w:after="0" w:line="262"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or professional investor under the Corporations Act any offer made to you under this prospectus is void and incapable of acceptance.</w:t>
      </w:r>
    </w:p>
    <w:p>
      <w:pPr>
        <w:spacing w:after="0" w:line="88"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You warrant and agree that you will not offer any of the shares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Economic Area</w:t>
      </w:r>
    </w:p>
    <w:p>
      <w:pPr>
        <w:spacing w:after="0" w:line="139" w:lineRule="exact"/>
        <w:rPr>
          <w:sz w:val="20"/>
          <w:szCs w:val="20"/>
          <w:color w:val="auto"/>
        </w:rPr>
      </w:pPr>
    </w:p>
    <w:p>
      <w:pPr>
        <w:ind w:left="40" w:right="559"/>
        <w:spacing w:after="0" w:line="251"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referred to herein as a Relevant Member State, with effect from and including the date on which the Prospectus Directive is implemented in that Relevant Member State, referred to herein as the Relevant Implementation Date, no offer of any securities which are the subject of the offering contemplated by this prospectus has been or will be made to the public in that Relevant Member State other than any offer where a prospectus has been or will be published in relation to such securities that has been approved by the competent authority in that Relevant Member State or, where appropriate, approved in another Relevant Member State and notified to the relevant competent authority in that Relevant Member State in accordance with the Prospectus Directive, except that with effect from and including the Relevant Implementation Date, an offer of such securities may be made to the public in that Relevant Member State:</w:t>
      </w:r>
    </w:p>
    <w:p>
      <w:pPr>
        <w:spacing w:after="0" w:line="105" w:lineRule="exact"/>
        <w:rPr>
          <w:sz w:val="20"/>
          <w:szCs w:val="20"/>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600" w:right="799" w:hanging="322"/>
        <w:spacing w:after="0" w:line="254"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96" w:lineRule="exact"/>
        <w:rPr>
          <w:rFonts w:ascii="Arial" w:cs="Arial" w:eastAsia="Arial" w:hAnsi="Arial"/>
          <w:sz w:val="18"/>
          <w:szCs w:val="18"/>
          <w:color w:val="auto"/>
        </w:rPr>
      </w:pPr>
    </w:p>
    <w:p>
      <w:pPr>
        <w:ind w:left="600" w:hanging="32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jc w:val="both"/>
        <w:ind w:left="40" w:right="759"/>
        <w:spacing w:after="0" w:line="256" w:lineRule="auto"/>
        <w:rPr>
          <w:sz w:val="20"/>
          <w:szCs w:val="20"/>
          <w:color w:val="auto"/>
        </w:rPr>
      </w:pPr>
      <w:r>
        <w:rPr>
          <w:rFonts w:ascii="Arial" w:cs="Arial" w:eastAsia="Arial" w:hAnsi="Arial"/>
          <w:sz w:val="18"/>
          <w:szCs w:val="18"/>
          <w:color w:val="auto"/>
        </w:rPr>
        <w:t>provided that no such offer of securities shall require the Company or any of the underwriters to publish a prospectus pursuant to Article 3 of the Prospectus Directive or supplement a prospectus pursuant to Article 16 of the Prospectus Directive.</w:t>
      </w:r>
    </w:p>
    <w:p>
      <w:pPr>
        <w:spacing w:after="0" w:line="94" w:lineRule="exact"/>
        <w:rPr>
          <w:sz w:val="20"/>
          <w:szCs w:val="20"/>
          <w:color w:val="auto"/>
        </w:rPr>
      </w:pPr>
    </w:p>
    <w:p>
      <w:pPr>
        <w:ind w:left="40" w:right="639"/>
        <w:spacing w:after="0" w:line="252"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that Relevant Member State by any measure implementing the Prospectus Directive in that Relevant Member State and the expression “Prospectus Directive” means Directive 2003/71/EC (and amendments thereto, including the 2010 PD Amending</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1"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659"/>
        <w:spacing w:after="0" w:line="262" w:lineRule="auto"/>
        <w:rPr>
          <w:sz w:val="20"/>
          <w:szCs w:val="20"/>
          <w:color w:val="auto"/>
        </w:rPr>
      </w:pPr>
      <w:r>
        <w:rPr>
          <w:rFonts w:ascii="Arial" w:cs="Arial" w:eastAsia="Arial" w:hAnsi="Arial"/>
          <w:sz w:val="18"/>
          <w:szCs w:val="18"/>
          <w:color w:val="auto"/>
        </w:rPr>
        <w:t>Directive, to the extent implemented in the Relevant Member State), and includes any relevant implementing measure in the Relevant Member State and the expression “2010 PD Amending Directive” means Directive 2010/73/EU.</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Hong Kong</w:t>
      </w:r>
    </w:p>
    <w:p>
      <w:pPr>
        <w:spacing w:after="0" w:line="139" w:lineRule="exact"/>
        <w:rPr>
          <w:sz w:val="20"/>
          <w:szCs w:val="20"/>
          <w:color w:val="auto"/>
        </w:rPr>
      </w:pPr>
    </w:p>
    <w:p>
      <w:pPr>
        <w:ind w:left="40" w:right="619"/>
        <w:spacing w:after="0" w:line="251"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to the public within the meaning of the Companies Ordinance (Cap.32) of Hong Kong.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w:t>
      </w:r>
    </w:p>
    <w:p>
      <w:pPr>
        <w:spacing w:after="0" w:line="103" w:lineRule="exact"/>
        <w:rPr>
          <w:sz w:val="20"/>
          <w:szCs w:val="20"/>
          <w:color w:val="auto"/>
        </w:rPr>
      </w:pPr>
    </w:p>
    <w:p>
      <w:pPr>
        <w:ind w:left="40" w:right="579"/>
        <w:spacing w:after="0" w:line="252"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w:t>
      </w:r>
    </w:p>
    <w:p>
      <w:pPr>
        <w:spacing w:after="0" w:line="139" w:lineRule="exact"/>
        <w:rPr>
          <w:sz w:val="20"/>
          <w:szCs w:val="20"/>
          <w:color w:val="auto"/>
        </w:rPr>
      </w:pPr>
    </w:p>
    <w:p>
      <w:pPr>
        <w:ind w:left="40" w:right="599"/>
        <w:spacing w:after="0" w:line="252"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FIEL and any other applicable laws, regulations and ministerial guidelines of Japan.</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Singapore</w:t>
      </w:r>
    </w:p>
    <w:p>
      <w:pPr>
        <w:spacing w:after="0" w:line="139" w:lineRule="exact"/>
        <w:rPr>
          <w:sz w:val="20"/>
          <w:szCs w:val="20"/>
          <w:color w:val="auto"/>
        </w:rPr>
      </w:pPr>
    </w:p>
    <w:p>
      <w:pPr>
        <w:ind w:left="40" w:right="559"/>
        <w:spacing w:after="0" w:line="251" w:lineRule="auto"/>
        <w:rPr>
          <w:sz w:val="20"/>
          <w:szCs w:val="20"/>
          <w:color w:val="auto"/>
        </w:rPr>
      </w:pPr>
      <w:r>
        <w:rPr>
          <w:rFonts w:ascii="Arial" w:cs="Arial" w:eastAsia="Arial" w:hAnsi="Arial"/>
          <w:sz w:val="18"/>
          <w:szCs w:val="18"/>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the public or any member of the public in Singapore other than (i) to an institutional investor under Section 274 of the Securities and Futures Act, Chapter 289 of Singapore, or the SFA, (ii) to a relevant person as defined under Section 275(2), or any person pursuant to Section 275(1A) of the SFA, and in accordance with the conditions, specified in Section 275 of the SFA, or (iii) otherwise pursuant to, and in accordance with the conditions of any other applicable provision of the SFA.</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17" w:lineRule="exact"/>
        <w:rPr>
          <w:sz w:val="20"/>
          <w:szCs w:val="20"/>
          <w:color w:val="auto"/>
        </w:rPr>
      </w:pPr>
    </w:p>
    <w:p>
      <w:pPr>
        <w:jc w:val="both"/>
        <w:ind w:left="600" w:right="659" w:hanging="322"/>
        <w:spacing w:after="0" w:line="256"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under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8"/>
          <w:szCs w:val="18"/>
          <w:color w:val="auto"/>
        </w:rPr>
      </w:pPr>
    </w:p>
    <w:p>
      <w:pPr>
        <w:ind w:left="600" w:right="899" w:hanging="322"/>
        <w:spacing w:after="0" w:line="262"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200" w:lineRule="exact"/>
        <w:rPr>
          <w:sz w:val="20"/>
          <w:szCs w:val="20"/>
          <w:color w:val="auto"/>
        </w:rPr>
      </w:pPr>
    </w:p>
    <w:p>
      <w:pPr>
        <w:spacing w:after="0" w:line="3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59"/>
        <w:spacing w:after="0" w:line="256"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in that trust shall not be transferable for six months after that corporation or that trust has acquired the Offer Shares under Section 275 of the SFA except:</w:t>
      </w:r>
    </w:p>
    <w:p>
      <w:pPr>
        <w:spacing w:after="0" w:line="94" w:lineRule="exact"/>
        <w:rPr>
          <w:sz w:val="20"/>
          <w:szCs w:val="20"/>
          <w:color w:val="auto"/>
        </w:rPr>
      </w:pPr>
    </w:p>
    <w:p>
      <w:pPr>
        <w:ind w:left="600" w:right="559" w:hanging="322"/>
        <w:spacing w:after="0" w:line="252" w:lineRule="auto"/>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00"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Switzerland</w:t>
      </w:r>
    </w:p>
    <w:p>
      <w:pPr>
        <w:spacing w:after="0" w:line="139" w:lineRule="exact"/>
        <w:rPr>
          <w:sz w:val="20"/>
          <w:szCs w:val="20"/>
          <w:color w:val="auto"/>
        </w:rPr>
      </w:pPr>
    </w:p>
    <w:p>
      <w:pPr>
        <w:ind w:left="40" w:right="759"/>
        <w:spacing w:after="0" w:line="252"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99" w:lineRule="exact"/>
        <w:rPr>
          <w:sz w:val="20"/>
          <w:szCs w:val="20"/>
          <w:color w:val="auto"/>
        </w:rPr>
      </w:pPr>
    </w:p>
    <w:p>
      <w:pPr>
        <w:ind w:left="40" w:right="539"/>
        <w:spacing w:after="0" w:line="252"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w:t>
      </w:r>
    </w:p>
    <w:p>
      <w:pPr>
        <w:spacing w:after="0" w:line="139" w:lineRule="exact"/>
        <w:rPr>
          <w:sz w:val="20"/>
          <w:szCs w:val="20"/>
          <w:color w:val="auto"/>
        </w:rPr>
      </w:pPr>
    </w:p>
    <w:p>
      <w:pPr>
        <w:ind w:left="40" w:right="519"/>
        <w:spacing w:after="0" w:line="251"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ordinary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United Kingdom</w:t>
      </w:r>
    </w:p>
    <w:p>
      <w:pPr>
        <w:spacing w:after="0" w:line="139" w:lineRule="exact"/>
        <w:rPr>
          <w:sz w:val="20"/>
          <w:szCs w:val="20"/>
          <w:color w:val="auto"/>
        </w:rPr>
      </w:pPr>
    </w:p>
    <w:p>
      <w:pPr>
        <w:ind w:left="40" w:right="839"/>
        <w:spacing w:after="0" w:line="252"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599"/>
        <w:spacing w:after="0" w:line="256"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ind w:left="40" w:right="559"/>
        <w:spacing w:after="0" w:line="253" w:lineRule="auto"/>
        <w:rPr>
          <w:sz w:val="20"/>
          <w:szCs w:val="20"/>
          <w:color w:val="auto"/>
        </w:rPr>
      </w:pPr>
      <w:r>
        <w:rPr>
          <w:rFonts w:ascii="Arial" w:cs="Arial" w:eastAsia="Arial" w:hAnsi="Arial"/>
          <w:sz w:val="18"/>
          <w:szCs w:val="18"/>
          <w:color w:val="auto"/>
        </w:rPr>
        <w:t>The validity of the securities offered hereby and certain matters of Israeli law will be passed upon for us by Zysman, Aharoni, Gayer &amp; Co., Tel Aviv, Israel. Certain matters of United States federal securities law relating to this offering will be passed upon for us by Zysman, Aharoni, Gayer and Sullivan &amp; Worcester, LLP, New York, New York. Legal counsel to the underwriters are Gornitzky &amp; Co., Tel Aviv, Israel, with respect to Israeli law, and Covington &amp; Burling LLP, New York, New York, with respect to U.S. law.</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EXPERTS</w:t>
      </w:r>
    </w:p>
    <w:p>
      <w:pPr>
        <w:spacing w:after="0" w:line="139" w:lineRule="exact"/>
        <w:rPr>
          <w:sz w:val="20"/>
          <w:szCs w:val="20"/>
          <w:color w:val="auto"/>
        </w:rPr>
      </w:pPr>
    </w:p>
    <w:p>
      <w:pPr>
        <w:ind w:left="40" w:right="639"/>
        <w:spacing w:after="0" w:line="254" w:lineRule="auto"/>
        <w:rPr>
          <w:sz w:val="20"/>
          <w:szCs w:val="20"/>
          <w:color w:val="auto"/>
        </w:rPr>
      </w:pPr>
      <w:r>
        <w:rPr>
          <w:rFonts w:ascii="Arial" w:cs="Arial" w:eastAsia="Arial" w:hAnsi="Arial"/>
          <w:sz w:val="18"/>
          <w:szCs w:val="18"/>
          <w:color w:val="auto"/>
        </w:rPr>
        <w:t>The consolidated financial statements of Alcobra Ltd. as of December 31, 2014, have been incorporated by reference herein in reliance upon the report of Kost Forer Gabbay &amp; Kasier, a member firm of EY Global, independent registered public accounting firm, incorporated by reference herein, and upon the authority of said firm as experts in accounting and auditing.</w:t>
      </w:r>
    </w:p>
    <w:p>
      <w:pPr>
        <w:spacing w:after="0" w:line="18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17" w:lineRule="exact"/>
        <w:rPr>
          <w:sz w:val="20"/>
          <w:szCs w:val="20"/>
          <w:color w:val="auto"/>
        </w:rPr>
      </w:pPr>
    </w:p>
    <w:p>
      <w:pPr>
        <w:ind w:left="40" w:right="559"/>
        <w:spacing w:after="0" w:line="254" w:lineRule="auto"/>
        <w:rPr>
          <w:sz w:val="20"/>
          <w:szCs w:val="20"/>
          <w:color w:val="auto"/>
        </w:rPr>
      </w:pPr>
      <w:r>
        <w:rPr>
          <w:rFonts w:ascii="Arial" w:cs="Arial" w:eastAsia="Arial" w:hAnsi="Arial"/>
          <w:sz w:val="18"/>
          <w:szCs w:val="18"/>
          <w:color w:val="auto"/>
        </w:rPr>
        <w:t>We are an Israeli company and are a “foreign private issuer” as defined in Rule 3b-4 under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96" w:lineRule="exact"/>
        <w:rPr>
          <w:sz w:val="20"/>
          <w:szCs w:val="20"/>
          <w:color w:val="auto"/>
        </w:rPr>
      </w:pPr>
    </w:p>
    <w:p>
      <w:pPr>
        <w:ind w:left="40" w:right="519"/>
        <w:spacing w:after="0" w:line="252" w:lineRule="auto"/>
        <w:rPr>
          <w:sz w:val="20"/>
          <w:szCs w:val="20"/>
          <w:color w:val="auto"/>
        </w:rPr>
      </w:pPr>
      <w:r>
        <w:rPr>
          <w:rFonts w:ascii="Arial" w:cs="Arial" w:eastAsia="Arial" w:hAnsi="Arial"/>
          <w:sz w:val="18"/>
          <w:szCs w:val="18"/>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101" w:lineRule="exact"/>
        <w:rPr>
          <w:sz w:val="20"/>
          <w:szCs w:val="20"/>
          <w:color w:val="auto"/>
        </w:rPr>
      </w:pPr>
    </w:p>
    <w:p>
      <w:pPr>
        <w:ind w:left="40" w:right="539"/>
        <w:spacing w:after="0" w:line="254"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p>
    <w:p>
      <w:pPr>
        <w:spacing w:after="0" w:line="96" w:lineRule="exact"/>
        <w:rPr>
          <w:sz w:val="20"/>
          <w:szCs w:val="20"/>
          <w:color w:val="auto"/>
        </w:rPr>
      </w:pPr>
    </w:p>
    <w:p>
      <w:pPr>
        <w:ind w:left="40" w:right="519"/>
        <w:spacing w:after="0" w:line="251" w:lineRule="auto"/>
        <w:rPr>
          <w:sz w:val="20"/>
          <w:szCs w:val="20"/>
          <w:color w:val="auto"/>
        </w:rPr>
      </w:pPr>
      <w:r>
        <w:rPr>
          <w:rFonts w:ascii="Arial" w:cs="Arial" w:eastAsia="Arial" w:hAnsi="Arial"/>
          <w:sz w:val="18"/>
          <w:szCs w:val="18"/>
          <w:color w:val="auto"/>
        </w:rPr>
        <w:t>This prospectus supplement and the accompanying prospectus are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200" w:lineRule="exact"/>
        <w:rPr>
          <w:sz w:val="20"/>
          <w:szCs w:val="20"/>
          <w:color w:val="auto"/>
        </w:rPr>
      </w:pPr>
    </w:p>
    <w:p>
      <w:pPr>
        <w:spacing w:after="0" w:line="35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40" w:right="1059"/>
        <w:spacing w:after="0" w:line="262"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88" w:lineRule="exact"/>
        <w:rPr>
          <w:sz w:val="20"/>
          <w:szCs w:val="20"/>
          <w:color w:val="auto"/>
        </w:rPr>
      </w:pPr>
    </w:p>
    <w:p>
      <w:pPr>
        <w:jc w:val="both"/>
        <w:ind w:left="600" w:right="759" w:hanging="322"/>
        <w:spacing w:after="0" w:line="256"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93"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2014.</w:t>
      </w:r>
    </w:p>
    <w:p>
      <w:pPr>
        <w:spacing w:after="0" w:line="117" w:lineRule="exact"/>
        <w:rPr>
          <w:rFonts w:ascii="Arial" w:cs="Arial" w:eastAsia="Arial" w:hAnsi="Arial"/>
          <w:sz w:val="18"/>
          <w:szCs w:val="18"/>
          <w:color w:val="auto"/>
        </w:rPr>
      </w:pPr>
    </w:p>
    <w:p>
      <w:pPr>
        <w:ind w:left="600" w:right="77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three paragraphs in the press release incorporated by reference into the Company’s report of foreign private issuer on Form 6-K furnished to the SEC on March 10, 2015.</w:t>
      </w:r>
    </w:p>
    <w:p>
      <w:pPr>
        <w:spacing w:after="0" w:line="88" w:lineRule="exact"/>
        <w:rPr>
          <w:rFonts w:ascii="Arial" w:cs="Arial" w:eastAsia="Arial" w:hAnsi="Arial"/>
          <w:sz w:val="18"/>
          <w:szCs w:val="18"/>
          <w:color w:val="auto"/>
        </w:rPr>
      </w:pPr>
    </w:p>
    <w:p>
      <w:pPr>
        <w:ind w:left="600" w:right="77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June 3, 2015.</w:t>
      </w:r>
    </w:p>
    <w:p>
      <w:pPr>
        <w:spacing w:after="0" w:line="88" w:lineRule="exact"/>
        <w:rPr>
          <w:rFonts w:ascii="Arial" w:cs="Arial" w:eastAsia="Arial" w:hAnsi="Arial"/>
          <w:sz w:val="18"/>
          <w:szCs w:val="18"/>
          <w:color w:val="auto"/>
        </w:rPr>
      </w:pPr>
    </w:p>
    <w:p>
      <w:pPr>
        <w:ind w:left="600" w:right="111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and the fifth through the ninth paragraphs in the press release incorporated by reference into the Company’s report of foreign private issuer on Form 6-K furnished to the SEC on June 24, 2015.</w:t>
      </w:r>
    </w:p>
    <w:p>
      <w:pPr>
        <w:spacing w:after="0" w:line="88" w:lineRule="exact"/>
        <w:rPr>
          <w:rFonts w:ascii="Arial" w:cs="Arial" w:eastAsia="Arial" w:hAnsi="Arial"/>
          <w:sz w:val="18"/>
          <w:szCs w:val="18"/>
          <w:color w:val="auto"/>
        </w:rPr>
      </w:pPr>
    </w:p>
    <w:p>
      <w:pPr>
        <w:ind w:left="600" w:right="7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paragraph in the press release incorporated by reference into the Company’s report of foreign private issuer on Form 6-K furnished to the SEC on July 13, 2015.</w:t>
      </w:r>
    </w:p>
    <w:p>
      <w:pPr>
        <w:spacing w:after="0" w:line="88" w:lineRule="exact"/>
        <w:rPr>
          <w:rFonts w:ascii="Arial" w:cs="Arial" w:eastAsia="Arial" w:hAnsi="Arial"/>
          <w:sz w:val="18"/>
          <w:szCs w:val="18"/>
          <w:color w:val="auto"/>
        </w:rPr>
      </w:pPr>
    </w:p>
    <w:p>
      <w:pPr>
        <w:ind w:left="600" w:right="6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August 13, 2015.</w:t>
      </w:r>
    </w:p>
    <w:p>
      <w:pPr>
        <w:spacing w:after="0" w:line="88" w:lineRule="exact"/>
        <w:rPr>
          <w:rFonts w:ascii="Arial" w:cs="Arial" w:eastAsia="Arial" w:hAnsi="Arial"/>
          <w:sz w:val="18"/>
          <w:szCs w:val="18"/>
          <w:color w:val="auto"/>
        </w:rPr>
      </w:pPr>
    </w:p>
    <w:p>
      <w:pPr>
        <w:ind w:left="600" w:right="7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first paragraph in the press release incorporated by reference into the Company’s report of foreign private issuer on Form 6-K furnished to the SEC on September 21, 2015.</w:t>
      </w:r>
    </w:p>
    <w:p>
      <w:pPr>
        <w:spacing w:after="0" w:line="88" w:lineRule="exact"/>
        <w:rPr>
          <w:rFonts w:ascii="Arial" w:cs="Arial" w:eastAsia="Arial" w:hAnsi="Arial"/>
          <w:sz w:val="18"/>
          <w:szCs w:val="18"/>
          <w:color w:val="auto"/>
        </w:rPr>
      </w:pPr>
    </w:p>
    <w:p>
      <w:pPr>
        <w:ind w:left="600" w:right="799" w:hanging="322"/>
        <w:spacing w:after="0" w:line="256"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Interim GAAP Financial Statements and Management’s Discussion and Analysis of Financial Condition and Results of Operations included in the Company’s report of foreign private issuer on Form 6-K furnished to the SEC on November 12, 2015.</w:t>
      </w:r>
    </w:p>
    <w:p>
      <w:pPr>
        <w:spacing w:after="0" w:line="93" w:lineRule="exact"/>
        <w:rPr>
          <w:rFonts w:ascii="Arial" w:cs="Arial" w:eastAsia="Arial" w:hAnsi="Arial"/>
          <w:sz w:val="18"/>
          <w:szCs w:val="18"/>
          <w:color w:val="auto"/>
        </w:rPr>
      </w:pPr>
    </w:p>
    <w:p>
      <w:pPr>
        <w:ind w:left="600" w:right="639" w:hanging="322"/>
        <w:spacing w:after="0" w:line="262"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November 12, 2015 (Report Number 2).</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November 13, 2015.</w:t>
      </w:r>
    </w:p>
    <w:p>
      <w:pPr>
        <w:spacing w:after="0" w:line="117" w:lineRule="exact"/>
        <w:rPr>
          <w:sz w:val="20"/>
          <w:szCs w:val="20"/>
          <w:color w:val="auto"/>
        </w:rPr>
      </w:pPr>
    </w:p>
    <w:p>
      <w:pPr>
        <w:ind w:left="40" w:right="599"/>
        <w:spacing w:after="0" w:line="251" w:lineRule="auto"/>
        <w:rPr>
          <w:sz w:val="20"/>
          <w:szCs w:val="20"/>
          <w:color w:val="auto"/>
        </w:rPr>
      </w:pPr>
      <w:r>
        <w:rPr>
          <w:rFonts w:ascii="Arial" w:cs="Arial" w:eastAsia="Arial" w:hAnsi="Arial"/>
          <w:sz w:val="18"/>
          <w:szCs w:val="18"/>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04" w:lineRule="exact"/>
        <w:rPr>
          <w:sz w:val="20"/>
          <w:szCs w:val="20"/>
          <w:color w:val="auto"/>
        </w:rPr>
      </w:pPr>
    </w:p>
    <w:p>
      <w:pPr>
        <w:ind w:left="40" w:right="799"/>
        <w:spacing w:after="0" w:line="262"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88" w:lineRule="exact"/>
        <w:rPr>
          <w:sz w:val="20"/>
          <w:szCs w:val="20"/>
          <w:color w:val="auto"/>
        </w:rPr>
      </w:pPr>
    </w:p>
    <w:p>
      <w:pPr>
        <w:ind w:left="40" w:right="539"/>
        <w:spacing w:after="0" w:line="256" w:lineRule="auto"/>
        <w:rPr>
          <w:sz w:val="20"/>
          <w:szCs w:val="20"/>
          <w:color w:val="auto"/>
        </w:rPr>
      </w:pPr>
      <w:r>
        <w:rPr>
          <w:rFonts w:ascii="Arial" w:cs="Arial" w:eastAsia="Arial" w:hAnsi="Arial"/>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Azrieli Triangle Building,</w:t>
      </w:r>
    </w:p>
    <w:p>
      <w:pPr>
        <w:ind w:left="40"/>
        <w:spacing w:after="0" w:line="187" w:lineRule="auto"/>
        <w:rPr>
          <w:sz w:val="20"/>
          <w:szCs w:val="20"/>
          <w:color w:val="auto"/>
        </w:rPr>
      </w:pPr>
      <w:r>
        <w:rPr>
          <w:rFonts w:ascii="Arial" w:cs="Arial" w:eastAsia="Arial" w:hAnsi="Arial"/>
          <w:sz w:val="18"/>
          <w:szCs w:val="18"/>
          <w:color w:val="auto"/>
        </w:rPr>
        <w:t>132 Derech Menachem Begin.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6701101, Israel, attention: Dr. Tomer Berkovitz, Chief Financial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Officer, telephone number: +972-72-220-4661.</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Prospectus</w:t>
      </w:r>
    </w:p>
    <w:p>
      <w:pPr>
        <w:spacing w:after="0" w:line="21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83185</wp:posOffset>
            </wp:positionV>
            <wp:extent cx="1964055" cy="771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405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Ordinary Shares</w:t>
      </w:r>
    </w:p>
    <w:p>
      <w:pPr>
        <w:spacing w:after="0" w:line="130" w:lineRule="exact"/>
        <w:rPr>
          <w:sz w:val="20"/>
          <w:szCs w:val="20"/>
          <w:color w:val="auto"/>
        </w:rPr>
      </w:pPr>
    </w:p>
    <w:p>
      <w:pPr>
        <w:ind w:left="40" w:right="579" w:firstLine="270"/>
        <w:spacing w:after="0" w:line="252" w:lineRule="auto"/>
        <w:rPr>
          <w:sz w:val="20"/>
          <w:szCs w:val="20"/>
          <w:color w:val="auto"/>
        </w:rPr>
      </w:pPr>
      <w:r>
        <w:rPr>
          <w:rFonts w:ascii="Arial" w:cs="Arial" w:eastAsia="Arial" w:hAnsi="Arial"/>
          <w:sz w:val="18"/>
          <w:szCs w:val="18"/>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ordinary shares are traded on the NASDAQ Global Market under the symbol “ADHD”.</w:t>
      </w:r>
    </w:p>
    <w:p>
      <w:pPr>
        <w:spacing w:after="0" w:line="95" w:lineRule="exact"/>
        <w:rPr>
          <w:sz w:val="20"/>
          <w:szCs w:val="20"/>
          <w:color w:val="auto"/>
        </w:rPr>
      </w:pPr>
    </w:p>
    <w:p>
      <w:pPr>
        <w:ind w:left="40" w:right="599" w:firstLine="270"/>
        <w:spacing w:after="0" w:line="2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w:t>
      </w:r>
      <w:hyperlink w:anchor="page32">
        <w:r>
          <w:rPr>
            <w:rFonts w:ascii="Arial" w:cs="Arial" w:eastAsia="Arial" w:hAnsi="Arial"/>
            <w:sz w:val="18"/>
            <w:szCs w:val="18"/>
            <w:b w:val="1"/>
            <w:bCs w:val="1"/>
            <w:u w:val="single" w:color="auto"/>
            <w:color w:val="0000EE"/>
          </w:rPr>
          <w:t>1</w:t>
        </w:r>
      </w:hyperlink>
      <w:r>
        <w:rPr>
          <w:rFonts w:ascii="Arial" w:cs="Arial" w:eastAsia="Arial" w:hAnsi="Arial"/>
          <w:sz w:val="18"/>
          <w:szCs w:val="18"/>
          <w:b w:val="1"/>
          <w:bCs w:val="1"/>
          <w:color w:val="auto"/>
        </w:rPr>
        <w:t>.</w:t>
      </w:r>
    </w:p>
    <w:p>
      <w:pPr>
        <w:spacing w:after="0" w:line="82" w:lineRule="exact"/>
        <w:rPr>
          <w:sz w:val="20"/>
          <w:szCs w:val="20"/>
          <w:color w:val="auto"/>
        </w:rPr>
      </w:pPr>
    </w:p>
    <w:p>
      <w:pPr>
        <w:ind w:left="40" w:right="819" w:firstLine="270"/>
        <w:spacing w:after="0" w:line="252" w:lineRule="auto"/>
        <w:rPr>
          <w:sz w:val="20"/>
          <w:szCs w:val="20"/>
          <w:color w:val="auto"/>
        </w:rPr>
      </w:pPr>
      <w:r>
        <w:rPr>
          <w:rFonts w:ascii="Arial" w:cs="Arial" w:eastAsia="Arial" w:hAnsi="Arial"/>
          <w:sz w:val="18"/>
          <w:szCs w:val="18"/>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76" w:lineRule="exact"/>
        <w:rPr>
          <w:sz w:val="20"/>
          <w:szCs w:val="20"/>
          <w:color w:val="auto"/>
        </w:rPr>
      </w:pPr>
    </w:p>
    <w:p>
      <w:pPr>
        <w:ind w:left="40" w:right="759" w:firstLine="270"/>
        <w:spacing w:after="0" w:line="26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8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date of this prospectus is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448310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7200" w:type="dxa"/>
            <w:vAlign w:val="bottom"/>
            <w:gridSpan w:val="16"/>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20"/>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740" w:type="dxa"/>
            <w:vAlign w:val="bottom"/>
            <w:gridSpan w:val="3"/>
          </w:tcPr>
          <w:p>
            <w:pPr>
              <w:ind w:left="3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7200" w:type="dxa"/>
            <w:vAlign w:val="bottom"/>
            <w:gridSpan w:val="16"/>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About This Prospectus</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jc w:val="right"/>
              <w:ind w:right="180"/>
              <w:spacing w:after="0"/>
              <w:rPr>
                <w:rFonts w:ascii="Arial" w:cs="Arial" w:eastAsia="Arial" w:hAnsi="Arial"/>
                <w:sz w:val="18"/>
                <w:szCs w:val="18"/>
                <w:color w:val="0000EE"/>
                <w:w w:val="74"/>
              </w:rPr>
            </w:pPr>
            <w:hyperlink w:anchor="page30">
              <w:r>
                <w:rPr>
                  <w:rFonts w:ascii="Arial" w:cs="Arial" w:eastAsia="Arial" w:hAnsi="Arial"/>
                  <w:sz w:val="18"/>
                  <w:szCs w:val="18"/>
                  <w:color w:val="0000EE"/>
                  <w:w w:val="74"/>
                </w:rPr>
                <w:t>ii</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About Alcobra Ltd.</w:t>
              </w:r>
            </w:hyperlink>
          </w:p>
        </w:tc>
        <w:tc>
          <w:tcPr>
            <w:tcW w:w="6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iii</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CCEEFF"/>
            </w:tcBorders>
            <w:shd w:val="clear" w:color="auto" w:fill="0000EE"/>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1</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Warning Regarding Forward-Looking Statements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2</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Capitalization and Indebtedness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Reasons for the Offer and Use of Proceeds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3</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Price Range of Our Ordinary Shares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4</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Our Ordinary Shares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5</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7</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Expenses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8</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1020" w:type="dxa"/>
            <w:vAlign w:val="bottom"/>
            <w:gridSpan w:val="4"/>
          </w:tcPr>
          <w:p>
            <w:pPr>
              <w:jc w:val="right"/>
              <w:ind w:righ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r>
      <w:tr>
        <w:trPr>
          <w:trHeight w:val="27"/>
        </w:trPr>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300" w:type="dxa"/>
            <w:vAlign w:val="bottom"/>
            <w:tcBorders>
              <w:left w:val="single" w:sz="8" w:color="CCEEFF"/>
            </w:tcBorders>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6"/>
        </w:trPr>
        <w:tc>
          <w:tcPr>
            <w:tcW w:w="7200" w:type="dxa"/>
            <w:vAlign w:val="bottom"/>
            <w:gridSpan w:val="16"/>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 and Incorporation of Certain Information By</w:t>
              </w:r>
            </w:hyperlink>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560" w:type="dxa"/>
            <w:vAlign w:val="bottom"/>
            <w:tcBorders>
              <w:top w:val="single" w:sz="8" w:color="0000EE"/>
            </w:tcBorders>
            <w:gridSpan w:val="14"/>
          </w:tcPr>
          <w:p>
            <w:pPr>
              <w:ind w:left="18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Reference</w:t>
              </w:r>
            </w:hyperlink>
          </w:p>
        </w:tc>
        <w:tc>
          <w:tcPr>
            <w:tcW w:w="620" w:type="dxa"/>
            <w:vAlign w:val="bottom"/>
          </w:tcPr>
          <w:p>
            <w:pPr>
              <w:spacing w:after="0"/>
              <w:rPr>
                <w:sz w:val="15"/>
                <w:szCs w:val="15"/>
                <w:color w:val="auto"/>
              </w:rPr>
            </w:pPr>
          </w:p>
        </w:tc>
        <w:tc>
          <w:tcPr>
            <w:tcW w:w="1020" w:type="dxa"/>
            <w:vAlign w:val="bottom"/>
            <w:gridSpan w:val="4"/>
          </w:tcPr>
          <w:p>
            <w:pPr>
              <w:jc w:val="right"/>
              <w:ind w:right="18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9</w:t>
              </w:r>
            </w:hyperlink>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r>
      <w:tr>
        <w:trPr>
          <w:trHeight w:val="176"/>
        </w:trPr>
        <w:tc>
          <w:tcPr>
            <w:tcW w:w="7200" w:type="dxa"/>
            <w:vAlign w:val="bottom"/>
            <w:gridSpan w:val="16"/>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Enforceability of Civil Liabilities</w:t>
              </w:r>
            </w:hyperlink>
          </w:p>
        </w:tc>
        <w:tc>
          <w:tcPr>
            <w:tcW w:w="1020" w:type="dxa"/>
            <w:vAlign w:val="bottom"/>
            <w:gridSpan w:val="4"/>
            <w:shd w:val="clear" w:color="auto" w:fill="CCEEFF"/>
          </w:tcPr>
          <w:p>
            <w:pPr>
              <w:jc w:val="right"/>
              <w:ind w:righ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11</w:t>
              </w:r>
            </w:hyperlink>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300" w:type="dxa"/>
            <w:vAlign w:val="bottom"/>
            <w:tcBorders>
              <w:left w:val="single" w:sz="8" w:color="0000EE"/>
            </w:tcBorders>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-1997710</wp:posOffset>
            </wp:positionV>
            <wp:extent cx="5213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ABOUT THIS PROSPECTUS</w:t>
      </w:r>
    </w:p>
    <w:p>
      <w:pPr>
        <w:spacing w:after="0" w:line="13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96" w:lineRule="exact"/>
        <w:rPr>
          <w:sz w:val="20"/>
          <w:szCs w:val="20"/>
          <w:color w:val="auto"/>
        </w:rPr>
      </w:pPr>
    </w:p>
    <w:p>
      <w:pPr>
        <w:ind w:left="40" w:right="579" w:firstLine="270"/>
        <w:spacing w:after="0" w:line="252" w:lineRule="auto"/>
        <w:rPr>
          <w:sz w:val="20"/>
          <w:szCs w:val="20"/>
          <w:color w:val="auto"/>
        </w:rPr>
      </w:pPr>
      <w:r>
        <w:rPr>
          <w:rFonts w:ascii="Arial" w:cs="Arial" w:eastAsia="Arial" w:hAnsi="Arial"/>
          <w:sz w:val="18"/>
          <w:szCs w:val="18"/>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99" w:lineRule="exact"/>
        <w:rPr>
          <w:sz w:val="20"/>
          <w:szCs w:val="20"/>
          <w:color w:val="auto"/>
        </w:rPr>
      </w:pPr>
    </w:p>
    <w:p>
      <w:pPr>
        <w:ind w:left="40" w:right="599" w:firstLine="270"/>
        <w:spacing w:after="0" w:line="254" w:lineRule="auto"/>
        <w:rPr>
          <w:sz w:val="20"/>
          <w:szCs w:val="20"/>
          <w:color w:val="auto"/>
        </w:rPr>
      </w:pPr>
      <w:r>
        <w:rPr>
          <w:rFonts w:ascii="Arial" w:cs="Arial" w:eastAsia="Arial" w:hAnsi="Arial"/>
          <w:sz w:val="18"/>
          <w:szCs w:val="18"/>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96" w:lineRule="exact"/>
        <w:rPr>
          <w:sz w:val="20"/>
          <w:szCs w:val="20"/>
          <w:color w:val="auto"/>
        </w:rPr>
      </w:pPr>
    </w:p>
    <w:p>
      <w:pPr>
        <w:ind w:left="40" w:right="559" w:firstLine="270"/>
        <w:spacing w:after="0" w:line="251"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105" w:lineRule="exact"/>
        <w:rPr>
          <w:sz w:val="20"/>
          <w:szCs w:val="20"/>
          <w:color w:val="auto"/>
        </w:rPr>
      </w:pPr>
    </w:p>
    <w:p>
      <w:pPr>
        <w:ind w:left="40" w:right="699" w:firstLine="270"/>
        <w:spacing w:after="0" w:line="256" w:lineRule="auto"/>
        <w:rPr>
          <w:sz w:val="20"/>
          <w:szCs w:val="20"/>
          <w:color w:val="auto"/>
        </w:rPr>
      </w:pPr>
      <w:r>
        <w:rPr>
          <w:rFonts w:ascii="Arial" w:cs="Arial" w:eastAsia="Arial" w:hAnsi="Arial"/>
          <w:sz w:val="18"/>
          <w:szCs w:val="18"/>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ABOUT ALCOBRA LTD.</w:t>
      </w:r>
    </w:p>
    <w:p>
      <w:pPr>
        <w:spacing w:after="0" w:line="121" w:lineRule="exact"/>
        <w:rPr>
          <w:sz w:val="20"/>
          <w:szCs w:val="20"/>
          <w:color w:val="auto"/>
        </w:rPr>
      </w:pPr>
    </w:p>
    <w:p>
      <w:pPr>
        <w:ind w:left="40" w:right="539" w:firstLine="270"/>
        <w:spacing w:after="0" w:line="261" w:lineRule="auto"/>
        <w:rPr>
          <w:sz w:val="20"/>
          <w:szCs w:val="20"/>
          <w:color w:val="auto"/>
        </w:rPr>
      </w:pPr>
      <w:r>
        <w:rPr>
          <w:rFonts w:ascii="Arial" w:cs="Arial" w:eastAsia="Arial" w:hAnsi="Arial"/>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90" w:lineRule="exact"/>
        <w:rPr>
          <w:sz w:val="20"/>
          <w:szCs w:val="20"/>
          <w:color w:val="auto"/>
        </w:rPr>
      </w:pPr>
    </w:p>
    <w:p>
      <w:pPr>
        <w:ind w:left="40" w:right="759" w:firstLine="270"/>
        <w:spacing w:after="0" w:line="254"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proprietary pharmaceutical products for treatment of Central Nervous System (CNS) disorders, and cognitive dysfunctions in particular. Our lead drug candidate is MDX for the treatment of Attention Deficit and Hyperactivity Disorder, or ADHD, and other cognitive dysfunctions including Fragile X Syndrome.</w:t>
      </w:r>
    </w:p>
    <w:p>
      <w:pPr>
        <w:spacing w:after="0" w:line="96" w:lineRule="exact"/>
        <w:rPr>
          <w:sz w:val="20"/>
          <w:szCs w:val="20"/>
          <w:color w:val="auto"/>
        </w:rPr>
      </w:pPr>
    </w:p>
    <w:p>
      <w:pPr>
        <w:ind w:left="40" w:right="699" w:firstLine="270"/>
        <w:spacing w:after="0" w:line="251" w:lineRule="auto"/>
        <w:rPr>
          <w:sz w:val="20"/>
          <w:szCs w:val="20"/>
          <w:color w:val="auto"/>
        </w:rPr>
      </w:pPr>
      <w:r>
        <w:rPr>
          <w:rFonts w:ascii="Arial" w:cs="Arial" w:eastAsia="Arial" w:hAnsi="Arial"/>
          <w:sz w:val="18"/>
          <w:szCs w:val="18"/>
          <w:color w:val="auto"/>
        </w:rPr>
        <w:t>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In September 2011, we completed a 120 subject double-blind placebo-controlled Phase 2 study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first day of dosing.</w:t>
      </w:r>
    </w:p>
    <w:p>
      <w:pPr>
        <w:spacing w:after="0" w:line="104" w:lineRule="exact"/>
        <w:rPr>
          <w:sz w:val="20"/>
          <w:szCs w:val="20"/>
          <w:color w:val="auto"/>
        </w:rPr>
      </w:pPr>
    </w:p>
    <w:p>
      <w:pPr>
        <w:ind w:left="40" w:right="519" w:firstLine="270"/>
        <w:spacing w:after="0" w:line="252" w:lineRule="auto"/>
        <w:rPr>
          <w:sz w:val="20"/>
          <w:szCs w:val="20"/>
          <w:color w:val="auto"/>
        </w:rPr>
      </w:pPr>
      <w:r>
        <w:rPr>
          <w:rFonts w:ascii="Arial" w:cs="Arial" w:eastAsia="Arial" w:hAnsi="Arial"/>
          <w:sz w:val="18"/>
          <w:szCs w:val="18"/>
          <w:color w:val="auto"/>
        </w:rPr>
        <w:t>In March 2014, following the U.S. Food and Drug Administration, or FDA, acceptance of our investigational new drug application (IND) for MDX, we initiated patient enrollment in a Phase 3 clinical trial for the use of MDX to treat ADHD in adults. This study is a 300-patient, randomized, placebo-controlled trial conducted at 20 sites — 18 in the U.S. and 2 in Israel. If this and any future clinical trials demonstrate the safety and efficacy of MDX, we will seek to obtain marketing approval from the FDA for MDX for use in adults. We have similar plans to seek marketing approval in the European Union, Japan and other territories.</w:t>
      </w:r>
    </w:p>
    <w:p>
      <w:pPr>
        <w:spacing w:after="0" w:line="101" w:lineRule="exact"/>
        <w:rPr>
          <w:sz w:val="20"/>
          <w:szCs w:val="20"/>
          <w:color w:val="auto"/>
        </w:rPr>
      </w:pPr>
    </w:p>
    <w:p>
      <w:pPr>
        <w:ind w:left="40" w:right="579" w:firstLine="270"/>
        <w:spacing w:after="0" w:line="256" w:lineRule="auto"/>
        <w:rPr>
          <w:sz w:val="20"/>
          <w:szCs w:val="20"/>
          <w:color w:val="auto"/>
        </w:rPr>
      </w:pPr>
      <w:r>
        <w:rPr>
          <w:rFonts w:ascii="Arial" w:cs="Arial" w:eastAsia="Arial" w:hAnsi="Arial"/>
          <w:sz w:val="18"/>
          <w:szCs w:val="18"/>
          <w:color w:val="auto"/>
        </w:rPr>
        <w:t>Subject to obtaining the necessary regulatory clearances, we further plan to conduct a Phase II study in pediatric ADHD in 2014, followed by a Phase 3 study in this population in 2015, and, if the data supports it, proceed to request a marketing authorization. The requirements to conduct pediatric clinical trials are more stringent than those for adults.</w:t>
      </w:r>
    </w:p>
    <w:p>
      <w:pPr>
        <w:spacing w:after="0" w:line="94" w:lineRule="exact"/>
        <w:rPr>
          <w:sz w:val="20"/>
          <w:szCs w:val="20"/>
          <w:color w:val="auto"/>
        </w:rPr>
      </w:pPr>
    </w:p>
    <w:p>
      <w:pPr>
        <w:ind w:left="40" w:right="539" w:firstLine="270"/>
        <w:spacing w:after="0" w:line="252" w:lineRule="auto"/>
        <w:rPr>
          <w:sz w:val="20"/>
          <w:szCs w:val="20"/>
          <w:color w:val="auto"/>
        </w:rPr>
      </w:pPr>
      <w:r>
        <w:rPr>
          <w:rFonts w:ascii="Arial" w:cs="Arial" w:eastAsia="Arial" w:hAnsi="Arial"/>
          <w:sz w:val="18"/>
          <w:szCs w:val="18"/>
          <w:color w:val="auto"/>
        </w:rPr>
        <w:t>We also plan to advance clinical studies and commercialization plans for MDX in additional indications of cognitive dysfunction which present significant market opportunities, such as Fragile X Syndrome, where we announced positive results from pre-clinical studies. Fragile X Syndrome is a neurogenetic disorder characterized by intellectual disability, behavioral and learning challenges. It is the leading known genetic cause of autism, and accounts for approximately 2-5% of autism cases. According to the U.S. Centers for Disease Control and Prevention, approximately 1 in 4,000 males and 1 in 8,000 females have Fragile X Syndrome.</w:t>
      </w:r>
    </w:p>
    <w:p>
      <w:pPr>
        <w:spacing w:after="0" w:line="101" w:lineRule="exact"/>
        <w:rPr>
          <w:sz w:val="20"/>
          <w:szCs w:val="20"/>
          <w:color w:val="auto"/>
        </w:rPr>
      </w:pPr>
    </w:p>
    <w:p>
      <w:pPr>
        <w:ind w:left="40" w:right="599" w:firstLine="270"/>
        <w:spacing w:after="0" w:line="256" w:lineRule="auto"/>
        <w:rPr>
          <w:sz w:val="20"/>
          <w:szCs w:val="20"/>
          <w:color w:val="auto"/>
        </w:rPr>
      </w:pPr>
      <w:r>
        <w:rPr>
          <w:rFonts w:ascii="Arial" w:cs="Arial" w:eastAsia="Arial" w:hAnsi="Arial"/>
          <w:sz w:val="18"/>
          <w:szCs w:val="18"/>
          <w:color w:val="auto"/>
        </w:rPr>
        <w:t>In May 2014, the FDA has accepted our Phase IIb clinical trial protocol for MDX for the treatment of adolescent and adult patients with Fragile X Syndrome. This trial will be a multi-center, randomized, placebo-controlled study and will be conducted primarily in the U.S. including 10 clinical sites.</w:t>
      </w:r>
    </w:p>
    <w:p>
      <w:pPr>
        <w:spacing w:after="0" w:line="200" w:lineRule="exact"/>
        <w:rPr>
          <w:sz w:val="20"/>
          <w:szCs w:val="20"/>
          <w:color w:val="auto"/>
        </w:rPr>
      </w:pPr>
    </w:p>
    <w:p>
      <w:pPr>
        <w:spacing w:after="0" w:line="34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w:t>
      </w:r>
    </w:p>
    <w:p>
      <w:pPr>
        <w:spacing w:after="0" w:line="139" w:lineRule="exact"/>
        <w:rPr>
          <w:sz w:val="20"/>
          <w:szCs w:val="20"/>
          <w:color w:val="auto"/>
        </w:rPr>
      </w:pPr>
    </w:p>
    <w:p>
      <w:pPr>
        <w:ind w:left="40" w:right="619" w:firstLine="270"/>
        <w:spacing w:after="0" w:line="251" w:lineRule="auto"/>
        <w:rPr>
          <w:sz w:val="20"/>
          <w:szCs w:val="20"/>
          <w:color w:val="auto"/>
        </w:rPr>
      </w:pPr>
      <w:r>
        <w:rPr>
          <w:rFonts w:ascii="Arial" w:cs="Arial" w:eastAsia="Arial" w:hAnsi="Arial"/>
          <w:sz w:val="18"/>
          <w:szCs w:val="18"/>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34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39" w:lineRule="exact"/>
        <w:rPr>
          <w:sz w:val="20"/>
          <w:szCs w:val="20"/>
          <w:color w:val="auto"/>
        </w:rPr>
      </w:pPr>
    </w:p>
    <w:p>
      <w:pPr>
        <w:ind w:left="40" w:right="539" w:firstLine="270"/>
        <w:spacing w:after="0" w:line="251" w:lineRule="auto"/>
        <w:rPr>
          <w:sz w:val="20"/>
          <w:szCs w:val="20"/>
          <w:color w:val="auto"/>
        </w:rPr>
      </w:pPr>
      <w:r>
        <w:rPr>
          <w:rFonts w:ascii="Arial" w:cs="Arial" w:eastAsia="Arial" w:hAnsi="Arial"/>
          <w:sz w:val="18"/>
          <w:szCs w:val="18"/>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34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 AND INDEBTEDNESS</w:t>
      </w:r>
    </w:p>
    <w:p>
      <w:pPr>
        <w:spacing w:after="0" w:line="139" w:lineRule="exact"/>
        <w:rPr>
          <w:sz w:val="20"/>
          <w:szCs w:val="20"/>
          <w:color w:val="auto"/>
        </w:rPr>
      </w:pPr>
    </w:p>
    <w:p>
      <w:pPr>
        <w:jc w:val="both"/>
        <w:ind w:left="40" w:right="599" w:firstLine="270"/>
        <w:spacing w:after="0" w:line="254" w:lineRule="auto"/>
        <w:rPr>
          <w:sz w:val="20"/>
          <w:szCs w:val="20"/>
          <w:color w:val="auto"/>
        </w:rPr>
      </w:pPr>
      <w:r>
        <w:rPr>
          <w:rFonts w:ascii="Arial" w:cs="Arial" w:eastAsia="Arial" w:hAnsi="Arial"/>
          <w:sz w:val="18"/>
          <w:szCs w:val="18"/>
          <w:color w:val="auto"/>
        </w:rPr>
        <w:t>The following table sets forth cash and cash equivalents, short-term investments and our shareholders’ equity as of March 31, 2014. The financial data in the following table should be read in conjunction with our consolidated unaudited financial statements included in the report of foreign private issuer on Form 6-K furnished to the SEC on May 15, 2014 for the period ended March 31, 2014, which have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4"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As of</w:t>
      </w:r>
    </w:p>
    <w:p>
      <w:pPr>
        <w:spacing w:after="0" w:line="19"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U.S. Dollars,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4504055</wp:posOffset>
            </wp:positionH>
            <wp:positionV relativeFrom="paragraph">
              <wp:posOffset>-1905</wp:posOffset>
            </wp:positionV>
            <wp:extent cx="7029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521398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Short-term bank deposit</w:t>
      </w:r>
    </w:p>
    <w:p>
      <w:pPr>
        <w:spacing w:after="0" w:line="235" w:lineRule="auto"/>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521398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ind w:right="1938"/>
        <w:spacing w:after="0" w:line="234" w:lineRule="auto"/>
        <w:rPr>
          <w:sz w:val="20"/>
          <w:szCs w:val="20"/>
          <w:color w:val="auto"/>
        </w:rPr>
      </w:pPr>
      <w:r>
        <w:rPr>
          <w:rFonts w:ascii="Arial" w:cs="Arial" w:eastAsia="Arial" w:hAnsi="Arial"/>
          <w:sz w:val="18"/>
          <w:szCs w:val="18"/>
          <w:color w:val="auto"/>
        </w:rPr>
        <w:t>Ordinary Shares of NIS 0.01 par value: Authorized – 50,000,000 as of March 31, 2014; Outstanding – 13,636,709 shares as of March 31, 2014.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-382905</wp:posOffset>
            </wp:positionV>
            <wp:extent cx="521398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-125730</wp:posOffset>
            </wp:positionV>
            <wp:extent cx="521398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ind w:right="2398"/>
        <w:spacing w:after="0" w:line="246" w:lineRule="auto"/>
        <w:rPr>
          <w:sz w:val="20"/>
          <w:szCs w:val="20"/>
          <w:color w:val="auto"/>
        </w:rPr>
      </w:pPr>
      <w:r>
        <w:rPr>
          <w:rFonts w:ascii="Arial" w:cs="Arial" w:eastAsia="Arial" w:hAnsi="Arial"/>
          <w:sz w:val="18"/>
          <w:szCs w:val="18"/>
          <w:color w:val="auto"/>
        </w:rPr>
        <w:t>Deficit accumulated during the development stage 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5213985"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29146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Capitalization</w:t>
      </w:r>
    </w:p>
    <w:p>
      <w:pPr>
        <w:spacing w:after="0" w:line="20" w:lineRule="exact"/>
        <w:rPr>
          <w:sz w:val="20"/>
          <w:szCs w:val="20"/>
          <w:color w:val="auto"/>
        </w:rPr>
      </w:pPr>
      <w:r>
        <w:rPr>
          <w:sz w:val="20"/>
          <w:szCs w:val="20"/>
          <w:color w:val="auto"/>
        </w:rPr>
        <w:br w:type="column"/>
      </w:r>
    </w:p>
    <w:p>
      <w:pPr>
        <w:ind w:left="382" w:hanging="382"/>
        <w:spacing w:after="0"/>
        <w:tabs>
          <w:tab w:leader="none" w:pos="3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10,392</w:t>
      </w:r>
    </w:p>
    <w:p>
      <w:pPr>
        <w:ind w:left="382"/>
        <w:spacing w:after="0"/>
        <w:rPr>
          <w:rFonts w:ascii="Arial" w:cs="Arial" w:eastAsia="Arial" w:hAnsi="Arial"/>
          <w:sz w:val="18"/>
          <w:szCs w:val="18"/>
          <w:color w:val="auto"/>
        </w:rPr>
      </w:pPr>
      <w:r>
        <w:rPr>
          <w:rFonts w:ascii="Arial" w:cs="Arial" w:eastAsia="Arial" w:hAnsi="Arial"/>
          <w:sz w:val="18"/>
          <w:szCs w:val="18"/>
          <w:color w:val="auto"/>
        </w:rPr>
        <w:t>34,033</w:t>
      </w:r>
    </w:p>
    <w:p>
      <w:pPr>
        <w:spacing w:after="0" w:line="200" w:lineRule="exact"/>
        <w:rPr>
          <w:sz w:val="20"/>
          <w:szCs w:val="20"/>
          <w:color w:val="auto"/>
        </w:rPr>
      </w:pPr>
    </w:p>
    <w:p>
      <w:pPr>
        <w:spacing w:after="0" w:line="399" w:lineRule="exact"/>
        <w:rPr>
          <w:sz w:val="20"/>
          <w:szCs w:val="20"/>
          <w:color w:val="auto"/>
        </w:rPr>
      </w:pPr>
    </w:p>
    <w:p>
      <w:pPr>
        <w:ind w:left="722"/>
        <w:spacing w:after="0"/>
        <w:rPr>
          <w:sz w:val="20"/>
          <w:szCs w:val="20"/>
          <w:color w:val="auto"/>
        </w:rPr>
      </w:pPr>
      <w:r>
        <w:rPr>
          <w:rFonts w:ascii="Arial" w:cs="Arial" w:eastAsia="Arial" w:hAnsi="Arial"/>
          <w:sz w:val="18"/>
          <w:szCs w:val="18"/>
          <w:color w:val="auto"/>
        </w:rPr>
        <w:t>39</w:t>
      </w:r>
    </w:p>
    <w:p>
      <w:pPr>
        <w:ind w:left="382"/>
        <w:spacing w:after="0" w:line="234" w:lineRule="auto"/>
        <w:rPr>
          <w:sz w:val="20"/>
          <w:szCs w:val="20"/>
          <w:color w:val="auto"/>
        </w:rPr>
      </w:pPr>
      <w:r>
        <w:rPr>
          <w:rFonts w:ascii="Arial" w:cs="Arial" w:eastAsia="Arial" w:hAnsi="Arial"/>
          <w:sz w:val="18"/>
          <w:szCs w:val="18"/>
          <w:color w:val="auto"/>
        </w:rPr>
        <w:t>68,718</w:t>
      </w:r>
    </w:p>
    <w:p>
      <w:pPr>
        <w:jc w:val="right"/>
        <w:ind w:right="1999"/>
        <w:spacing w:after="0" w:line="235" w:lineRule="auto"/>
        <w:rPr>
          <w:sz w:val="20"/>
          <w:szCs w:val="20"/>
          <w:color w:val="auto"/>
        </w:rPr>
      </w:pPr>
      <w:r>
        <w:rPr>
          <w:rFonts w:ascii="Arial" w:cs="Arial" w:eastAsia="Arial" w:hAnsi="Arial"/>
          <w:sz w:val="18"/>
          <w:szCs w:val="18"/>
          <w:color w:val="auto"/>
        </w:rPr>
        <w:t>(26,500)</w:t>
      </w:r>
    </w:p>
    <w:p>
      <w:pPr>
        <w:spacing w:after="0" w:line="1" w:lineRule="exact"/>
        <w:rPr>
          <w:sz w:val="20"/>
          <w:szCs w:val="20"/>
          <w:color w:val="auto"/>
        </w:rPr>
      </w:pPr>
    </w:p>
    <w:p>
      <w:pPr>
        <w:ind w:left="382"/>
        <w:spacing w:after="0"/>
        <w:rPr>
          <w:sz w:val="20"/>
          <w:szCs w:val="20"/>
          <w:color w:val="auto"/>
        </w:rPr>
      </w:pPr>
      <w:r>
        <w:rPr>
          <w:rFonts w:ascii="Arial" w:cs="Arial" w:eastAsia="Arial" w:hAnsi="Arial"/>
          <w:sz w:val="18"/>
          <w:szCs w:val="18"/>
          <w:color w:val="auto"/>
        </w:rPr>
        <w:t>42,257</w:t>
      </w:r>
    </w:p>
    <w:p>
      <w:pPr>
        <w:spacing w:after="0" w:line="50" w:lineRule="exact"/>
        <w:rPr>
          <w:sz w:val="20"/>
          <w:szCs w:val="20"/>
          <w:color w:val="auto"/>
        </w:rPr>
      </w:pPr>
    </w:p>
    <w:p>
      <w:pPr>
        <w:ind w:left="382"/>
        <w:spacing w:after="0"/>
        <w:rPr>
          <w:sz w:val="20"/>
          <w:szCs w:val="20"/>
          <w:color w:val="auto"/>
        </w:rPr>
      </w:pPr>
      <w:r>
        <w:rPr>
          <w:rFonts w:ascii="Arial" w:cs="Arial" w:eastAsia="Arial" w:hAnsi="Arial"/>
          <w:sz w:val="18"/>
          <w:szCs w:val="18"/>
          <w:color w:val="auto"/>
        </w:rPr>
        <w:t>42,257</w:t>
      </w:r>
    </w:p>
    <w:p>
      <w:pPr>
        <w:spacing w:after="0" w:line="190" w:lineRule="exact"/>
        <w:rPr>
          <w:sz w:val="20"/>
          <w:szCs w:val="20"/>
          <w:color w:val="auto"/>
        </w:rPr>
      </w:pPr>
    </w:p>
    <w:p>
      <w:pPr>
        <w:sectPr>
          <w:pgSz w:w="11900" w:h="16838" w:orient="portrait"/>
          <w:cols w:equalWidth="0" w:num="2">
            <w:col w:w="6378" w:space="720"/>
            <w:col w:w="2981"/>
          </w:cols>
          <w:pgMar w:left="380" w:top="802" w:right="1440" w:bottom="1440" w:gutter="0" w:footer="0" w:header="0"/>
          <w:type w:val="continuous"/>
        </w:sectPr>
      </w:pPr>
    </w:p>
    <w:p>
      <w:pPr>
        <w:jc w:val="center"/>
        <w:ind w:right="539"/>
        <w:spacing w:after="0"/>
        <w:rPr>
          <w:sz w:val="20"/>
          <w:szCs w:val="20"/>
          <w:color w:val="auto"/>
        </w:rPr>
      </w:pPr>
      <w:r>
        <w:rPr>
          <w:rFonts w:ascii="Arial" w:cs="Arial" w:eastAsia="Arial" w:hAnsi="Arial"/>
          <w:sz w:val="18"/>
          <w:szCs w:val="18"/>
          <w:b w:val="1"/>
          <w:bCs w:val="1"/>
          <w:color w:val="auto"/>
        </w:rPr>
        <w:t>REASONS FOR THE OFFER AND USE OF PROCEEDS</w:t>
      </w:r>
    </w:p>
    <w:p>
      <w:pPr>
        <w:spacing w:after="0" w:line="139" w:lineRule="exact"/>
        <w:rPr>
          <w:sz w:val="20"/>
          <w:szCs w:val="20"/>
          <w:color w:val="auto"/>
        </w:rPr>
      </w:pPr>
    </w:p>
    <w:p>
      <w:pPr>
        <w:ind w:left="40" w:right="659" w:firstLine="270"/>
        <w:spacing w:after="0" w:line="254" w:lineRule="auto"/>
        <w:rPr>
          <w:sz w:val="20"/>
          <w:szCs w:val="20"/>
          <w:color w:val="auto"/>
        </w:rPr>
      </w:pPr>
      <w:r>
        <w:rPr>
          <w:rFonts w:ascii="Arial" w:cs="Arial" w:eastAsia="Arial" w:hAnsi="Arial"/>
          <w:sz w:val="18"/>
          <w:szCs w:val="18"/>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200" w:lineRule="exact"/>
        <w:rPr>
          <w:sz w:val="20"/>
          <w:szCs w:val="20"/>
          <w:color w:val="auto"/>
        </w:rPr>
      </w:pPr>
    </w:p>
    <w:p>
      <w:pPr>
        <w:spacing w:after="0" w:line="34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type w:val="continuous"/>
        </w:sectPr>
      </w:pPr>
    </w:p>
    <w:bookmarkStart w:id="34" w:name="page35"/>
    <w:bookmarkEnd w:id="34"/>
    <w:p>
      <w:pPr>
        <w:ind w:left="140"/>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PRICE RANGE OF OUR ORDINARY SHARES</w:t>
      </w:r>
    </w:p>
    <w:p>
      <w:pPr>
        <w:spacing w:after="0" w:line="139" w:lineRule="exact"/>
        <w:rPr>
          <w:sz w:val="20"/>
          <w:szCs w:val="20"/>
          <w:color w:val="auto"/>
        </w:rPr>
      </w:pPr>
    </w:p>
    <w:p>
      <w:pPr>
        <w:ind w:left="180" w:right="599" w:firstLine="270"/>
        <w:spacing w:after="0" w:line="252" w:lineRule="auto"/>
        <w:rPr>
          <w:sz w:val="20"/>
          <w:szCs w:val="20"/>
          <w:color w:val="auto"/>
        </w:rPr>
      </w:pPr>
      <w:r>
        <w:rPr>
          <w:rFonts w:ascii="Arial" w:cs="Arial" w:eastAsia="Arial" w:hAnsi="Arial"/>
          <w:sz w:val="18"/>
          <w:szCs w:val="18"/>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21590</wp:posOffset>
            </wp:positionV>
            <wp:extent cx="4751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 w:type="dxa"/>
            <w:vAlign w:val="bottom"/>
          </w:tcPr>
          <w:p>
            <w:pPr>
              <w:spacing w:after="0"/>
              <w:rPr>
                <w:sz w:val="15"/>
                <w:szCs w:val="15"/>
                <w:color w:val="auto"/>
              </w:rPr>
            </w:pP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Annual Information:</w:t>
            </w:r>
          </w:p>
        </w:tc>
        <w:tc>
          <w:tcPr>
            <w:tcW w:w="1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High</w:t>
            </w:r>
          </w:p>
        </w:tc>
        <w:tc>
          <w:tcPr>
            <w:tcW w:w="198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2013</w:t>
            </w:r>
          </w:p>
        </w:tc>
        <w:tc>
          <w:tcPr>
            <w:tcW w:w="21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25.51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Quarterly Information</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Second Quarter 2013</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7.25</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Third Quarter 2013</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18.71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Fourth Quarter 2013</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15.51</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25.51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First Quarter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Second Quarter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20.62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Monthly Information:</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January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17.86</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23.10</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February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19.95</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March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18.15</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23.61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April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18.49</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May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15.85</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17.31</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June 2014</w:t>
            </w:r>
          </w:p>
        </w:tc>
        <w:tc>
          <w:tcPr>
            <w:tcW w:w="21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16.44</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20.62</w:t>
            </w:r>
          </w:p>
        </w:tc>
        <w:tc>
          <w:tcPr>
            <w:tcW w:w="198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July 2014 (through July 7, 2014)</w:t>
            </w:r>
          </w:p>
        </w:tc>
        <w:tc>
          <w:tcPr>
            <w:tcW w:w="210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17.94</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19.73</w:t>
            </w:r>
          </w:p>
        </w:tc>
        <w:tc>
          <w:tcPr>
            <w:tcW w:w="1980" w:type="dxa"/>
            <w:vAlign w:val="bottom"/>
          </w:tcPr>
          <w:p>
            <w:pPr>
              <w:spacing w:after="0"/>
              <w:rPr>
                <w:sz w:val="17"/>
                <w:szCs w:val="17"/>
                <w:color w:val="auto"/>
              </w:rPr>
            </w:pPr>
          </w:p>
        </w:tc>
      </w:tr>
      <w:tr>
        <w:trPr>
          <w:trHeight w:val="770"/>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4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60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6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80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DESCRIPTION OF OUR ORDINARY SHARES</w:t>
      </w:r>
    </w:p>
    <w:p>
      <w:pPr>
        <w:spacing w:after="0" w:line="139" w:lineRule="exact"/>
        <w:rPr>
          <w:sz w:val="20"/>
          <w:szCs w:val="20"/>
          <w:color w:val="auto"/>
        </w:rPr>
      </w:pPr>
    </w:p>
    <w:p>
      <w:pPr>
        <w:ind w:left="40" w:right="659" w:firstLine="270"/>
        <w:spacing w:after="0" w:line="253" w:lineRule="auto"/>
        <w:rPr>
          <w:sz w:val="20"/>
          <w:szCs w:val="20"/>
          <w:color w:val="auto"/>
        </w:rPr>
      </w:pPr>
      <w:r>
        <w:rPr>
          <w:rFonts w:ascii="Arial" w:cs="Arial" w:eastAsia="Arial" w:hAnsi="Arial"/>
          <w:sz w:val="18"/>
          <w:szCs w:val="18"/>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79"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i w:val="1"/>
          <w:iCs w:val="1"/>
          <w:color w:val="auto"/>
        </w:rPr>
        <w:t xml:space="preserve">Dividend and Liquidation Rights. </w:t>
      </w:r>
      <w:r>
        <w:rPr>
          <w:rFonts w:ascii="Arial" w:cs="Arial" w:eastAsia="Arial" w:hAnsi="Arial"/>
          <w:sz w:val="18"/>
          <w:szCs w:val="18"/>
          <w:color w:val="auto"/>
        </w:rPr>
        <w:t>Our board of directors may declare a dividend to be paid to the holders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81"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i w:val="1"/>
          <w:iCs w:val="1"/>
          <w:color w:val="auto"/>
        </w:rPr>
        <w:t xml:space="preserve">Voting; annual, general and extraordinary meeting. </w:t>
      </w:r>
      <w:r>
        <w:rPr>
          <w:rFonts w:ascii="Arial" w:cs="Arial" w:eastAsia="Arial" w:hAnsi="Arial"/>
          <w:sz w:val="18"/>
          <w:szCs w:val="18"/>
          <w:color w:val="auto"/>
        </w:rPr>
        <w:t>Subject to any rights or restrictions for the time being attached</w:t>
      </w:r>
      <w:r>
        <w:rPr>
          <w:rFonts w:ascii="Arial" w:cs="Arial" w:eastAsia="Arial" w:hAnsi="Arial"/>
          <w:sz w:val="18"/>
          <w:szCs w:val="18"/>
          <w:i w:val="1"/>
          <w:iCs w:val="1"/>
          <w:color w:val="auto"/>
        </w:rPr>
        <w:t xml:space="preserve"> </w:t>
      </w:r>
      <w:r>
        <w:rPr>
          <w:rFonts w:ascii="Arial" w:cs="Arial" w:eastAsia="Arial" w:hAnsi="Arial"/>
          <w:sz w:val="18"/>
          <w:szCs w:val="18"/>
          <w:color w:val="auto"/>
        </w:rPr>
        <w:t>to any class 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81" w:lineRule="exact"/>
        <w:rPr>
          <w:sz w:val="20"/>
          <w:szCs w:val="20"/>
          <w:color w:val="auto"/>
        </w:rPr>
      </w:pPr>
    </w:p>
    <w:p>
      <w:pPr>
        <w:ind w:left="40" w:right="639" w:firstLine="270"/>
        <w:spacing w:after="0" w:line="257" w:lineRule="auto"/>
        <w:rPr>
          <w:sz w:val="20"/>
          <w:szCs w:val="20"/>
          <w:color w:val="auto"/>
        </w:rPr>
      </w:pPr>
      <w:r>
        <w:rPr>
          <w:rFonts w:ascii="Arial" w:cs="Arial" w:eastAsia="Arial" w:hAnsi="Arial"/>
          <w:sz w:val="18"/>
          <w:szCs w:val="18"/>
          <w:i w:val="1"/>
          <w:iCs w:val="1"/>
          <w:color w:val="auto"/>
        </w:rPr>
        <w:t xml:space="preserve">Quorum for general meetings. </w:t>
      </w:r>
      <w:r>
        <w:rPr>
          <w:rFonts w:ascii="Arial" w:cs="Arial" w:eastAsia="Arial" w:hAnsi="Arial"/>
          <w:sz w:val="18"/>
          <w:szCs w:val="18"/>
          <w:color w:val="auto"/>
        </w:rPr>
        <w:t>The quorum required for our general meetings of shareholders consists of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two 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75" w:lineRule="exact"/>
        <w:rPr>
          <w:sz w:val="20"/>
          <w:szCs w:val="20"/>
          <w:color w:val="auto"/>
        </w:rPr>
      </w:pPr>
    </w:p>
    <w:p>
      <w:pPr>
        <w:ind w:left="40" w:right="559" w:firstLine="270"/>
        <w:spacing w:after="0" w:line="255" w:lineRule="auto"/>
        <w:rPr>
          <w:sz w:val="20"/>
          <w:szCs w:val="20"/>
          <w:color w:val="auto"/>
        </w:rPr>
      </w:pPr>
      <w:r>
        <w:rPr>
          <w:rFonts w:ascii="Arial" w:cs="Arial" w:eastAsia="Arial" w:hAnsi="Arial"/>
          <w:sz w:val="18"/>
          <w:szCs w:val="18"/>
          <w:i w:val="1"/>
          <w:iCs w:val="1"/>
          <w:color w:val="auto"/>
        </w:rPr>
        <w:t xml:space="preserve">Notice of general meetings. </w:t>
      </w:r>
      <w:r>
        <w:rPr>
          <w:rFonts w:ascii="Arial" w:cs="Arial" w:eastAsia="Arial" w:hAnsi="Arial"/>
          <w:sz w:val="18"/>
          <w:szCs w:val="18"/>
          <w:color w:val="auto"/>
        </w:rPr>
        <w:t>Unless a longer period for notice is prescribed by the Companies Law, at least 10 days</w:t>
      </w:r>
      <w:r>
        <w:rPr>
          <w:rFonts w:ascii="Arial" w:cs="Arial" w:eastAsia="Arial" w:hAnsi="Arial"/>
          <w:sz w:val="18"/>
          <w:szCs w:val="18"/>
          <w:i w:val="1"/>
          <w:iCs w:val="1"/>
          <w:color w:val="auto"/>
        </w:rPr>
        <w:t xml:space="preserve"> </w:t>
      </w:r>
      <w:r>
        <w:rPr>
          <w:rFonts w:ascii="Arial" w:cs="Arial" w:eastAsia="Arial" w:hAnsi="Arial"/>
          <w:sz w:val="18"/>
          <w:szCs w:val="18"/>
          <w:color w:val="auto"/>
        </w:rPr>
        <w:t>and not 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81" w:lineRule="exact"/>
        <w:rPr>
          <w:sz w:val="20"/>
          <w:szCs w:val="20"/>
          <w:color w:val="auto"/>
        </w:rPr>
      </w:pPr>
    </w:p>
    <w:p>
      <w:pPr>
        <w:ind w:left="40" w:right="539" w:firstLine="270"/>
        <w:spacing w:after="0" w:line="254" w:lineRule="auto"/>
        <w:rPr>
          <w:sz w:val="20"/>
          <w:szCs w:val="20"/>
          <w:color w:val="auto"/>
        </w:rPr>
      </w:pPr>
      <w:r>
        <w:rPr>
          <w:rFonts w:ascii="Arial" w:cs="Arial" w:eastAsia="Arial" w:hAnsi="Arial"/>
          <w:sz w:val="18"/>
          <w:szCs w:val="18"/>
          <w:i w:val="1"/>
          <w:iCs w:val="1"/>
          <w:color w:val="auto"/>
        </w:rPr>
        <w:t xml:space="preserve">Annual general meetings; agenda; calling a general meeting. </w:t>
      </w:r>
      <w:r>
        <w:rPr>
          <w:rFonts w:ascii="Arial" w:cs="Arial" w:eastAsia="Arial" w:hAnsi="Arial"/>
          <w:sz w:val="18"/>
          <w:szCs w:val="18"/>
          <w:color w:val="auto"/>
        </w:rPr>
        <w:t>General meetings are held at least once in every</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198" w:lineRule="exact"/>
        <w:rPr>
          <w:sz w:val="20"/>
          <w:szCs w:val="20"/>
          <w:color w:val="auto"/>
        </w:rPr>
      </w:pPr>
    </w:p>
    <w:p>
      <w:pPr>
        <w:ind w:left="40" w:right="539" w:firstLine="270"/>
        <w:spacing w:after="0" w:line="261" w:lineRule="auto"/>
        <w:rPr>
          <w:sz w:val="20"/>
          <w:szCs w:val="20"/>
          <w:color w:val="auto"/>
        </w:rPr>
      </w:pPr>
      <w:r>
        <w:rPr>
          <w:rFonts w:ascii="Arial" w:cs="Arial" w:eastAsia="Arial" w:hAnsi="Arial"/>
          <w:sz w:val="18"/>
          <w:szCs w:val="18"/>
          <w:i w:val="1"/>
          <w:iCs w:val="1"/>
          <w:color w:val="auto"/>
        </w:rPr>
        <w:t xml:space="preserve">Majority vote. </w:t>
      </w:r>
      <w:r>
        <w:rPr>
          <w:rFonts w:ascii="Arial" w:cs="Arial" w:eastAsia="Arial" w:hAnsi="Arial"/>
          <w:sz w:val="18"/>
          <w:szCs w:val="18"/>
          <w:color w:val="auto"/>
        </w:rPr>
        <w:t>Except as otherwise provided in the Articles of Association, any resolution at a general meeting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72" w:lineRule="exact"/>
        <w:rPr>
          <w:sz w:val="20"/>
          <w:szCs w:val="20"/>
          <w:color w:val="auto"/>
        </w:rPr>
      </w:pPr>
    </w:p>
    <w:p>
      <w:pPr>
        <w:ind w:left="40" w:right="739" w:firstLine="270"/>
        <w:spacing w:after="0" w:line="266" w:lineRule="auto"/>
        <w:rPr>
          <w:sz w:val="20"/>
          <w:szCs w:val="20"/>
          <w:color w:val="auto"/>
        </w:rPr>
      </w:pPr>
      <w:r>
        <w:rPr>
          <w:rFonts w:ascii="Arial" w:cs="Arial" w:eastAsia="Arial" w:hAnsi="Arial"/>
          <w:sz w:val="18"/>
          <w:szCs w:val="18"/>
          <w:i w:val="1"/>
          <w:iCs w:val="1"/>
          <w:color w:val="auto"/>
        </w:rPr>
        <w:t xml:space="preserve">No discrimination against shareholders. </w:t>
      </w:r>
      <w:r>
        <w:rPr>
          <w:rFonts w:ascii="Arial" w:cs="Arial" w:eastAsia="Arial" w:hAnsi="Arial"/>
          <w:sz w:val="18"/>
          <w:szCs w:val="18"/>
          <w:color w:val="auto"/>
        </w:rPr>
        <w:t>According to our Articles of Association, there are no discriminating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against any existing or prospective holders of our shares as a result of a shareholder holding a substantial number of shares.</w:t>
      </w:r>
    </w:p>
    <w:p>
      <w:pPr>
        <w:spacing w:after="0" w:line="68" w:lineRule="exact"/>
        <w:rPr>
          <w:sz w:val="20"/>
          <w:szCs w:val="20"/>
          <w:color w:val="auto"/>
        </w:rPr>
      </w:pPr>
    </w:p>
    <w:p>
      <w:pPr>
        <w:ind w:left="40" w:right="679" w:firstLine="270"/>
        <w:spacing w:after="0" w:line="258" w:lineRule="auto"/>
        <w:rPr>
          <w:sz w:val="20"/>
          <w:szCs w:val="20"/>
          <w:color w:val="auto"/>
        </w:rPr>
      </w:pPr>
      <w:r>
        <w:rPr>
          <w:rFonts w:ascii="Arial" w:cs="Arial" w:eastAsia="Arial" w:hAnsi="Arial"/>
          <w:sz w:val="18"/>
          <w:szCs w:val="18"/>
          <w:i w:val="1"/>
          <w:iCs w:val="1"/>
          <w:color w:val="auto"/>
        </w:rPr>
        <w:t xml:space="preserve">Transfer of Shares; record dates. </w:t>
      </w:r>
      <w:r>
        <w:rPr>
          <w:rFonts w:ascii="Arial" w:cs="Arial" w:eastAsia="Arial" w:hAnsi="Arial"/>
          <w:sz w:val="18"/>
          <w:szCs w:val="18"/>
          <w:color w:val="auto"/>
        </w:rPr>
        <w:t>Fully paid up ordinary shares may be freely transferred pursuant to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76"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i w:val="1"/>
          <w:iCs w:val="1"/>
          <w:color w:val="auto"/>
        </w:rPr>
        <w:t xml:space="preserve">Modification of Class Rights. </w:t>
      </w:r>
      <w:r>
        <w:rPr>
          <w:rFonts w:ascii="Arial" w:cs="Arial" w:eastAsia="Arial" w:hAnsi="Arial"/>
          <w:sz w:val="18"/>
          <w:szCs w:val="18"/>
          <w:color w:val="auto"/>
        </w:rPr>
        <w:t>If, at any time, the share capital is divided into different classes of shares,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93" w:lineRule="exact"/>
        <w:rPr>
          <w:sz w:val="20"/>
          <w:szCs w:val="20"/>
          <w:color w:val="auto"/>
        </w:rPr>
      </w:pPr>
    </w:p>
    <w:p>
      <w:pPr>
        <w:ind w:left="40" w:right="739" w:firstLine="270"/>
        <w:spacing w:after="0" w:line="254" w:lineRule="auto"/>
        <w:rPr>
          <w:sz w:val="20"/>
          <w:szCs w:val="20"/>
          <w:color w:val="auto"/>
        </w:rPr>
      </w:pPr>
      <w:r>
        <w:rPr>
          <w:rFonts w:ascii="Arial" w:cs="Arial" w:eastAsia="Arial" w:hAnsi="Arial"/>
          <w:sz w:val="18"/>
          <w:szCs w:val="18"/>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78" w:lineRule="exact"/>
        <w:rPr>
          <w:sz w:val="20"/>
          <w:szCs w:val="20"/>
          <w:color w:val="auto"/>
        </w:rPr>
      </w:pPr>
    </w:p>
    <w:p>
      <w:pPr>
        <w:ind w:left="40" w:right="679" w:firstLine="270"/>
        <w:spacing w:after="0" w:line="266" w:lineRule="auto"/>
        <w:rPr>
          <w:sz w:val="20"/>
          <w:szCs w:val="20"/>
          <w:color w:val="auto"/>
        </w:rPr>
      </w:pPr>
      <w:r>
        <w:rPr>
          <w:rFonts w:ascii="Arial" w:cs="Arial" w:eastAsia="Arial" w:hAnsi="Arial"/>
          <w:sz w:val="18"/>
          <w:szCs w:val="18"/>
          <w:i w:val="1"/>
          <w:iCs w:val="1"/>
          <w:color w:val="auto"/>
        </w:rPr>
        <w:t xml:space="preserve">Restrictions on Shareholders Rights to Own Securities. </w:t>
      </w:r>
      <w:r>
        <w:rPr>
          <w:rFonts w:ascii="Arial" w:cs="Arial" w:eastAsia="Arial" w:hAnsi="Arial"/>
          <w:sz w:val="18"/>
          <w:szCs w:val="18"/>
          <w:color w:val="auto"/>
        </w:rPr>
        <w:t>Our Articles of Association and the laws of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Israel do not restrict in any way the ownership or voting or our shares by nonresidents of Israel, except with respect to subjects of countries which are in a state of war with Israel.</w:t>
      </w:r>
    </w:p>
    <w:p>
      <w:pPr>
        <w:spacing w:after="0" w:line="68"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Other than external directors, as defined in the Companies Law, for whom special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terms of office apply 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99" w:lineRule="exact"/>
        <w:rPr>
          <w:sz w:val="20"/>
          <w:szCs w:val="20"/>
          <w:color w:val="auto"/>
        </w:rPr>
      </w:pPr>
    </w:p>
    <w:p>
      <w:pPr>
        <w:ind w:left="40" w:right="539" w:firstLine="270"/>
        <w:spacing w:after="0" w:line="256" w:lineRule="auto"/>
        <w:rPr>
          <w:sz w:val="20"/>
          <w:szCs w:val="20"/>
          <w:color w:val="auto"/>
        </w:rPr>
      </w:pPr>
      <w:r>
        <w:rPr>
          <w:rFonts w:ascii="Arial" w:cs="Arial" w:eastAsia="Arial" w:hAnsi="Arial"/>
          <w:sz w:val="18"/>
          <w:szCs w:val="18"/>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200" w:lineRule="exact"/>
        <w:rPr>
          <w:sz w:val="20"/>
          <w:szCs w:val="20"/>
          <w:color w:val="auto"/>
        </w:rPr>
      </w:pPr>
    </w:p>
    <w:p>
      <w:pPr>
        <w:spacing w:after="0" w:line="34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PLAN OF DISTRIBUTION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may sell the securities being offered hereby in one or more of the following methods from time to time:</w:t>
      </w:r>
    </w:p>
    <w:p>
      <w:pPr>
        <w:spacing w:after="0" w:line="117" w:lineRule="exact"/>
        <w:rPr>
          <w:sz w:val="20"/>
          <w:szCs w:val="20"/>
          <w:color w:val="auto"/>
        </w:rPr>
      </w:pPr>
    </w:p>
    <w:p>
      <w:pPr>
        <w:ind w:left="600" w:right="919" w:hanging="322"/>
        <w:spacing w:after="0" w:line="291" w:lineRule="auto"/>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66" w:lineRule="exact"/>
        <w:rPr>
          <w:rFonts w:ascii="Arial" w:cs="Arial" w:eastAsia="Arial" w:hAnsi="Arial"/>
          <w:sz w:val="17"/>
          <w:szCs w:val="17"/>
          <w:color w:val="auto"/>
        </w:rPr>
      </w:pPr>
    </w:p>
    <w:p>
      <w:pPr>
        <w:ind w:left="600" w:right="599" w:hanging="322"/>
        <w:spacing w:after="0" w:line="26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 pursuant to this prospectus;</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600" w:right="839" w:hanging="322"/>
        <w:spacing w:after="0" w:line="26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88" w:lineRule="exact"/>
        <w:rPr>
          <w:rFonts w:ascii="Arial" w:cs="Arial" w:eastAsia="Arial" w:hAnsi="Arial"/>
          <w:sz w:val="18"/>
          <w:szCs w:val="18"/>
          <w:color w:val="auto"/>
        </w:rPr>
      </w:pPr>
    </w:p>
    <w:p>
      <w:pPr>
        <w:ind w:left="600" w:right="1059" w:hanging="322"/>
        <w:spacing w:after="0" w:line="262"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88" w:lineRule="exact"/>
        <w:rPr>
          <w:rFonts w:ascii="Arial" w:cs="Arial" w:eastAsia="Arial" w:hAnsi="Arial"/>
          <w:sz w:val="18"/>
          <w:szCs w:val="18"/>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117"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117" w:lineRule="exact"/>
        <w:rPr>
          <w:sz w:val="20"/>
          <w:szCs w:val="20"/>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or names of any agents, dealers or underwriters;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securities may be listed.</w:t>
      </w:r>
    </w:p>
    <w:p>
      <w:pPr>
        <w:spacing w:after="0" w:line="117" w:lineRule="exact"/>
        <w:rPr>
          <w:sz w:val="20"/>
          <w:szCs w:val="20"/>
          <w:color w:val="auto"/>
        </w:rPr>
      </w:pPr>
    </w:p>
    <w:p>
      <w:pPr>
        <w:ind w:left="40" w:right="539" w:firstLine="270"/>
        <w:spacing w:after="0" w:line="251" w:lineRule="auto"/>
        <w:rPr>
          <w:sz w:val="20"/>
          <w:szCs w:val="20"/>
          <w:color w:val="auto"/>
        </w:rPr>
      </w:pPr>
      <w:r>
        <w:rPr>
          <w:rFonts w:ascii="Arial" w:cs="Arial" w:eastAsia="Arial" w:hAnsi="Arial"/>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3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 w:right="679" w:firstLine="270"/>
        <w:spacing w:after="0" w:line="25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117" w:lineRule="exact"/>
        <w:rPr>
          <w:sz w:val="20"/>
          <w:szCs w:val="20"/>
          <w:color w:val="auto"/>
        </w:rPr>
      </w:pPr>
    </w:p>
    <w:p>
      <w:pPr>
        <w:ind w:left="60" w:right="539" w:firstLine="270"/>
        <w:spacing w:after="0" w:line="252"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99" w:lineRule="exact"/>
        <w:rPr>
          <w:sz w:val="20"/>
          <w:szCs w:val="20"/>
          <w:color w:val="auto"/>
        </w:rPr>
      </w:pPr>
    </w:p>
    <w:p>
      <w:pPr>
        <w:ind w:left="60" w:right="619" w:firstLine="270"/>
        <w:spacing w:after="0" w:line="254" w:lineRule="auto"/>
        <w:rPr>
          <w:sz w:val="20"/>
          <w:szCs w:val="20"/>
          <w:color w:val="auto"/>
        </w:rPr>
      </w:pPr>
      <w:r>
        <w:rPr>
          <w:rFonts w:ascii="Arial" w:cs="Arial" w:eastAsia="Arial" w:hAnsi="Arial"/>
          <w:sz w:val="18"/>
          <w:szCs w:val="18"/>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96" w:lineRule="exact"/>
        <w:rPr>
          <w:sz w:val="20"/>
          <w:szCs w:val="20"/>
          <w:color w:val="auto"/>
        </w:rPr>
      </w:pPr>
    </w:p>
    <w:p>
      <w:pPr>
        <w:ind w:left="60" w:right="559" w:firstLine="270"/>
        <w:spacing w:after="0" w:line="251" w:lineRule="auto"/>
        <w:rPr>
          <w:sz w:val="20"/>
          <w:szCs w:val="20"/>
          <w:color w:val="auto"/>
        </w:rPr>
      </w:pPr>
      <w:r>
        <w:rPr>
          <w:rFonts w:ascii="Arial" w:cs="Arial" w:eastAsia="Arial" w:hAnsi="Arial"/>
          <w:sz w:val="18"/>
          <w:szCs w:val="18"/>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105" w:lineRule="exact"/>
        <w:rPr>
          <w:sz w:val="20"/>
          <w:szCs w:val="20"/>
          <w:color w:val="auto"/>
        </w:rPr>
      </w:pPr>
    </w:p>
    <w:p>
      <w:pPr>
        <w:ind w:left="60" w:right="559" w:firstLine="270"/>
        <w:spacing w:after="0" w:line="256" w:lineRule="auto"/>
        <w:rPr>
          <w:sz w:val="20"/>
          <w:szCs w:val="20"/>
          <w:color w:val="auto"/>
        </w:rPr>
      </w:pPr>
      <w:r>
        <w:rPr>
          <w:rFonts w:ascii="Arial" w:cs="Arial" w:eastAsia="Arial" w:hAnsi="Arial"/>
          <w:sz w:val="18"/>
          <w:szCs w:val="18"/>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8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EXPENSES</w:t>
      </w:r>
    </w:p>
    <w:p>
      <w:pPr>
        <w:spacing w:after="0" w:line="139" w:lineRule="exact"/>
        <w:rPr>
          <w:sz w:val="20"/>
          <w:szCs w:val="20"/>
          <w:color w:val="auto"/>
        </w:rPr>
      </w:pPr>
    </w:p>
    <w:p>
      <w:pPr>
        <w:ind w:left="60" w:right="639" w:firstLine="270"/>
        <w:spacing w:after="0" w:line="254" w:lineRule="auto"/>
        <w:rPr>
          <w:sz w:val="20"/>
          <w:szCs w:val="20"/>
          <w:color w:val="auto"/>
        </w:rPr>
      </w:pPr>
      <w:r>
        <w:rPr>
          <w:rFonts w:ascii="Arial" w:cs="Arial" w:eastAsia="Arial" w:hAnsi="Arial"/>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47510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ind w:left="20"/>
              <w:spacing w:after="0"/>
              <w:rPr>
                <w:sz w:val="20"/>
                <w:szCs w:val="20"/>
                <w:color w:val="auto"/>
              </w:rPr>
            </w:pPr>
            <w:r>
              <w:rPr>
                <w:rFonts w:ascii="Arial" w:cs="Arial" w:eastAsia="Arial" w:hAnsi="Arial"/>
                <w:sz w:val="18"/>
                <w:szCs w:val="18"/>
                <w:color w:val="auto"/>
              </w:rPr>
              <w:t>SEC registration fee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12,880</w:t>
            </w:r>
          </w:p>
        </w:tc>
        <w:tc>
          <w:tcPr>
            <w:tcW w:w="80" w:type="dxa"/>
            <w:vAlign w:val="bottom"/>
          </w:tcPr>
          <w:p>
            <w:pPr>
              <w:spacing w:after="0"/>
              <w:rPr>
                <w:sz w:val="18"/>
                <w:szCs w:val="18"/>
                <w:color w:val="auto"/>
              </w:rPr>
            </w:pP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Legal fees and expenses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17"/>
                <w:szCs w:val="17"/>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Accounting fees and expenses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80" w:type="dxa"/>
            <w:vAlign w:val="bottom"/>
          </w:tcPr>
          <w:p>
            <w:pPr>
              <w:spacing w:after="0"/>
              <w:rPr>
                <w:sz w:val="17"/>
                <w:szCs w:val="17"/>
                <w:color w:val="auto"/>
              </w:rPr>
            </w:pPr>
          </w:p>
        </w:tc>
      </w:tr>
      <w:tr>
        <w:trPr>
          <w:trHeight w:val="203"/>
        </w:trPr>
        <w:tc>
          <w:tcPr>
            <w:tcW w:w="65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Miscellaneous expenses</w:t>
            </w: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5,120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30,000</w:t>
            </w:r>
          </w:p>
        </w:tc>
        <w:tc>
          <w:tcPr>
            <w:tcW w:w="80" w:type="dxa"/>
            <w:vAlign w:val="bottom"/>
          </w:tcPr>
          <w:p>
            <w:pPr>
              <w:spacing w:after="0"/>
              <w:rPr>
                <w:sz w:val="17"/>
                <w:szCs w:val="17"/>
                <w:color w:val="auto"/>
              </w:rPr>
            </w:pPr>
          </w:p>
        </w:tc>
      </w:tr>
      <w:tr>
        <w:trPr>
          <w:trHeight w:val="21"/>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-170815</wp:posOffset>
            </wp:positionV>
            <wp:extent cx="475107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87" w:lineRule="exact"/>
        <w:rPr>
          <w:sz w:val="20"/>
          <w:szCs w:val="20"/>
          <w:color w:val="auto"/>
        </w:rPr>
      </w:pPr>
    </w:p>
    <w:p>
      <w:pPr>
        <w:ind w:left="60" w:right="639" w:firstLine="270"/>
        <w:spacing w:after="0" w:line="262" w:lineRule="auto"/>
        <w:rPr>
          <w:sz w:val="20"/>
          <w:szCs w:val="20"/>
          <w:color w:val="auto"/>
        </w:rPr>
      </w:pPr>
      <w:r>
        <w:rPr>
          <w:rFonts w:ascii="Arial" w:cs="Arial" w:eastAsia="Arial" w:hAnsi="Arial"/>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200" w:lineRule="exact"/>
        <w:rPr>
          <w:sz w:val="20"/>
          <w:szCs w:val="20"/>
          <w:color w:val="auto"/>
        </w:rPr>
      </w:pPr>
    </w:p>
    <w:p>
      <w:pPr>
        <w:spacing w:after="0" w:line="33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96520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802"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validity of the ordinary shares offered in this prospectus will be passed upon for us by Zysman, Aharoni, Gayer</w:t>
      </w:r>
    </w:p>
    <w:p>
      <w:pPr>
        <w:spacing w:after="0" w:line="9" w:lineRule="exact"/>
        <w:rPr>
          <w:sz w:val="20"/>
          <w:szCs w:val="20"/>
          <w:color w:val="auto"/>
        </w:rPr>
      </w:pPr>
    </w:p>
    <w:p>
      <w:pPr>
        <w:ind w:left="40" w:right="839" w:firstLine="8"/>
        <w:spacing w:after="0" w:line="262" w:lineRule="auto"/>
        <w:tabs>
          <w:tab w:leader="none" w:pos="2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 Tel Aviv, Israel. Zysman, Aharoni, Gayer and Sullivan &amp; Worcester LLP, New York, New York, is acting as our counsel in connection with United States securities laws.</w:t>
      </w:r>
    </w:p>
    <w:p>
      <w:pPr>
        <w:spacing w:after="0" w:line="17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EXPERTS</w:t>
      </w:r>
    </w:p>
    <w:p>
      <w:pPr>
        <w:spacing w:after="0" w:line="139" w:lineRule="exact"/>
        <w:rPr>
          <w:sz w:val="20"/>
          <w:szCs w:val="20"/>
          <w:color w:val="auto"/>
        </w:rPr>
      </w:pPr>
    </w:p>
    <w:p>
      <w:pPr>
        <w:ind w:left="40" w:right="639" w:firstLine="270"/>
        <w:spacing w:after="0" w:line="253"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17" w:lineRule="exact"/>
        <w:rPr>
          <w:sz w:val="20"/>
          <w:szCs w:val="20"/>
          <w:color w:val="auto"/>
        </w:rPr>
      </w:pPr>
    </w:p>
    <w:p>
      <w:pPr>
        <w:ind w:left="40" w:right="579" w:firstLine="270"/>
        <w:spacing w:after="0" w:line="254" w:lineRule="auto"/>
        <w:rPr>
          <w:sz w:val="20"/>
          <w:szCs w:val="20"/>
          <w:color w:val="auto"/>
        </w:rPr>
      </w:pPr>
      <w:r>
        <w:rPr>
          <w:rFonts w:ascii="Arial" w:cs="Arial" w:eastAsia="Arial" w:hAnsi="Arial"/>
          <w:sz w:val="18"/>
          <w:szCs w:val="18"/>
          <w:color w:val="auto"/>
        </w:rPr>
        <w:t>We are an Israeli company and are a “foreign private issuer” as defined in Rule 3b -4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96" w:lineRule="exact"/>
        <w:rPr>
          <w:sz w:val="20"/>
          <w:szCs w:val="20"/>
          <w:color w:val="auto"/>
        </w:rPr>
      </w:pPr>
    </w:p>
    <w:p>
      <w:pPr>
        <w:ind w:left="40" w:right="519" w:firstLine="270"/>
        <w:spacing w:after="0" w:line="252" w:lineRule="auto"/>
        <w:rPr>
          <w:sz w:val="20"/>
          <w:szCs w:val="20"/>
          <w:color w:val="auto"/>
        </w:rPr>
      </w:pPr>
      <w:r>
        <w:rPr>
          <w:rFonts w:ascii="Arial" w:cs="Arial" w:eastAsia="Arial" w:hAnsi="Arial"/>
          <w:sz w:val="18"/>
          <w:szCs w:val="18"/>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101" w:lineRule="exact"/>
        <w:rPr>
          <w:sz w:val="20"/>
          <w:szCs w:val="20"/>
          <w:color w:val="auto"/>
        </w:rPr>
      </w:pPr>
    </w:p>
    <w:p>
      <w:pPr>
        <w:ind w:left="40" w:right="539" w:firstLine="270"/>
        <w:spacing w:after="0" w:line="252"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access the information we file electronically with the SEC through our website at </w:t>
      </w:r>
      <w:r>
        <w:rPr>
          <w:rFonts w:ascii="Arial" w:cs="Arial" w:eastAsia="Arial" w:hAnsi="Arial"/>
          <w:sz w:val="18"/>
          <w:szCs w:val="18"/>
          <w:i w:val="1"/>
          <w:iCs w:val="1"/>
          <w:color w:val="auto"/>
        </w:rPr>
        <w:t>http://www.alcobra-pharma.com.</w:t>
      </w:r>
      <w:r>
        <w:rPr>
          <w:rFonts w:ascii="Arial" w:cs="Arial" w:eastAsia="Arial" w:hAnsi="Arial"/>
          <w:sz w:val="18"/>
          <w:szCs w:val="18"/>
          <w:color w:val="auto"/>
        </w:rPr>
        <w:t xml:space="preserve"> The information contained on, or linked from our website or the SEC’s website does not form part of this prospectus.</w:t>
      </w:r>
    </w:p>
    <w:p>
      <w:pPr>
        <w:spacing w:after="0" w:line="101" w:lineRule="exact"/>
        <w:rPr>
          <w:sz w:val="20"/>
          <w:szCs w:val="20"/>
          <w:color w:val="auto"/>
        </w:rPr>
      </w:pPr>
    </w:p>
    <w:p>
      <w:pPr>
        <w:ind w:left="40" w:right="559" w:firstLine="270"/>
        <w:spacing w:after="0" w:line="251" w:lineRule="auto"/>
        <w:rPr>
          <w:sz w:val="20"/>
          <w:szCs w:val="20"/>
          <w:color w:val="auto"/>
        </w:rPr>
      </w:pPr>
      <w:r>
        <w:rPr>
          <w:rFonts w:ascii="Arial" w:cs="Arial" w:eastAsia="Arial" w:hAnsi="Arial"/>
          <w:sz w:val="18"/>
          <w:szCs w:val="18"/>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104" w:lineRule="exact"/>
        <w:rPr>
          <w:sz w:val="20"/>
          <w:szCs w:val="20"/>
          <w:color w:val="auto"/>
        </w:rPr>
      </w:pPr>
    </w:p>
    <w:p>
      <w:pPr>
        <w:ind w:left="40" w:right="799" w:firstLine="270"/>
        <w:spacing w:after="0" w:line="262"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88" w:lineRule="exact"/>
        <w:rPr>
          <w:sz w:val="20"/>
          <w:szCs w:val="20"/>
          <w:color w:val="auto"/>
        </w:rPr>
      </w:pPr>
    </w:p>
    <w:p>
      <w:pPr>
        <w:ind w:left="600" w:hanging="322"/>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117" w:lineRule="exact"/>
        <w:rPr>
          <w:rFonts w:ascii="Arial" w:cs="Arial" w:eastAsia="Arial" w:hAnsi="Arial"/>
          <w:sz w:val="18"/>
          <w:szCs w:val="18"/>
          <w:color w:val="auto"/>
        </w:rPr>
      </w:pPr>
    </w:p>
    <w:p>
      <w:pPr>
        <w:ind w:left="600" w:right="779" w:hanging="322"/>
        <w:spacing w:after="0" w:line="262"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88" w:lineRule="exact"/>
        <w:rPr>
          <w:rFonts w:ascii="Arial" w:cs="Arial" w:eastAsia="Arial" w:hAnsi="Arial"/>
          <w:sz w:val="18"/>
          <w:szCs w:val="18"/>
          <w:color w:val="auto"/>
        </w:rPr>
      </w:pPr>
    </w:p>
    <w:p>
      <w:pPr>
        <w:ind w:left="600" w:right="1239" w:hanging="322"/>
        <w:spacing w:after="0" w:line="262"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GAAP Financial Statements included in the report of foreign private issuer on Form 6-K furnished to the SEC on May 15, 2014;</w:t>
      </w:r>
    </w:p>
    <w:p>
      <w:pPr>
        <w:spacing w:after="0" w:line="200" w:lineRule="exact"/>
        <w:rPr>
          <w:sz w:val="20"/>
          <w:szCs w:val="20"/>
          <w:color w:val="auto"/>
        </w:rPr>
      </w:pPr>
    </w:p>
    <w:p>
      <w:pPr>
        <w:spacing w:after="0" w:line="3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600" w:hanging="322"/>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 and</w:t>
      </w:r>
    </w:p>
    <w:p>
      <w:pPr>
        <w:spacing w:after="0" w:line="117" w:lineRule="exact"/>
        <w:rPr>
          <w:rFonts w:ascii="Arial" w:cs="Arial" w:eastAsia="Arial" w:hAnsi="Arial"/>
          <w:sz w:val="18"/>
          <w:szCs w:val="18"/>
          <w:color w:val="auto"/>
        </w:rPr>
      </w:pPr>
    </w:p>
    <w:p>
      <w:pPr>
        <w:jc w:val="both"/>
        <w:ind w:left="600" w:right="759" w:hanging="322"/>
        <w:spacing w:after="0" w:line="256"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94" w:lineRule="exact"/>
        <w:rPr>
          <w:sz w:val="20"/>
          <w:szCs w:val="20"/>
          <w:color w:val="auto"/>
        </w:rPr>
      </w:pPr>
    </w:p>
    <w:p>
      <w:pPr>
        <w:ind w:left="40" w:right="519" w:firstLine="270"/>
        <w:spacing w:after="0" w:line="251" w:lineRule="auto"/>
        <w:rPr>
          <w:sz w:val="20"/>
          <w:szCs w:val="20"/>
          <w:color w:val="auto"/>
        </w:rPr>
      </w:pPr>
      <w:r>
        <w:rPr>
          <w:rFonts w:ascii="Arial" w:cs="Arial" w:eastAsia="Arial" w:hAnsi="Arial"/>
          <w:sz w:val="18"/>
          <w:szCs w:val="18"/>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04" w:lineRule="exact"/>
        <w:rPr>
          <w:sz w:val="20"/>
          <w:szCs w:val="20"/>
          <w:color w:val="auto"/>
        </w:rPr>
      </w:pPr>
    </w:p>
    <w:p>
      <w:pPr>
        <w:ind w:left="40" w:right="519" w:firstLine="270"/>
        <w:spacing w:after="0" w:line="262"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88" w:lineRule="exact"/>
        <w:rPr>
          <w:sz w:val="20"/>
          <w:szCs w:val="20"/>
          <w:color w:val="auto"/>
        </w:rPr>
      </w:pPr>
    </w:p>
    <w:p>
      <w:pPr>
        <w:ind w:left="40" w:right="559" w:firstLine="270"/>
        <w:spacing w:after="0" w:line="256" w:lineRule="auto"/>
        <w:rPr>
          <w:sz w:val="20"/>
          <w:szCs w:val="20"/>
          <w:color w:val="auto"/>
        </w:rPr>
      </w:pPr>
      <w:r>
        <w:rPr>
          <w:rFonts w:ascii="Arial" w:cs="Arial" w:eastAsia="Arial" w:hAnsi="Arial"/>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Alcobra Ltd., Amot Investment</w:t>
      </w:r>
    </w:p>
    <w:p>
      <w:pPr>
        <w:ind w:left="40"/>
        <w:spacing w:after="0" w:line="187" w:lineRule="auto"/>
        <w:rPr>
          <w:sz w:val="20"/>
          <w:szCs w:val="20"/>
          <w:color w:val="auto"/>
        </w:rPr>
      </w:pPr>
      <w:r>
        <w:rPr>
          <w:rFonts w:ascii="Arial" w:cs="Arial" w:eastAsia="Arial" w:hAnsi="Arial"/>
          <w:sz w:val="18"/>
          <w:szCs w:val="18"/>
          <w:color w:val="auto"/>
        </w:rPr>
        <w:t>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attention: Dr. Tomer Berkovitz, Chief Financial Officer,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telephone number: +972-72-220-4661.</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39" w:lineRule="exact"/>
        <w:rPr>
          <w:sz w:val="20"/>
          <w:szCs w:val="20"/>
          <w:color w:val="auto"/>
        </w:rPr>
      </w:pPr>
    </w:p>
    <w:p>
      <w:pPr>
        <w:ind w:left="40" w:right="559" w:firstLine="270"/>
        <w:spacing w:after="0" w:line="252" w:lineRule="auto"/>
        <w:rPr>
          <w:sz w:val="20"/>
          <w:szCs w:val="20"/>
          <w:color w:val="auto"/>
        </w:rPr>
      </w:pPr>
      <w:r>
        <w:rPr>
          <w:rFonts w:ascii="Arial" w:cs="Arial" w:eastAsia="Arial" w:hAnsi="Arial"/>
          <w:sz w:val="18"/>
          <w:szCs w:val="18"/>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101" w:lineRule="exact"/>
        <w:rPr>
          <w:sz w:val="20"/>
          <w:szCs w:val="20"/>
          <w:color w:val="auto"/>
        </w:rPr>
      </w:pPr>
    </w:p>
    <w:p>
      <w:pPr>
        <w:ind w:left="40" w:right="539" w:firstLine="270"/>
        <w:spacing w:after="0" w:line="252" w:lineRule="auto"/>
        <w:rPr>
          <w:sz w:val="20"/>
          <w:szCs w:val="20"/>
          <w:color w:val="auto"/>
        </w:rPr>
      </w:pPr>
      <w:r>
        <w:rPr>
          <w:rFonts w:ascii="Arial" w:cs="Arial" w:eastAsia="Arial" w:hAnsi="Arial"/>
          <w:sz w:val="18"/>
          <w:szCs w:val="18"/>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99" w:lineRule="exact"/>
        <w:rPr>
          <w:sz w:val="20"/>
          <w:szCs w:val="20"/>
          <w:color w:val="auto"/>
        </w:rPr>
      </w:pPr>
    </w:p>
    <w:p>
      <w:pPr>
        <w:ind w:left="40" w:right="559" w:firstLine="270"/>
        <w:spacing w:after="0" w:line="25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96" w:lineRule="exact"/>
        <w:rPr>
          <w:sz w:val="20"/>
          <w:szCs w:val="20"/>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judgment is enforceable in the state in which it was given;</w:t>
      </w:r>
    </w:p>
    <w:p>
      <w:pPr>
        <w:spacing w:after="0" w:line="117" w:lineRule="exact"/>
        <w:rPr>
          <w:rFonts w:ascii="Arial" w:cs="Arial" w:eastAsia="Arial" w:hAnsi="Arial"/>
          <w:sz w:val="18"/>
          <w:szCs w:val="18"/>
          <w:color w:val="auto"/>
        </w:rPr>
      </w:pPr>
    </w:p>
    <w:p>
      <w:pPr>
        <w:ind w:left="600" w:right="67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present his arguments and evidence;</w:t>
      </w:r>
    </w:p>
    <w:p>
      <w:pPr>
        <w:spacing w:after="0" w:line="88" w:lineRule="exact"/>
        <w:rPr>
          <w:rFonts w:ascii="Arial" w:cs="Arial" w:eastAsia="Arial" w:hAnsi="Arial"/>
          <w:sz w:val="18"/>
          <w:szCs w:val="18"/>
          <w:color w:val="auto"/>
        </w:rPr>
      </w:pPr>
    </w:p>
    <w:p>
      <w:pPr>
        <w:ind w:left="600" w:right="131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judgment and the enforcement of the judgment are not contrary to the law, public policy, security or sovereignty of the state of Israel;</w:t>
      </w:r>
    </w:p>
    <w:p>
      <w:pPr>
        <w:spacing w:after="0" w:line="88" w:lineRule="exact"/>
        <w:rPr>
          <w:rFonts w:ascii="Arial" w:cs="Arial" w:eastAsia="Arial" w:hAnsi="Arial"/>
          <w:sz w:val="18"/>
          <w:szCs w:val="18"/>
          <w:color w:val="auto"/>
        </w:rPr>
      </w:pPr>
    </w:p>
    <w:p>
      <w:pPr>
        <w:ind w:left="600" w:right="69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 and</w:t>
      </w:r>
    </w:p>
    <w:p>
      <w:pPr>
        <w:spacing w:after="0" w:line="88" w:lineRule="exact"/>
        <w:rPr>
          <w:rFonts w:ascii="Arial" w:cs="Arial" w:eastAsia="Arial" w:hAnsi="Arial"/>
          <w:sz w:val="18"/>
          <w:szCs w:val="18"/>
          <w:color w:val="auto"/>
        </w:rPr>
      </w:pPr>
    </w:p>
    <w:p>
      <w:pPr>
        <w:ind w:left="600" w:right="619" w:hanging="322"/>
        <w:spacing w:after="0" w:line="262"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w:t>
      </w:r>
    </w:p>
    <w:p>
      <w:pPr>
        <w:spacing w:after="0" w:line="88" w:lineRule="exact"/>
        <w:rPr>
          <w:sz w:val="20"/>
          <w:szCs w:val="20"/>
          <w:color w:val="auto"/>
        </w:rPr>
      </w:pPr>
    </w:p>
    <w:p>
      <w:pPr>
        <w:ind w:left="40" w:right="599" w:firstLine="270"/>
        <w:spacing w:after="0" w:line="253" w:lineRule="auto"/>
        <w:rPr>
          <w:sz w:val="20"/>
          <w:szCs w:val="20"/>
          <w:color w:val="auto"/>
        </w:rPr>
      </w:pPr>
      <w:r>
        <w:rPr>
          <w:rFonts w:ascii="Arial" w:cs="Arial" w:eastAsia="Arial" w:hAnsi="Arial"/>
          <w:sz w:val="18"/>
          <w:szCs w:val="18"/>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200" w:lineRule="exact"/>
        <w:rPr>
          <w:sz w:val="20"/>
          <w:szCs w:val="20"/>
          <w:color w:val="auto"/>
        </w:rPr>
      </w:pPr>
    </w:p>
    <w:p>
      <w:pPr>
        <w:spacing w:after="0" w:line="3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96520</wp:posOffset>
            </wp:positionV>
            <wp:extent cx="6114415"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802" w:right="1440"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0718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352425</wp:posOffset>
            </wp:positionV>
            <wp:extent cx="60718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20"/>
        <w:spacing w:after="0"/>
        <w:rPr>
          <w:sz w:val="20"/>
          <w:szCs w:val="20"/>
          <w:color w:val="auto"/>
        </w:rPr>
      </w:pPr>
      <w:r>
        <w:rPr>
          <w:rFonts w:ascii="Arial" w:cs="Arial" w:eastAsia="Arial" w:hAnsi="Arial"/>
          <w:sz w:val="29"/>
          <w:szCs w:val="29"/>
          <w:b w:val="1"/>
          <w:bCs w:val="1"/>
          <w:color w:val="auto"/>
        </w:rPr>
        <w:t>6,175,000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88265</wp:posOffset>
            </wp:positionV>
            <wp:extent cx="1964055" cy="763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6405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720"/>
        <w:spacing w:after="0"/>
        <w:rPr>
          <w:sz w:val="20"/>
          <w:szCs w:val="20"/>
          <w:color w:val="auto"/>
        </w:rPr>
      </w:pPr>
      <w:r>
        <w:rPr>
          <w:rFonts w:ascii="Arial" w:cs="Arial" w:eastAsia="Arial" w:hAnsi="Arial"/>
          <w:sz w:val="36"/>
          <w:szCs w:val="36"/>
          <w:b w:val="1"/>
          <w:bCs w:val="1"/>
          <w:color w:val="auto"/>
        </w:rPr>
        <w:t>Alcobra Ltd.</w:t>
      </w:r>
    </w:p>
    <w:p>
      <w:pPr>
        <w:spacing w:after="0" w:line="215" w:lineRule="exact"/>
        <w:rPr>
          <w:sz w:val="20"/>
          <w:szCs w:val="20"/>
          <w:color w:val="auto"/>
        </w:rPr>
      </w:pPr>
    </w:p>
    <w:p>
      <w:pPr>
        <w:ind w:left="366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568325</wp:posOffset>
            </wp:positionV>
            <wp:extent cx="1852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3919"/>
        <w:spacing w:after="0"/>
        <w:rPr>
          <w:sz w:val="20"/>
          <w:szCs w:val="20"/>
          <w:color w:val="auto"/>
        </w:rPr>
      </w:pPr>
      <w:r>
        <w:rPr>
          <w:rFonts w:ascii="Arial" w:cs="Arial" w:eastAsia="Arial" w:hAnsi="Arial"/>
          <w:sz w:val="20"/>
          <w:szCs w:val="20"/>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85725</wp:posOffset>
            </wp:positionV>
            <wp:extent cx="18522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522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20" w:lineRule="exact"/>
        <w:rPr>
          <w:sz w:val="20"/>
          <w:szCs w:val="20"/>
          <w:color w:val="auto"/>
        </w:rPr>
      </w:pPr>
    </w:p>
    <w:p>
      <w:pPr>
        <w:ind w:left="4180"/>
        <w:spacing w:after="0"/>
        <w:rPr>
          <w:sz w:val="20"/>
          <w:szCs w:val="20"/>
          <w:color w:val="auto"/>
        </w:rPr>
      </w:pPr>
      <w:r>
        <w:rPr>
          <w:rFonts w:ascii="Arial" w:cs="Arial" w:eastAsia="Arial" w:hAnsi="Arial"/>
          <w:sz w:val="29"/>
          <w:szCs w:val="29"/>
          <w:b w:val="1"/>
          <w:bCs w:val="1"/>
          <w:color w:val="auto"/>
        </w:rPr>
        <w:t>Jefferies</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9"/>
          <w:szCs w:val="29"/>
          <w:b w:val="1"/>
          <w:bCs w:val="1"/>
          <w:color w:val="auto"/>
        </w:rPr>
        <w:t>Barclays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Co-Managers</w:t>
      </w:r>
    </w:p>
    <w:p>
      <w:pPr>
        <w:spacing w:after="0" w:line="212"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Oppenheimer &amp; Co.</w:t>
      </w:r>
    </w:p>
    <w:p>
      <w:pPr>
        <w:spacing w:after="0" w:line="206"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Cantor Fitzgerald &amp; Co.</w:t>
      </w:r>
    </w:p>
    <w:p>
      <w:pPr>
        <w:spacing w:after="0" w:line="206"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Roth Capital Partners</w:t>
      </w:r>
    </w:p>
    <w:p>
      <w:pPr>
        <w:spacing w:after="0" w:line="200" w:lineRule="exact"/>
        <w:rPr>
          <w:sz w:val="20"/>
          <w:szCs w:val="20"/>
          <w:color w:val="auto"/>
        </w:rPr>
      </w:pPr>
    </w:p>
    <w:p>
      <w:pPr>
        <w:spacing w:after="0" w:line="254"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November 13,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782320</wp:posOffset>
            </wp:positionV>
            <wp:extent cx="6114415"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0718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66040</wp:posOffset>
            </wp:positionV>
            <wp:extent cx="60718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sectPr>
      <w:pgSz w:w="11900" w:h="16838" w:orient="portrait"/>
      <w:cols w:equalWidth="0" w:num="1">
        <w:col w:w="10079"/>
      </w:cols>
      <w:pgMar w:left="380" w:top="80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amp;"/>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2019-12-09T02:02:58Z</dcterms:created>
  <dcterms:modified xsi:type="dcterms:W3CDTF">2019-12-09T02:02:58Z</dcterms:modified>
</cp:coreProperties>
</file>