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212529"/>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12529"/>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12529"/>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12529"/>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12529"/>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12529"/>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12529"/>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12529"/>
        </w:rPr>
        <w:t>Date of Report (Date of earliest event reported): October 22, 2025</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212529"/>
        </w:rPr>
        <w:t>ARCTURUS THERAPEUTICS HOLDINGS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12529"/>
        </w:rPr>
        <w:t>(Exact name of registrant as specified in its charter)</w:t>
      </w:r>
    </w:p>
    <w:p>
      <w:pPr>
        <w:spacing w:after="0" w:line="134" w:lineRule="exact"/>
        <w:rPr>
          <w:sz w:val="24"/>
          <w:szCs w:val="24"/>
          <w:color w:val="auto"/>
        </w:rPr>
      </w:pPr>
    </w:p>
    <w:tbl>
      <w:tblPr>
        <w:tblLayout w:type="fixed"/>
        <w:tblInd w:w="1068" w:type="dxa"/>
        <w:tblCellMar>
          <w:top w:w="0" w:type="dxa"/>
          <w:left w:w="0" w:type="dxa"/>
          <w:bottom w:w="0" w:type="dxa"/>
          <w:right w:w="0" w:type="dxa"/>
        </w:tblCellMar>
      </w:tblPr>
      <w:tr>
        <w:trPr>
          <w:trHeight w:val="144"/>
        </w:trPr>
        <w:tc>
          <w:tcPr>
            <w:tcW w:w="2120" w:type="dxa"/>
            <w:vAlign w:val="bottom"/>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0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001-38942</w:t>
            </w:r>
          </w:p>
        </w:tc>
        <w:tc>
          <w:tcPr>
            <w:tcW w:w="1760" w:type="dxa"/>
            <w:vAlign w:val="bottom"/>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9"/>
              </w:rPr>
              <w:t>32-0595345</w:t>
            </w:r>
          </w:p>
        </w:tc>
      </w:tr>
      <w:tr>
        <w:trPr>
          <w:trHeight w:val="144"/>
        </w:trPr>
        <w:tc>
          <w:tcPr>
            <w:tcW w:w="2120" w:type="dxa"/>
            <w:vAlign w:val="bottom"/>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50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760" w:type="dxa"/>
            <w:vAlign w:val="bottom"/>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9"/>
        </w:trPr>
        <w:tc>
          <w:tcPr>
            <w:tcW w:w="2120" w:type="dxa"/>
            <w:vAlign w:val="bottom"/>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50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File Number)</w:t>
            </w:r>
          </w:p>
        </w:tc>
        <w:tc>
          <w:tcPr>
            <w:tcW w:w="1760" w:type="dxa"/>
            <w:vAlign w:val="bottom"/>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120" w:type="dxa"/>
            <w:vAlign w:val="bottom"/>
          </w:tcPr>
          <w:p>
            <w:pPr>
              <w:spacing w:after="0"/>
              <w:rPr>
                <w:sz w:val="23"/>
                <w:szCs w:val="23"/>
                <w:color w:val="auto"/>
              </w:rPr>
            </w:pPr>
          </w:p>
        </w:tc>
        <w:tc>
          <w:tcPr>
            <w:tcW w:w="50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212529"/>
                <w:w w:val="99"/>
              </w:rPr>
              <w:t>10628 Science Center Drive, Suite 250</w:t>
            </w:r>
          </w:p>
        </w:tc>
        <w:tc>
          <w:tcPr>
            <w:tcW w:w="1760" w:type="dxa"/>
            <w:vAlign w:val="bottom"/>
          </w:tcPr>
          <w:p>
            <w:pPr>
              <w:spacing w:after="0"/>
              <w:rPr>
                <w:sz w:val="23"/>
                <w:szCs w:val="23"/>
                <w:color w:val="auto"/>
              </w:rPr>
            </w:pPr>
          </w:p>
        </w:tc>
      </w:tr>
      <w:tr>
        <w:trPr>
          <w:trHeight w:val="144"/>
        </w:trPr>
        <w:tc>
          <w:tcPr>
            <w:tcW w:w="2120" w:type="dxa"/>
            <w:vAlign w:val="bottom"/>
          </w:tcPr>
          <w:p>
            <w:pPr>
              <w:spacing w:after="0"/>
              <w:rPr>
                <w:sz w:val="12"/>
                <w:szCs w:val="12"/>
                <w:color w:val="auto"/>
              </w:rPr>
            </w:pPr>
          </w:p>
        </w:tc>
        <w:tc>
          <w:tcPr>
            <w:tcW w:w="50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212529"/>
              </w:rPr>
              <w:t>San Diego, California 92121</w:t>
            </w:r>
          </w:p>
        </w:tc>
        <w:tc>
          <w:tcPr>
            <w:tcW w:w="1760" w:type="dxa"/>
            <w:vAlign w:val="bottom"/>
          </w:tcPr>
          <w:p>
            <w:pPr>
              <w:spacing w:after="0"/>
              <w:rPr>
                <w:sz w:val="12"/>
                <w:szCs w:val="12"/>
                <w:color w:val="auto"/>
              </w:rPr>
            </w:pPr>
          </w:p>
        </w:tc>
      </w:tr>
      <w:tr>
        <w:trPr>
          <w:trHeight w:val="159"/>
        </w:trPr>
        <w:tc>
          <w:tcPr>
            <w:tcW w:w="2120" w:type="dxa"/>
            <w:vAlign w:val="bottom"/>
          </w:tcPr>
          <w:p>
            <w:pPr>
              <w:spacing w:after="0"/>
              <w:rPr>
                <w:sz w:val="13"/>
                <w:szCs w:val="13"/>
                <w:color w:val="auto"/>
              </w:rPr>
            </w:pPr>
          </w:p>
        </w:tc>
        <w:tc>
          <w:tcPr>
            <w:tcW w:w="50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212529"/>
                <w:w w:val="99"/>
              </w:rPr>
              <w:t>(Address of principal executive offices)</w:t>
            </w:r>
          </w:p>
        </w:tc>
        <w:tc>
          <w:tcPr>
            <w:tcW w:w="1760" w:type="dxa"/>
            <w:vAlign w:val="bottom"/>
          </w:tcPr>
          <w:p>
            <w:pPr>
              <w:spacing w:after="0"/>
              <w:rPr>
                <w:sz w:val="13"/>
                <w:szCs w:val="13"/>
                <w:color w:val="auto"/>
              </w:rPr>
            </w:pPr>
          </w:p>
        </w:tc>
      </w:tr>
      <w:tr>
        <w:trPr>
          <w:trHeight w:val="288"/>
        </w:trPr>
        <w:tc>
          <w:tcPr>
            <w:tcW w:w="2120" w:type="dxa"/>
            <w:vAlign w:val="bottom"/>
          </w:tcPr>
          <w:p>
            <w:pPr>
              <w:spacing w:after="0"/>
              <w:rPr>
                <w:sz w:val="24"/>
                <w:szCs w:val="24"/>
                <w:color w:val="auto"/>
              </w:rPr>
            </w:pPr>
          </w:p>
        </w:tc>
        <w:tc>
          <w:tcPr>
            <w:tcW w:w="50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212529"/>
                <w:w w:val="99"/>
              </w:rPr>
              <w:t>Registrant’s telephone number, including area code: (858) 900-2660</w:t>
            </w:r>
          </w:p>
        </w:tc>
        <w:tc>
          <w:tcPr>
            <w:tcW w:w="1760" w:type="dxa"/>
            <w:vAlign w:val="bottom"/>
          </w:tcPr>
          <w:p>
            <w:pPr>
              <w:spacing w:after="0"/>
              <w:rPr>
                <w:sz w:val="24"/>
                <w:szCs w:val="24"/>
                <w:color w:val="auto"/>
              </w:rPr>
            </w:pPr>
          </w:p>
        </w:tc>
      </w:tr>
      <w:tr>
        <w:trPr>
          <w:trHeight w:val="288"/>
        </w:trPr>
        <w:tc>
          <w:tcPr>
            <w:tcW w:w="2120" w:type="dxa"/>
            <w:vAlign w:val="bottom"/>
          </w:tcPr>
          <w:p>
            <w:pPr>
              <w:spacing w:after="0"/>
              <w:rPr>
                <w:sz w:val="24"/>
                <w:szCs w:val="24"/>
                <w:color w:val="auto"/>
              </w:rPr>
            </w:pPr>
          </w:p>
        </w:tc>
        <w:tc>
          <w:tcPr>
            <w:tcW w:w="50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212529"/>
              </w:rPr>
              <w:t>(Former name or former address, if changed since last report)</w:t>
            </w:r>
          </w:p>
        </w:tc>
        <w:tc>
          <w:tcPr>
            <w:tcW w:w="1760" w:type="dxa"/>
            <w:vAlign w:val="bottom"/>
          </w:tcPr>
          <w:p>
            <w:pPr>
              <w:spacing w:after="0"/>
              <w:rPr>
                <w:sz w:val="24"/>
                <w:szCs w:val="24"/>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212529"/>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212529"/>
              </w:rPr>
              <w:t>Securities registered pursuant to Section 12(b) of the Act:</w:t>
            </w: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40" w:type="dxa"/>
            <w:vAlign w:val="bottom"/>
          </w:tcPr>
          <w:p>
            <w:pPr>
              <w:spacing w:after="0"/>
              <w:rPr>
                <w:sz w:val="13"/>
                <w:szCs w:val="13"/>
                <w:color w:val="auto"/>
              </w:rPr>
            </w:pPr>
          </w:p>
        </w:tc>
      </w:tr>
      <w:tr>
        <w:trPr>
          <w:trHeight w:val="273"/>
        </w:trPr>
        <w:tc>
          <w:tcPr>
            <w:tcW w:w="4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3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4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120" w:type="dxa"/>
            <w:vAlign w:val="bottom"/>
          </w:tcPr>
          <w:p>
            <w:pPr>
              <w:spacing w:after="0"/>
              <w:rPr>
                <w:sz w:val="12"/>
                <w:szCs w:val="12"/>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ARCT</w:t>
            </w:r>
          </w:p>
        </w:tc>
        <w:tc>
          <w:tcPr>
            <w:tcW w:w="120" w:type="dxa"/>
            <w:vAlign w:val="bottom"/>
          </w:tcPr>
          <w:p>
            <w:pPr>
              <w:spacing w:after="0"/>
              <w:rPr>
                <w:sz w:val="12"/>
                <w:szCs w:val="12"/>
                <w:color w:val="auto"/>
              </w:rPr>
            </w:pPr>
          </w:p>
        </w:tc>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118"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212529"/>
        </w:rPr>
        <w:t xml:space="preserve">Emerging growth company </w:t>
      </w:r>
      <w:r>
        <w:rPr>
          <w:rFonts w:ascii="MS PGothic" w:cs="MS PGothic" w:eastAsia="MS PGothic" w:hAnsi="MS PGothic"/>
          <w:sz w:val="12"/>
          <w:szCs w:val="12"/>
          <w:color w:val="212529"/>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On October 22, 2025, Arcturus Therapeutics Holdings Inc. (the “Company” or “Arcturus”), published a corporate presentation regarding LUNAR-CF (ARCT-032) Interim Phase 2 results (the “CF Results”) on the Company’s website (the “Presentation”). A copy of the Presentation is furnished as Exhibit 99.1 to this Current Report on Form 8-K.</w:t>
      </w:r>
    </w:p>
    <w:p>
      <w:pPr>
        <w:spacing w:after="0" w:line="11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and Exhibit 99.1 attached hereto, shall not be deemed “filed” for purposes of Section 18 of the Securities Exchange Act of 1934, as amended, or otherwise subject to the liabilities of that section or Sections 11 and 12(a)(2) of the Securities Act of 1933, as amended. The information contained in this Item 7.01, and in the Presentation attached as Exhibit 99.1 to this Current Report on Form 8-K, shall not be incorporated by reference into any filing with the Securities and Exchange Commission (the “SEC”) made by the Company, whether made before or after the date hereof, regardless of any general incorporation language in such filing.</w:t>
      </w:r>
    </w:p>
    <w:p>
      <w:pPr>
        <w:spacing w:after="0" w:line="11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2"/>
          <w:szCs w:val="12"/>
          <w:b w:val="1"/>
          <w:bCs w:val="1"/>
          <w:color w:val="auto"/>
        </w:rPr>
        <w:t>Other Events.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Events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Release of Data</w:t>
      </w:r>
    </w:p>
    <w:p>
      <w:pPr>
        <w:spacing w:after="0" w:line="154"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On October 22, 2025, the Company announced interim results from its ongoing Phase 2 clinical trial of ARCT-032, an investigational inhaled mRNA therapy for cystic fibrosis (CF). A copy of the press release (the "Press Release") announcing the interim results is filed as Exhibit 99.2 to this Current Report on Form 8-K and the information therein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154"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On September 23, 2025, the Company filed a lawsuit against AbbVie Inc., Capstan Therapeutics, Inc. and other defendants in the United States District Court for the Southern District of California, asserting claims for trade secret misappropriation and breach of contract. The current deadline for the defendants to respond to the complaint is December 1, 2025. The Court has not set a case schedule.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Business Updates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CSL Seqirus MAA</w:t>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As previously announced, the Company has partnered with Seqirus, Inc. (“CSL Seqirus”), a part of CSL Limited and one of the world’s leading influenza vaccine providers, on the development and commercialization of mRNA vaccines for COVID-19, influenza and certain other infectious diseases. In June 2025, CSL Seqirus submitted a marketing authorization application (“MAA”) to the UK Medicines and Healthcare Products Regulatory Agency (MHRA) for KOSTAIVE® (“KOSTAIVE”), the world’s first approved self-amplifying messenger RNA vaccine for individuals 18 years and older. Although there can be no assurances, approval of the MAA is expected in the first quarter of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KOSTAIVE Regulatory Updates</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On September 5, 2025, the week prior to the planned Biologics License Application (“BLA”) submission related to KOSTAIVE, the U.S. Food and Drug Administration requested that the Company delay its submission of the BLA filing based on the FDA’s expectation of providing additional advice. On October 14, 2025, the FDA informed the Company that, although the FDA had previously agreed that the Company’s proposed data package could support a single-dose indication, upon further consideration it finds that additional data from a clinical endpoint efficacy study will be needed to align with the current COVID-19 vaccine regulatory framework requirements published in The New England Journal of Medicine in May 2025. The Company and CSL Seqirus are evaluating the new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1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28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r>
              <w:rPr>
                <w:rFonts w:ascii="Times New Roman" w:cs="Times New Roman" w:eastAsia="Times New Roman" w:hAnsi="Times New Roman"/>
                <w:sz w:val="12"/>
                <w:szCs w:val="12"/>
                <w:color w:val="auto"/>
              </w:rPr>
              <w:t>.</w:t>
            </w:r>
          </w:p>
        </w:tc>
      </w:tr>
      <w:tr>
        <w:trPr>
          <w:trHeight w:val="288"/>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288"/>
        </w:trPr>
        <w:tc>
          <w:tcPr>
            <w:tcW w:w="102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1020" w:type="dxa"/>
            <w:vAlign w:val="bottom"/>
          </w:tcPr>
          <w:p>
            <w:pPr>
              <w:jc w:val="center"/>
              <w:ind w:left="160"/>
              <w:spacing w:after="0" w:line="106" w:lineRule="exact"/>
              <w:rPr>
                <w:sz w:val="20"/>
                <w:szCs w:val="20"/>
                <w:color w:val="auto"/>
              </w:rPr>
            </w:pPr>
            <w:r>
              <w:rPr>
                <w:rFonts w:ascii="Times New Roman" w:cs="Times New Roman" w:eastAsia="Times New Roman" w:hAnsi="Times New Roman"/>
                <w:sz w:val="12"/>
                <w:szCs w:val="12"/>
                <w:color w:val="auto"/>
                <w:w w:val="95"/>
              </w:rPr>
              <w:t>99.1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Borders>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rPr>
              <w:t>Presentation dated October 22, 2025</w:t>
            </w:r>
          </w:p>
        </w:tc>
        <w:tc>
          <w:tcPr>
            <w:tcW w:w="8140" w:type="dxa"/>
            <w:vAlign w:val="bottom"/>
          </w:tcPr>
          <w:p>
            <w:pPr>
              <w:spacing w:after="0"/>
              <w:rPr>
                <w:sz w:val="9"/>
                <w:szCs w:val="9"/>
                <w:color w:val="auto"/>
              </w:rPr>
            </w:pPr>
          </w:p>
        </w:tc>
      </w:tr>
      <w:tr>
        <w:trPr>
          <w:trHeight w:val="124"/>
        </w:trPr>
        <w:tc>
          <w:tcPr>
            <w:tcW w:w="1020" w:type="dxa"/>
            <w:vAlign w:val="bottom"/>
          </w:tcPr>
          <w:p>
            <w:pPr>
              <w:jc w:val="center"/>
              <w:ind w:left="160"/>
              <w:spacing w:after="0" w:line="124" w:lineRule="exact"/>
              <w:rPr>
                <w:sz w:val="20"/>
                <w:szCs w:val="20"/>
                <w:color w:val="auto"/>
              </w:rPr>
            </w:pPr>
            <w:r>
              <w:rPr>
                <w:rFonts w:ascii="Times New Roman" w:cs="Times New Roman" w:eastAsia="Times New Roman" w:hAnsi="Times New Roman"/>
                <w:sz w:val="12"/>
                <w:szCs w:val="12"/>
                <w:color w:val="auto"/>
                <w:w w:val="95"/>
              </w:rPr>
              <w:t>99.2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4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Press Release dated October 22, 2025</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right w:val="single" w:sz="8" w:color="0000EE"/>
            </w:tcBorders>
            <w:shd w:val="clear" w:color="auto" w:fill="0000EE"/>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2"/>
          <w:szCs w:val="12"/>
          <w:color w:val="auto"/>
        </w:rPr>
        <w:t>Each of the Presentation, the Press Release, and this Current Report on Form 8-K contain forward-looking statements. These statements relate to future events and involve known and unknown risks, uncertainties and other factors which may cause our actual results, performance or achievements to be materially different from any future performances or achievements expressed or implied by the forward-looking statements. Each of these statements is based only on current information, assumptions and expectations that are inherently subject to change and involve a number of risks and uncertainties. Forward-looking statements include, but are not limited to, statements about: our strategy, future operations, collaborations, trends of clinical activity observed including reductions in mucus plugs and potential biological activity, the potential of ARCT-032 to address the underlying pathology of cystic fibrosis, the likelihood of success (including safety and efficacy) and promise of ARCT-032 and ARCT-154, the likelihood that clinical study results will be predictive of future clinical results, the likelihood that clinical data will be sufficient for regulatory approval, the ability to continue enrolling in the Phase 2 study of ARCT-032, the continued clinical development of ARCT-032 including the initiation and size of a third cohort in the CF study, plans to initiate a 12-week safety and preliminary efficacy study including the size and timing thereof, the continued determination of ARCT-032 to be generally safe and well tolerated including ongoing review of adverse effects the likelihood that any measure of clinical results will correlate with any other measure of clinical results, the likelihood of and timing for conducting any future clinical study, including a Phase 2b, the future submission of a BLA with the FDA related to ARCT-154, the timing of MAA approval of KOSTAIVE, and the design and scope of any future clinical study, the likelihood that clinical data will be sufficient for regulatory approval or completed in time to submit an application for regulatory approval within a particular timeframe, the anticipated timing for regulatory submissions, the potential administration regimen or dosage, and any statements other than statements of historical fact. In some cases, you can identify forward-looking statements by terms such as “may,” “will,” “should,” “could,” “would,” “expects,” “plans,” “anticipates,” “believes,” “estimates,” “projects,” “predicts,” “potential” and similar expressions (including the negative thereof) intended to identify forward looking statements. Arcturus may not actually achieve the plans, carry out the intentions or meet the expectations or projections disclosed in any forward-looking statements such as the foregoing, and you should not place undue reliance on such forward-looking statements. The forward-looking statements contained or implied in this presentation are subject to other risks and uncertainties, including those discussed under the heading "Risk Factors" in the Company’s most recent Annual Report on Form 10-K with the SEC and in other filings that the Company makes with the SEC. Except as otherwise required by law, we disclaim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238760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212529"/>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12529"/>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22, 2025</w:t>
            </w:r>
          </w:p>
        </w:tc>
        <w:tc>
          <w:tcPr>
            <w:tcW w:w="7400" w:type="dxa"/>
            <w:vAlign w:val="bottom"/>
            <w:gridSpan w:val="2"/>
          </w:tcPr>
          <w:p>
            <w:pPr>
              <w:ind w:left="2780"/>
              <w:spacing w:after="0"/>
              <w:rPr>
                <w:sz w:val="20"/>
                <w:szCs w:val="20"/>
                <w:color w:val="auto"/>
              </w:rPr>
            </w:pPr>
            <w:r>
              <w:rPr>
                <w:rFonts w:ascii="Times New Roman" w:cs="Times New Roman" w:eastAsia="Times New Roman" w:hAnsi="Times New Roman"/>
                <w:sz w:val="12"/>
                <w:szCs w:val="12"/>
                <w:b w:val="1"/>
                <w:bCs w:val="1"/>
                <w:color w:val="auto"/>
              </w:rPr>
              <w:t>Arcturus Therapeutics Holdings Inc.</w:t>
            </w:r>
          </w:p>
        </w:tc>
      </w:tr>
      <w:tr>
        <w:trPr>
          <w:trHeight w:val="432"/>
        </w:trPr>
        <w:tc>
          <w:tcPr>
            <w:tcW w:w="3900" w:type="dxa"/>
            <w:vAlign w:val="bottom"/>
          </w:tcPr>
          <w:p>
            <w:pPr>
              <w:spacing w:after="0"/>
              <w:rPr>
                <w:sz w:val="24"/>
                <w:szCs w:val="24"/>
                <w:color w:val="auto"/>
              </w:rPr>
            </w:pPr>
          </w:p>
        </w:tc>
        <w:tc>
          <w:tcPr>
            <w:tcW w:w="34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Joseph E. Payne</w:t>
            </w:r>
          </w:p>
        </w:tc>
      </w:tr>
      <w:tr>
        <w:trPr>
          <w:trHeight w:val="122"/>
        </w:trPr>
        <w:tc>
          <w:tcPr>
            <w:tcW w:w="3900" w:type="dxa"/>
            <w:vAlign w:val="bottom"/>
          </w:tcPr>
          <w:p>
            <w:pPr>
              <w:spacing w:after="0"/>
              <w:rPr>
                <w:sz w:val="10"/>
                <w:szCs w:val="10"/>
                <w:color w:val="auto"/>
              </w:rPr>
            </w:pPr>
          </w:p>
        </w:tc>
        <w:tc>
          <w:tcPr>
            <w:tcW w:w="3440" w:type="dxa"/>
            <w:vAlign w:val="bottom"/>
          </w:tcPr>
          <w:p>
            <w:pPr>
              <w:ind w:left="27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9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Joseph E. Payne</w:t>
            </w:r>
          </w:p>
        </w:tc>
      </w:tr>
      <w:tr>
        <w:trPr>
          <w:trHeight w:val="155"/>
        </w:trPr>
        <w:tc>
          <w:tcPr>
            <w:tcW w:w="3900" w:type="dxa"/>
            <w:vAlign w:val="bottom"/>
          </w:tcPr>
          <w:p>
            <w:pPr>
              <w:spacing w:after="0"/>
              <w:rPr>
                <w:sz w:val="13"/>
                <w:szCs w:val="13"/>
                <w:color w:val="auto"/>
              </w:rPr>
            </w:pPr>
          </w:p>
        </w:tc>
        <w:tc>
          <w:tcPr>
            <w:tcW w:w="34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88"/>
        </w:trPr>
        <w:tc>
          <w:tcPr>
            <w:tcW w:w="39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75" w:right="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366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Arcturus Therapeutics Provides Interim Phase 2 Data for Cystic Fibrosis (CF) Program</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ARCT-032 generally safe and well tolerated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Meaningful trends of clinical activity observed via high resolution CT scans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After only 28 days of treatment with ARCT-032 (10 mg), 4 out of 6 Class I CF participants exhibited encouraging reduction of mucus plug number and mucus volume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12-week study enrolling up to 20 CF participants planned to begin first half of 2026</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SAN DIEGO--(BUSINESS WIRE)—Oct 21, 2025-- Arcturus Therapeutics Holdings Inc. (the “Company”, “Arcturus”, Nasdaq: ARCT), a commercial messenger RNA medicines company focused on the development of liver and respiratory rare disease therapeutics and infectious disease vaccines, today announced interim results from its ongoing Phase 2 clinical trial of ARCT-032, an investigational inhaled mRNA therapy for people with cystic fibrosis.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the second cohort of the study, six Class I CF adults received inhaled 10 mg doses of ARCT-032 daily over 28 days. The treatment was generally safe and well tolerated. Treatment related AEs that were identified in the single-dose Phase 1 study were also observed in some participants for the first few doses but ceased with continued dosing. One SAE occurred in a participant well after the end of the dosing period. The Data Monitoring Committee found no convincing evidence that the SAE is related to ARCT-032 and approved the study to proceed. The expanded third cohort is ongoing and aims to enroll up to six subjects to determine if there is a dose escalation response at 15 mg and if ARCT-032 continues to be generally safe and well tolerated. The Company intends to initiate a 12-week safety and preliminary efficacy study in up to 20 CF participants in the first half of 2026.</w:t>
      </w:r>
    </w:p>
    <w:p>
      <w:pPr>
        <w:spacing w:after="0" w:line="12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“We are particularly encouraged by the early signals of mucus plug reduction in Class I CF participants treated with ARCT-032 because Class I CF individuals do not produce CFTR and therefore do not respond to available CFTR modulator therapy,” said Juergen Froehlich, MD, Chief Medical Officer of Arcturus. “The AI-enhanced lung imaging data before and after treatment with ARCT-032, supported by exploratory FEV</w:t>
      </w:r>
      <w:r>
        <w:rPr>
          <w:rFonts w:ascii="Times New Roman" w:cs="Times New Roman" w:eastAsia="Times New Roman" w:hAnsi="Times New Roman"/>
          <w:sz w:val="19"/>
          <w:szCs w:val="19"/>
          <w:color w:val="auto"/>
          <w:vertAlign w:val="subscript"/>
        </w:rPr>
        <w:t>1</w:t>
      </w:r>
      <w:r>
        <w:rPr>
          <w:rFonts w:ascii="Times New Roman" w:cs="Times New Roman" w:eastAsia="Times New Roman" w:hAnsi="Times New Roman"/>
          <w:sz w:val="12"/>
          <w:szCs w:val="12"/>
          <w:color w:val="auto"/>
        </w:rPr>
        <w:t xml:space="preserve"> lung function data analysis in this short-term study, warrant further investigation at higher doses and longer treatment durations. We look forward to initiating our 12-week study in the first half of next year for this promising therapeutic intended to address significant unmet medical need.”</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early imaging data from this trial are encouraging,” said Dr. Harm Tiddens, Professor Emeritus of Pediatric Pulmonology at Erasmus Medical Center, and internationally respected expert in the field of imaging techniques and imaging outcome measures for chronic lung diseases such as cystic fibrosis. “Seeing a trend towards a reduction in mucus plugs and volume after only 28 days of treatment suggests biological activity. Mucus plug reduction can be followed with longer-term lung function improvements over multi-month treatment durations. These findings suggest that ARCT-032 may be addressing the underlying pathology of cystic fibrosis in a meaningful way.”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Exploratory Lung Function Analysis Suggests Potential Therapeutic Activity</w:t>
      </w:r>
    </w:p>
    <w:p>
      <w:pPr>
        <w:spacing w:after="0" w:line="126" w:lineRule="exact"/>
        <w:rPr>
          <w:sz w:val="20"/>
          <w:szCs w:val="20"/>
          <w:color w:val="auto"/>
        </w:rPr>
      </w:pPr>
    </w:p>
    <w:p>
      <w:pPr>
        <w:jc w:val="both"/>
        <w:spacing w:after="0" w:line="162" w:lineRule="exact"/>
        <w:rPr>
          <w:sz w:val="20"/>
          <w:szCs w:val="20"/>
          <w:color w:val="auto"/>
        </w:rPr>
      </w:pPr>
      <w:r>
        <w:rPr>
          <w:rFonts w:ascii="Times New Roman" w:cs="Times New Roman" w:eastAsia="Times New Roman" w:hAnsi="Times New Roman"/>
          <w:sz w:val="12"/>
          <w:szCs w:val="12"/>
          <w:color w:val="auto"/>
        </w:rPr>
        <w:t>Initial analysis comparing FEV</w:t>
      </w:r>
      <w:r>
        <w:rPr>
          <w:rFonts w:ascii="MS PGothic" w:cs="MS PGothic" w:eastAsia="MS PGothic" w:hAnsi="MS PGothic"/>
          <w:sz w:val="12"/>
          <w:szCs w:val="12"/>
          <w:color w:val="auto"/>
        </w:rPr>
        <w:t>₁</w:t>
      </w:r>
      <w:r>
        <w:rPr>
          <w:rFonts w:ascii="Times New Roman" w:cs="Times New Roman" w:eastAsia="Times New Roman" w:hAnsi="Times New Roman"/>
          <w:sz w:val="12"/>
          <w:szCs w:val="12"/>
          <w:color w:val="auto"/>
        </w:rPr>
        <w:t xml:space="preserve"> values from Day 1 to Day 28 did not demonstrate meaningful improvement. However, a post hoc exploratory analysis comparing the average of two pre-treatment FEV</w:t>
      </w:r>
      <w:r>
        <w:rPr>
          <w:rFonts w:ascii="MS PGothic" w:cs="MS PGothic" w:eastAsia="MS PGothic" w:hAnsi="MS PGothic"/>
          <w:sz w:val="12"/>
          <w:szCs w:val="12"/>
          <w:color w:val="auto"/>
        </w:rPr>
        <w:t>₁</w:t>
      </w:r>
      <w:r>
        <w:rPr>
          <w:rFonts w:ascii="Times New Roman" w:cs="Times New Roman" w:eastAsia="Times New Roman" w:hAnsi="Times New Roman"/>
          <w:sz w:val="12"/>
          <w:szCs w:val="12"/>
          <w:color w:val="auto"/>
        </w:rPr>
        <w:t xml:space="preserve"> measurements (screening and Day 1) for the baseline with the Day 42 post-treatment value, assuming an extended activity of functional CFTR protein triggered by daily ARCT-032 administration, suggests improvements in lung function, in four of six Class I CF participants with an average absolute increase of 3.8% and a relative increase of 5.1% in percent predicted FEV</w:t>
      </w:r>
      <w:r>
        <w:rPr>
          <w:rFonts w:ascii="MS PGothic" w:cs="MS PGothic" w:eastAsia="MS PGothic" w:hAnsi="MS PGothic"/>
          <w:sz w:val="12"/>
          <w:szCs w:val="12"/>
          <w:color w:val="auto"/>
        </w:rPr>
        <w:t>₁</w:t>
      </w:r>
      <w:r>
        <w:rPr>
          <w:rFonts w:ascii="Times New Roman" w:cs="Times New Roman" w:eastAsia="Times New Roman" w:hAnsi="Times New Roman"/>
          <w:sz w:val="12"/>
          <w:szCs w:val="12"/>
          <w:color w:val="auto"/>
        </w:rPr>
        <w:t xml:space="preserve"> (ppFEV</w:t>
      </w:r>
      <w:r>
        <w:rPr>
          <w:rFonts w:ascii="MS PGothic" w:cs="MS PGothic" w:eastAsia="MS PGothic" w:hAnsi="MS PGothic"/>
          <w:sz w:val="12"/>
          <w:szCs w:val="12"/>
          <w:color w:val="auto"/>
        </w:rPr>
        <w:t>₁</w:t>
      </w:r>
      <w:r>
        <w:rPr>
          <w:rFonts w:ascii="Times New Roman" w:cs="Times New Roman" w:eastAsia="Times New Roman" w:hAnsi="Times New Roman"/>
          <w:sz w:val="12"/>
          <w:szCs w:val="12"/>
          <w:color w:val="auto"/>
        </w:rPr>
        <w:t>). While the magnitude of these changes falls within the range of natural variability of FEV</w:t>
      </w:r>
      <w:r>
        <w:rPr>
          <w:rFonts w:ascii="Times New Roman" w:cs="Times New Roman" w:eastAsia="Times New Roman" w:hAnsi="Times New Roman"/>
          <w:sz w:val="19"/>
          <w:szCs w:val="19"/>
          <w:color w:val="auto"/>
          <w:vertAlign w:val="subscript"/>
        </w:rPr>
        <w:t>1</w:t>
      </w:r>
      <w:r>
        <w:rPr>
          <w:rFonts w:ascii="Times New Roman" w:cs="Times New Roman" w:eastAsia="Times New Roman" w:hAnsi="Times New Roman"/>
          <w:sz w:val="12"/>
          <w:szCs w:val="12"/>
          <w:color w:val="auto"/>
        </w:rPr>
        <w:t xml:space="preserve"> measurements, such exploratory analyses can provide valuable directional signals, though they warrant cautionary interpretation. Full FEV</w:t>
      </w:r>
      <w:r>
        <w:rPr>
          <w:rFonts w:ascii="Times New Roman" w:cs="Times New Roman" w:eastAsia="Times New Roman" w:hAnsi="Times New Roman"/>
          <w:sz w:val="19"/>
          <w:szCs w:val="19"/>
          <w:color w:val="auto"/>
          <w:vertAlign w:val="subscript"/>
        </w:rPr>
        <w:t>1</w:t>
      </w:r>
      <w:r>
        <w:rPr>
          <w:rFonts w:ascii="Times New Roman" w:cs="Times New Roman" w:eastAsia="Times New Roman" w:hAnsi="Times New Roman"/>
          <w:sz w:val="12"/>
          <w:szCs w:val="12"/>
          <w:color w:val="auto"/>
        </w:rPr>
        <w:t xml:space="preserve"> data tables are available on Arcturus’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color w:val="auto"/>
        </w:rPr>
        <w:t>AI-enhanced High Resolution Computed Tomography (HRCT) Data Show Encouraging Mucus Reduction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High resolution computed tomography (HRCT) scans, analyzed using FDA 501(k)-cleared AI technology from Thirona, revealed reductions in mucus burden in four of six Class I CF participants. Decrease in mucus plugs and mucus volume in four of six Class I CF participants is a meaningful trend indicative of ARCT-032 therapeutic activity. Before and after HRCT scan images of the four subjects that exhibited mucus plug reduction are available on Arcturus’ website.</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Subject Number</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Dose (mg)</w:t>
            </w:r>
          </w:p>
        </w:tc>
        <w:tc>
          <w:tcPr>
            <w:tcW w:w="4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Number of Mucus Plugs</w:t>
            </w:r>
          </w:p>
        </w:tc>
        <w:tc>
          <w:tcPr>
            <w:tcW w:w="48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2"/>
                <w:szCs w:val="12"/>
                <w:b w:val="1"/>
                <w:bCs w:val="1"/>
                <w:color w:val="auto"/>
              </w:rPr>
              <w:t>Mucus Volume (mL)</w:t>
            </w:r>
          </w:p>
        </w:tc>
      </w:tr>
      <w:tr>
        <w:trPr>
          <w:trHeight w:val="159"/>
        </w:trPr>
        <w:tc>
          <w:tcPr>
            <w:tcW w:w="1380" w:type="dxa"/>
            <w:vAlign w:val="bottom"/>
            <w:tcBorders>
              <w:left w:val="single" w:sz="8" w:color="auto"/>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 Change @ Day 28</w:t>
            </w:r>
          </w:p>
        </w:tc>
        <w:tc>
          <w:tcPr>
            <w:tcW w:w="4840" w:type="dxa"/>
            <w:vAlign w:val="bottom"/>
            <w:tcBorders>
              <w:bottom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2"/>
                <w:szCs w:val="12"/>
                <w:b w:val="1"/>
                <w:bCs w:val="1"/>
                <w:color w:val="auto"/>
              </w:rPr>
              <w:t>% Change @ Day 28</w:t>
            </w:r>
          </w:p>
        </w:tc>
      </w:tr>
      <w:tr>
        <w:trPr>
          <w:trHeight w:val="133"/>
        </w:trPr>
        <w:tc>
          <w:tcPr>
            <w:tcW w:w="1380" w:type="dxa"/>
            <w:vAlign w:val="bottom"/>
            <w:tcBorders>
              <w:left w:val="single" w:sz="8" w:color="auto"/>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2</w:t>
            </w:r>
          </w:p>
        </w:tc>
        <w:tc>
          <w:tcPr>
            <w:tcW w:w="90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10</w:t>
            </w:r>
          </w:p>
        </w:tc>
        <w:tc>
          <w:tcPr>
            <w:tcW w:w="41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-38.5%</w:t>
            </w:r>
          </w:p>
        </w:tc>
        <w:tc>
          <w:tcPr>
            <w:tcW w:w="48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-67.4%</w:t>
            </w:r>
          </w:p>
        </w:tc>
      </w:tr>
      <w:tr>
        <w:trPr>
          <w:trHeight w:val="133"/>
        </w:trPr>
        <w:tc>
          <w:tcPr>
            <w:tcW w:w="138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4</w:t>
            </w:r>
          </w:p>
        </w:tc>
        <w:tc>
          <w:tcPr>
            <w:tcW w:w="9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10</w:t>
            </w:r>
          </w:p>
        </w:tc>
        <w:tc>
          <w:tcPr>
            <w:tcW w:w="41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-34.9%</w:t>
            </w:r>
          </w:p>
        </w:tc>
        <w:tc>
          <w:tcPr>
            <w:tcW w:w="48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-27.5%</w:t>
            </w:r>
          </w:p>
        </w:tc>
      </w:tr>
      <w:tr>
        <w:trPr>
          <w:trHeight w:val="133"/>
        </w:trPr>
        <w:tc>
          <w:tcPr>
            <w:tcW w:w="1380" w:type="dxa"/>
            <w:vAlign w:val="bottom"/>
            <w:tcBorders>
              <w:left w:val="single" w:sz="8" w:color="auto"/>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6</w:t>
            </w:r>
          </w:p>
        </w:tc>
        <w:tc>
          <w:tcPr>
            <w:tcW w:w="90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10</w:t>
            </w:r>
          </w:p>
        </w:tc>
        <w:tc>
          <w:tcPr>
            <w:tcW w:w="41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-28.5%</w:t>
            </w:r>
          </w:p>
        </w:tc>
        <w:tc>
          <w:tcPr>
            <w:tcW w:w="48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7"/>
              </w:rPr>
              <w:t>-29.5%</w:t>
            </w:r>
          </w:p>
        </w:tc>
      </w:tr>
      <w:tr>
        <w:trPr>
          <w:trHeight w:val="133"/>
        </w:trPr>
        <w:tc>
          <w:tcPr>
            <w:tcW w:w="138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w:t>
            </w:r>
          </w:p>
        </w:tc>
        <w:tc>
          <w:tcPr>
            <w:tcW w:w="9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10</w:t>
            </w:r>
          </w:p>
        </w:tc>
        <w:tc>
          <w:tcPr>
            <w:tcW w:w="41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-9.1%</w:t>
            </w:r>
          </w:p>
        </w:tc>
        <w:tc>
          <w:tcPr>
            <w:tcW w:w="48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-6.1%</w:t>
            </w:r>
          </w:p>
        </w:tc>
      </w:tr>
      <w:tr>
        <w:trPr>
          <w:trHeight w:val="133"/>
        </w:trPr>
        <w:tc>
          <w:tcPr>
            <w:tcW w:w="1380" w:type="dxa"/>
            <w:vAlign w:val="bottom"/>
            <w:tcBorders>
              <w:left w:val="single" w:sz="8" w:color="auto"/>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w:t>
            </w:r>
          </w:p>
        </w:tc>
        <w:tc>
          <w:tcPr>
            <w:tcW w:w="90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10</w:t>
            </w:r>
          </w:p>
        </w:tc>
        <w:tc>
          <w:tcPr>
            <w:tcW w:w="418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23.8%</w:t>
            </w:r>
          </w:p>
        </w:tc>
        <w:tc>
          <w:tcPr>
            <w:tcW w:w="4840" w:type="dxa"/>
            <w:vAlign w:val="bottom"/>
            <w:tcBorders>
              <w:bottom w:val="single" w:sz="8" w:color="auto"/>
              <w:right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9.1%</w:t>
            </w:r>
          </w:p>
        </w:tc>
      </w:tr>
      <w:tr>
        <w:trPr>
          <w:trHeight w:val="133"/>
        </w:trPr>
        <w:tc>
          <w:tcPr>
            <w:tcW w:w="138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w:t>
            </w:r>
          </w:p>
        </w:tc>
        <w:tc>
          <w:tcPr>
            <w:tcW w:w="9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10</w:t>
            </w:r>
          </w:p>
        </w:tc>
        <w:tc>
          <w:tcPr>
            <w:tcW w:w="41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25.6%</w:t>
            </w:r>
          </w:p>
        </w:tc>
        <w:tc>
          <w:tcPr>
            <w:tcW w:w="48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60.9%</w:t>
            </w:r>
          </w:p>
        </w:tc>
      </w:tr>
    </w:tbl>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larger, longer-duration study is planned to substantiate the clinical relevance of these findings. The HRCT mucus reduction and supporting lung function data from the second cohort (10 mg), combined with additional data collected from the ongoing third cohort (15 mg) will guide dose selection, treatment duration, and endpoint strategy for future studies, including the conduct of a 12-week safety and preliminary efficacy clinical trial that is planned to begin in the first half of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Cystic Fibrosis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Cystic fibrosis is a life-shortening disease with a worldwide distribution. Mutations in the cystic fibrosis transmembrane conductance regulator (CFTR) gene result in a reduction or absence of CFTR protein and/or function in the airways, causing insufficient chloride transport to maintain airway surface homeostasis. CF mucus is more difficult to clear, thus clogging the airways and leading to infection, inflammation, respiratory failure, or other life-threatening complications. Currently approved CFTR modulator therapies are designed to increase function of the CFTR channel to help reduce symptoms yet are ineffective in some people with CF because of their underlying mutations.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ARCT-032</w:t>
      </w:r>
    </w:p>
    <w:p>
      <w:pPr>
        <w:spacing w:after="0" w:line="1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ARCT-032 has received Orphan Medicinal Product Designation from the European Medicines Agency (EMA) and Orphan Drug Designation from the U.S. Food and Drug Administration (FDA) to treat Cystic Fibrosis. ARCT-032 utilizes Arcturus' LUNAR</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lipid-mediated aerosolized platform to deliver CFTR messenger RNA to the lungs. Expression of a functional copy of the CFTR mRNA in the lungs of people with CF has the potential to restore CFTR activity and mitigate the downstream effects that cause progressive lung disease. The ARCT-032 program is supported by preclinical data in rodents, ferrets and primates, as well as demonstrating restoration of CFTR expression and function in human bronchial epithelial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241935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16" w:name="page17"/>
    <w:bookmarkEnd w:id="16"/>
    <w:p>
      <w:pPr>
        <w:ind w:left="8"/>
        <w:spacing w:after="0"/>
        <w:rPr>
          <w:sz w:val="20"/>
          <w:szCs w:val="20"/>
          <w:color w:val="auto"/>
        </w:rPr>
      </w:pPr>
      <w:r>
        <w:rPr>
          <w:rFonts w:ascii="Times New Roman" w:cs="Times New Roman" w:eastAsia="Times New Roman" w:hAnsi="Times New Roman"/>
          <w:sz w:val="12"/>
          <w:szCs w:val="12"/>
          <w:b w:val="1"/>
          <w:bCs w:val="1"/>
          <w:color w:val="auto"/>
        </w:rPr>
        <w:t>About Arcturus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Founded in 2013 and based in San Diego, California, Arcturus Therapeutics Holdings Inc. (Nasdaq: ARCT) is a commercial mRNA medicines and vaccines company with enabling technologies: (i) LUNAR® lipid-mediated delivery,</w:t>
      </w:r>
    </w:p>
    <w:p>
      <w:pPr>
        <w:spacing w:after="0" w:line="17" w:lineRule="exact"/>
        <w:rPr>
          <w:sz w:val="20"/>
          <w:szCs w:val="20"/>
          <w:color w:val="auto"/>
        </w:rPr>
      </w:pPr>
    </w:p>
    <w:p>
      <w:pPr>
        <w:jc w:val="both"/>
        <w:ind w:left="8" w:hanging="8"/>
        <w:spacing w:after="0" w:line="252" w:lineRule="auto"/>
        <w:tabs>
          <w:tab w:leader="none" w:pos="18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STARR® mRNA technology (sa-mRNA) and (iii) mRNA drug substance along with drug product manufacturing expertise. Arcturus developed KOSTAIVE®, the first self-amplifying messenger RNA (sa-mRNA) COVID vaccine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OTC deficiency and cystic fibrosis (CF),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500 patents and patent applications in the U.S., Europe, Japan, China, and other countries). For more information, visit www.ArcturusRx.com. In addition, please connect with us on X (formerly Twitter) and LinkedIn.</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2"/>
          <w:szCs w:val="12"/>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trends of clinical activity observed including reductions in mucus plugs and potential biological activity, the potential of ARCT-032 to address the underlying pathology of cystic fibrosis, the continued clinical development of ARCT-032 including the initiation and size of a third cohort in the CF study, plans to initiate a 12-week safety and preliminary efficacy study including the size and timing therefore, the continued determination of ARCT-032 to be generally safe and well tolerated including ongoing review of adverse events, the likelihood of success (including safety and efficacy) of ARCT-032,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Arcturus Therapeutics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Public Relations &amp; Investor Relations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Neda Safarzadeh</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VP, Head of IR/PR/Marketing</w:t>
      </w:r>
    </w:p>
    <w:p>
      <w:pPr>
        <w:spacing w:after="0" w:line="6" w:lineRule="exact"/>
        <w:rPr>
          <w:sz w:val="20"/>
          <w:szCs w:val="20"/>
          <w:color w:val="auto"/>
        </w:rPr>
      </w:pPr>
    </w:p>
    <w:p>
      <w:pPr>
        <w:ind w:left="288" w:hanging="288"/>
        <w:spacing w:after="0"/>
        <w:tabs>
          <w:tab w:leader="none" w:pos="28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900-2682</w:t>
      </w:r>
    </w:p>
    <w:p>
      <w:pPr>
        <w:spacing w:after="0" w:line="6"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308"/>
      </w:cols>
      <w:pgMar w:left="292" w:top="57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decimal"/>
      <w:start w:val="85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2025-10-22T06:55:09Z</dcterms:created>
  <dcterms:modified xsi:type="dcterms:W3CDTF">2025-10-22T06:55:09Z</dcterms:modified>
</cp:coreProperties>
</file>