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1" w:lineRule="exact"/>
        <w:rPr>
          <w:sz w:val="24"/>
          <w:szCs w:val="24"/>
          <w:color w:val="auto"/>
        </w:rPr>
      </w:pPr>
    </w:p>
    <w:p>
      <w:pPr>
        <w:ind w:left="3740" w:right="1740" w:hanging="3732"/>
        <w:spacing w:after="0" w:line="376" w:lineRule="auto"/>
        <w:tabs>
          <w:tab w:leader="none" w:pos="51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4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30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4" w:lineRule="exact"/>
        <w:rPr>
          <w:sz w:val="24"/>
          <w:szCs w:val="24"/>
          <w:color w:val="auto"/>
        </w:rPr>
      </w:pPr>
    </w:p>
    <w:tbl>
      <w:tblPr>
        <w:tblLayout w:type="fixed"/>
        <w:tblInd w:w="1820" w:type="dxa"/>
        <w:tblCellMar>
          <w:top w:w="0" w:type="dxa"/>
          <w:left w:w="0" w:type="dxa"/>
          <w:bottom w:w="0" w:type="dxa"/>
          <w:right w:w="0" w:type="dxa"/>
        </w:tblCellMar>
      </w:tblPr>
      <w:tr>
        <w:trPr>
          <w:trHeight w:val="149"/>
        </w:trPr>
        <w:tc>
          <w:tcPr>
            <w:tcW w:w="4180" w:type="dxa"/>
            <w:vAlign w:val="bottom"/>
          </w:tcPr>
          <w:p>
            <w:pPr>
              <w:jc w:val="center"/>
              <w:ind w:right="2017"/>
              <w:spacing w:after="0"/>
              <w:rPr>
                <w:sz w:val="20"/>
                <w:szCs w:val="20"/>
                <w:color w:val="auto"/>
              </w:rPr>
            </w:pPr>
            <w:r>
              <w:rPr>
                <w:rFonts w:ascii="Arial" w:cs="Arial" w:eastAsia="Arial" w:hAnsi="Arial"/>
                <w:sz w:val="13"/>
                <w:szCs w:val="13"/>
                <w:b w:val="1"/>
                <w:bCs w:val="1"/>
                <w:color w:val="auto"/>
                <w:w w:val="87"/>
              </w:rPr>
              <w:t>Delaware</w:t>
            </w:r>
          </w:p>
        </w:tc>
        <w:tc>
          <w:tcPr>
            <w:tcW w:w="3060" w:type="dxa"/>
            <w:vAlign w:val="bottom"/>
          </w:tcPr>
          <w:p>
            <w:pPr>
              <w:jc w:val="right"/>
              <w:ind w:right="117"/>
              <w:spacing w:after="0"/>
              <w:rPr>
                <w:sz w:val="20"/>
                <w:szCs w:val="20"/>
                <w:color w:val="auto"/>
              </w:rPr>
            </w:pPr>
            <w:r>
              <w:rPr>
                <w:rFonts w:ascii="Arial" w:cs="Arial" w:eastAsia="Arial" w:hAnsi="Arial"/>
                <w:sz w:val="13"/>
                <w:szCs w:val="13"/>
                <w:b w:val="1"/>
                <w:bCs w:val="1"/>
                <w:color w:val="auto"/>
              </w:rPr>
              <w:t>32-0595345</w:t>
            </w:r>
          </w:p>
        </w:tc>
      </w:tr>
      <w:tr>
        <w:trPr>
          <w:trHeight w:val="135"/>
        </w:trPr>
        <w:tc>
          <w:tcPr>
            <w:tcW w:w="4180" w:type="dxa"/>
            <w:vAlign w:val="bottom"/>
          </w:tcPr>
          <w:p>
            <w:pPr>
              <w:jc w:val="center"/>
              <w:ind w:right="201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1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80" w:type="dxa"/>
            <w:vAlign w:val="bottom"/>
          </w:tcPr>
          <w:p>
            <w:pPr>
              <w:jc w:val="center"/>
              <w:ind w:right="2037"/>
              <w:spacing w:after="0"/>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17"/>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180" w:type="dxa"/>
            <w:vAlign w:val="bottom"/>
          </w:tcPr>
          <w:p>
            <w:pPr>
              <w:jc w:val="center"/>
              <w:ind w:right="2037"/>
              <w:spacing w:after="0"/>
              <w:rPr>
                <w:sz w:val="20"/>
                <w:szCs w:val="20"/>
                <w:color w:val="auto"/>
              </w:rPr>
            </w:pPr>
            <w:r>
              <w:rPr>
                <w:rFonts w:ascii="Arial" w:cs="Arial" w:eastAsia="Arial" w:hAnsi="Arial"/>
                <w:sz w:val="13"/>
                <w:szCs w:val="13"/>
                <w:b w:val="1"/>
                <w:bCs w:val="1"/>
                <w:color w:val="auto"/>
                <w:w w:val="87"/>
              </w:rPr>
              <w:t>10628 Science Center Drive, Suite 250</w:t>
            </w:r>
          </w:p>
        </w:tc>
        <w:tc>
          <w:tcPr>
            <w:tcW w:w="3060" w:type="dxa"/>
            <w:vAlign w:val="bottom"/>
          </w:tcPr>
          <w:p>
            <w:pPr>
              <w:spacing w:after="0"/>
              <w:rPr>
                <w:sz w:val="20"/>
                <w:szCs w:val="20"/>
                <w:color w:val="auto"/>
              </w:rPr>
            </w:pPr>
          </w:p>
        </w:tc>
      </w:tr>
      <w:tr>
        <w:trPr>
          <w:trHeight w:val="135"/>
        </w:trPr>
        <w:tc>
          <w:tcPr>
            <w:tcW w:w="4180" w:type="dxa"/>
            <w:vAlign w:val="bottom"/>
          </w:tcPr>
          <w:p>
            <w:pPr>
              <w:jc w:val="center"/>
              <w:ind w:right="2037"/>
              <w:spacing w:after="0" w:line="135" w:lineRule="exact"/>
              <w:rPr>
                <w:sz w:val="20"/>
                <w:szCs w:val="20"/>
                <w:color w:val="auto"/>
              </w:rPr>
            </w:pPr>
            <w:r>
              <w:rPr>
                <w:rFonts w:ascii="Arial" w:cs="Arial" w:eastAsia="Arial" w:hAnsi="Arial"/>
                <w:sz w:val="13"/>
                <w:szCs w:val="13"/>
                <w:b w:val="1"/>
                <w:bCs w:val="1"/>
                <w:color w:val="auto"/>
                <w:w w:val="88"/>
              </w:rPr>
              <w:t>San Diego, California</w:t>
            </w:r>
          </w:p>
        </w:tc>
        <w:tc>
          <w:tcPr>
            <w:tcW w:w="306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92121</w:t>
            </w:r>
          </w:p>
        </w:tc>
      </w:tr>
      <w:tr>
        <w:trPr>
          <w:trHeight w:val="164"/>
        </w:trPr>
        <w:tc>
          <w:tcPr>
            <w:tcW w:w="4180" w:type="dxa"/>
            <w:vAlign w:val="bottom"/>
          </w:tcPr>
          <w:p>
            <w:pPr>
              <w:jc w:val="center"/>
              <w:ind w:right="203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17"/>
              <w:spacing w:after="0"/>
              <w:rPr>
                <w:sz w:val="20"/>
                <w:szCs w:val="20"/>
                <w:color w:val="auto"/>
              </w:rPr>
            </w:pPr>
            <w:r>
              <w:rPr>
                <w:rFonts w:ascii="Arial" w:cs="Arial" w:eastAsia="Arial" w:hAnsi="Arial"/>
                <w:sz w:val="13"/>
                <w:szCs w:val="13"/>
                <w:b w:val="1"/>
                <w:bCs w:val="1"/>
                <w:color w:val="auto"/>
                <w:w w:val="90"/>
              </w:rPr>
              <w:t>(Zip Code)</w:t>
            </w:r>
          </w:p>
        </w:tc>
      </w:tr>
    </w:tbl>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1"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ARCT</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216" w:lineRule="exact"/>
        <w:rPr>
          <w:sz w:val="24"/>
          <w:szCs w:val="24"/>
          <w:color w:val="auto"/>
        </w:rPr>
      </w:pPr>
    </w:p>
    <w:p>
      <w:pPr>
        <w:ind w:right="180" w:firstLine="60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73" w:lineRule="exact"/>
        <w:rPr>
          <w:sz w:val="24"/>
          <w:szCs w:val="24"/>
          <w:color w:val="auto"/>
        </w:rPr>
      </w:pPr>
    </w:p>
    <w:p>
      <w:pPr>
        <w:ind w:right="80" w:firstLine="608"/>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9" w:lineRule="exact"/>
        <w:rPr>
          <w:sz w:val="24"/>
          <w:szCs w:val="24"/>
          <w:color w:val="auto"/>
        </w:rPr>
      </w:pPr>
    </w:p>
    <w:p>
      <w:pPr>
        <w:jc w:val="both"/>
        <w:ind w:right="44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27" w:lineRule="exact"/>
        <w:rPr>
          <w:sz w:val="24"/>
          <w:szCs w:val="24"/>
          <w:color w:val="auto"/>
        </w:rPr>
      </w:pPr>
    </w:p>
    <w:p>
      <w:pPr>
        <w:ind w:right="16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0" w:lineRule="exact"/>
        <w:rPr>
          <w:sz w:val="24"/>
          <w:szCs w:val="24"/>
          <w:color w:val="auto"/>
        </w:rPr>
      </w:pPr>
    </w:p>
    <w:p>
      <w:pPr>
        <w:ind w:left="620" w:right="220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November 6, 2019, the registrant had 15,125,293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223520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700" w:type="dxa"/>
            <w:vAlign w:val="bottom"/>
            <w:gridSpan w:val="21"/>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40" w:type="dxa"/>
            <w:vAlign w:val="bottom"/>
            <w:tcBorders>
              <w:top w:val="single" w:sz="8" w:color="0000EE"/>
            </w:tcBorders>
            <w:gridSpan w:val="4"/>
          </w:tcPr>
          <w:p>
            <w:pPr>
              <w:spacing w:after="0"/>
              <w:rPr>
                <w:sz w:val="18"/>
                <w:szCs w:val="18"/>
                <w:color w:val="auto"/>
              </w:rPr>
            </w:pPr>
          </w:p>
        </w:tc>
        <w:tc>
          <w:tcPr>
            <w:tcW w:w="746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2019 and December 31, 2018</w:t>
              </w:r>
            </w:hyperlink>
          </w:p>
        </w:tc>
        <w:tc>
          <w:tcPr>
            <w:tcW w:w="312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00" w:type="dxa"/>
            <w:vAlign w:val="bottom"/>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nine months ended September 30, 2019</w:t>
              </w:r>
            </w:hyperlink>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2018</w:t>
              </w:r>
            </w:hyperlink>
          </w:p>
        </w:tc>
        <w:tc>
          <w:tcPr>
            <w:tcW w:w="8980" w:type="dxa"/>
            <w:vAlign w:val="bottom"/>
            <w:tcBorders>
              <w:top w:val="single" w:sz="8" w:color="0000EE"/>
            </w:tcBorders>
            <w:gridSpan w:val="16"/>
          </w:tcPr>
          <w:p>
            <w:pPr>
              <w:spacing w:after="0"/>
              <w:rPr>
                <w:sz w:val="17"/>
                <w:szCs w:val="17"/>
                <w:color w:val="auto"/>
              </w:rPr>
            </w:pPr>
          </w:p>
        </w:tc>
        <w:tc>
          <w:tcPr>
            <w:tcW w:w="6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00" w:type="dxa"/>
            <w:vAlign w:val="bottom"/>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Stockholders’ Equity for the three and nine months ended September 30, 2019 and</w:t>
              </w:r>
            </w:hyperlink>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2019 and 2018</w:t>
              </w:r>
            </w:hyperlink>
          </w:p>
        </w:tc>
        <w:tc>
          <w:tcPr>
            <w:tcW w:w="186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0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34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792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8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OTHER INFORMATION</w:t>
              </w:r>
            </w:hyperlink>
          </w:p>
        </w:tc>
        <w:tc>
          <w:tcPr>
            <w:tcW w:w="782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8"/>
                <w:szCs w:val="18"/>
                <w:color w:val="auto"/>
              </w:rPr>
            </w:pPr>
          </w:p>
        </w:tc>
        <w:tc>
          <w:tcPr>
            <w:tcW w:w="838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94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40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U.S. dollars in thousands, except par value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74,172</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79,408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87,215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4,013</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51,320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260"/>
              <w:spacing w:after="0"/>
              <w:rPr>
                <w:sz w:val="20"/>
                <w:szCs w:val="20"/>
                <w:color w:val="auto"/>
              </w:rPr>
            </w:pPr>
            <w:r>
              <w:rPr>
                <w:rFonts w:ascii="Arial" w:cs="Arial" w:eastAsia="Arial" w:hAnsi="Arial"/>
                <w:sz w:val="18"/>
                <w:szCs w:val="18"/>
                <w:color w:val="auto"/>
              </w:rPr>
              <w:t>Common stock: $0.001 par value; 30,000 shares authorized; 15,126 issued and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80"/>
              <w:spacing w:after="0"/>
              <w:rPr>
                <w:sz w:val="20"/>
                <w:szCs w:val="20"/>
                <w:color w:val="auto"/>
              </w:rPr>
            </w:pPr>
            <w:r>
              <w:rPr>
                <w:rFonts w:ascii="Arial" w:cs="Arial" w:eastAsia="Arial" w:hAnsi="Arial"/>
                <w:sz w:val="18"/>
                <w:szCs w:val="18"/>
                <w:color w:val="auto"/>
              </w:rPr>
              <w:t>outstanding at September 30, 2019; NIS 0.07 par value; 30,000 shares authorized,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80"/>
              <w:spacing w:after="0"/>
              <w:rPr>
                <w:sz w:val="20"/>
                <w:szCs w:val="20"/>
                <w:color w:val="auto"/>
              </w:rPr>
            </w:pPr>
            <w:r>
              <w:rPr>
                <w:rFonts w:ascii="Arial" w:cs="Arial" w:eastAsia="Arial" w:hAnsi="Arial"/>
                <w:sz w:val="18"/>
                <w:szCs w:val="18"/>
                <w:color w:val="auto"/>
              </w:rPr>
              <w:t>10,762 issued, 10,719 outstanding and 43 held in treasury at December 31, 2018</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(60,679)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(44,874)</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line="270"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 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Gain (loss) from equity-method investment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Finance (expense) income, net</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(7,433)</w:t>
            </w: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(4,253)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(15,002)</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short-term investments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ARCTURUS THERAPEUTICS HOLDINGS INC. AND ITS SUBSIDIARIES</w:t>
      </w:r>
    </w:p>
    <w:p>
      <w:pPr>
        <w:jc w:val="center"/>
        <w:spacing w:after="0" w:line="216" w:lineRule="auto"/>
        <w:rPr>
          <w:sz w:val="20"/>
          <w:szCs w:val="20"/>
          <w:color w:val="auto"/>
        </w:rPr>
      </w:pPr>
      <w:r>
        <w:rPr>
          <w:rFonts w:ascii="Arial" w:cs="Arial" w:eastAsia="Arial" w:hAnsi="Arial"/>
          <w:sz w:val="13"/>
          <w:szCs w:val="13"/>
          <w:b w:val="1"/>
          <w:bCs w:val="1"/>
          <w:color w:val="auto"/>
        </w:rPr>
        <w:t>CONDENSED CONSOLIDATED STATEMENTS OF STOCKHOLDERS’ EQUITY</w:t>
      </w:r>
    </w:p>
    <w:p>
      <w:pPr>
        <w:jc w:val="center"/>
        <w:spacing w:after="0" w:line="217" w:lineRule="auto"/>
        <w:rPr>
          <w:sz w:val="20"/>
          <w:szCs w:val="20"/>
          <w:color w:val="auto"/>
        </w:rPr>
      </w:pPr>
      <w:r>
        <w:rPr>
          <w:rFonts w:ascii="Arial" w:cs="Arial" w:eastAsia="Arial" w:hAnsi="Arial"/>
          <w:sz w:val="13"/>
          <w:szCs w:val="13"/>
          <w:b w:val="1"/>
          <w:bCs w:val="1"/>
          <w:color w:val="auto"/>
        </w:rPr>
        <w:t>(unaudited)</w:t>
      </w:r>
    </w:p>
    <w:p>
      <w:pPr>
        <w:jc w:val="center"/>
        <w:spacing w:after="0"/>
        <w:rPr>
          <w:sz w:val="20"/>
          <w:szCs w:val="20"/>
          <w:color w:val="auto"/>
        </w:rPr>
      </w:pPr>
      <w:r>
        <w:rPr>
          <w:rFonts w:ascii="Arial" w:cs="Arial" w:eastAsia="Arial" w:hAnsi="Arial"/>
          <w:sz w:val="13"/>
          <w:szCs w:val="13"/>
          <w:color w:val="auto"/>
        </w:rPr>
        <w:t>U.S. dollars in thousands</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Three Months Ended September 30,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380"/>
              <w:spacing w:after="0" w:line="138" w:lineRule="exact"/>
              <w:rPr>
                <w:sz w:val="20"/>
                <w:szCs w:val="20"/>
                <w:color w:val="auto"/>
              </w:rPr>
            </w:pPr>
            <w:r>
              <w:rPr>
                <w:rFonts w:ascii="Arial" w:cs="Arial" w:eastAsia="Arial" w:hAnsi="Arial"/>
                <w:sz w:val="13"/>
                <w:szCs w:val="13"/>
                <w:b w:val="1"/>
                <w:bCs w:val="1"/>
                <w:color w:val="auto"/>
                <w:w w:val="88"/>
              </w:rPr>
              <w:t>Additional</w:t>
            </w:r>
          </w:p>
        </w:tc>
        <w:tc>
          <w:tcPr>
            <w:tcW w:w="1300" w:type="dxa"/>
            <w:vAlign w:val="bottom"/>
            <w:tcBorders>
              <w:top w:val="single" w:sz="8" w:color="auto"/>
            </w:tcBorders>
            <w:gridSpan w:val="3"/>
          </w:tcPr>
          <w:p>
            <w:pPr>
              <w:spacing w:after="0" w:line="138" w:lineRule="exact"/>
              <w:rPr>
                <w:sz w:val="20"/>
                <w:szCs w:val="20"/>
                <w:color w:val="auto"/>
              </w:rPr>
            </w:pPr>
            <w:r>
              <w:rPr>
                <w:rFonts w:ascii="Arial" w:cs="Arial" w:eastAsia="Arial" w:hAnsi="Arial"/>
                <w:sz w:val="13"/>
                <w:szCs w:val="13"/>
                <w:b w:val="1"/>
                <w:bCs w:val="1"/>
                <w:color w:val="auto"/>
              </w:rPr>
              <w:t>Accumulated Other</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7"/>
              <w:spacing w:after="0" w:line="138"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9"/>
          </w:tcPr>
          <w:p>
            <w:pPr>
              <w:ind w:left="62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(Loss) Gain</w:t>
            </w: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 June 30, 2019</w:t>
            </w:r>
          </w:p>
        </w:tc>
        <w:tc>
          <w:tcPr>
            <w:tcW w:w="96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13,120</w:t>
            </w: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gridSpan w:val="2"/>
            <w:shd w:val="clear" w:color="auto" w:fill="CFF0FC"/>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w:t>
            </w:r>
          </w:p>
        </w:tc>
        <w:tc>
          <w:tcPr>
            <w:tcW w:w="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gridSpan w:val="2"/>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74,851</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(53,246)</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21,618</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2"/>
                <w:szCs w:val="1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(7,433)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(7,433)</w:t>
            </w: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Share-based compensation</w:t>
            </w:r>
          </w:p>
        </w:tc>
        <w:tc>
          <w:tcPr>
            <w:tcW w:w="4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Issuance of common stock, net of issuance costs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1,995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21,276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21,278</w:t>
            </w:r>
          </w:p>
        </w:tc>
        <w:tc>
          <w:tcPr>
            <w:tcW w:w="100" w:type="dxa"/>
            <w:vAlign w:val="bottom"/>
          </w:tcPr>
          <w:p>
            <w:pPr>
              <w:spacing w:after="0"/>
              <w:rPr>
                <w:sz w:val="12"/>
                <w:szCs w:val="12"/>
                <w:color w:val="auto"/>
              </w:rPr>
            </w:pP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FF0FC"/>
          </w:tcPr>
          <w:p>
            <w:pPr>
              <w:spacing w:after="0"/>
              <w:rPr>
                <w:sz w:val="12"/>
                <w:szCs w:val="12"/>
                <w:color w:val="auto"/>
              </w:rPr>
            </w:pPr>
          </w:p>
        </w:tc>
      </w:tr>
      <w:tr>
        <w:trPr>
          <w:trHeight w:val="142"/>
        </w:trPr>
        <w:tc>
          <w:tcPr>
            <w:tcW w:w="4280" w:type="dxa"/>
            <w:vAlign w:val="bottom"/>
          </w:tcPr>
          <w:p>
            <w:pPr>
              <w:spacing w:after="0" w:line="143" w:lineRule="exact"/>
              <w:rPr>
                <w:sz w:val="20"/>
                <w:szCs w:val="20"/>
                <w:color w:val="auto"/>
              </w:rPr>
            </w:pPr>
            <w:r>
              <w:rPr>
                <w:rFonts w:ascii="Arial" w:cs="Arial" w:eastAsia="Arial" w:hAnsi="Arial"/>
                <w:sz w:val="13"/>
                <w:szCs w:val="13"/>
                <w:b w:val="1"/>
                <w:bCs w:val="1"/>
                <w:color w:val="auto"/>
              </w:rPr>
              <w:t>BALANCE – September 30, 2019</w:t>
            </w:r>
          </w:p>
        </w:tc>
        <w:tc>
          <w:tcPr>
            <w:tcW w:w="9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15,126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96,559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(60,679)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35,895</w:t>
            </w:r>
          </w:p>
        </w:tc>
        <w:tc>
          <w:tcPr>
            <w:tcW w:w="100" w:type="dxa"/>
            <w:vAlign w:val="bottom"/>
          </w:tcPr>
          <w:p>
            <w:pPr>
              <w:spacing w:after="0"/>
              <w:rPr>
                <w:sz w:val="12"/>
                <w:szCs w:val="12"/>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11"/>
          </w:tcPr>
          <w:p>
            <w:pPr>
              <w:ind w:left="220"/>
              <w:spacing w:after="0"/>
              <w:rPr>
                <w:sz w:val="20"/>
                <w:szCs w:val="20"/>
                <w:color w:val="auto"/>
              </w:rPr>
            </w:pPr>
            <w:r>
              <w:rPr>
                <w:rFonts w:ascii="Arial" w:cs="Arial" w:eastAsia="Arial" w:hAnsi="Arial"/>
                <w:sz w:val="13"/>
                <w:szCs w:val="13"/>
                <w:b w:val="1"/>
                <w:bCs w:val="1"/>
                <w:color w:val="auto"/>
                <w:w w:val="88"/>
              </w:rPr>
              <w:t>Three Months Ended September 30, 2018</w:t>
            </w: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37"/>
        </w:trPr>
        <w:tc>
          <w:tcPr>
            <w:tcW w:w="4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36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3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57"/>
              <w:spacing w:after="0" w:line="138"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9"/>
          </w:tcPr>
          <w:p>
            <w:pPr>
              <w:ind w:left="66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Stockholders’</w:t>
            </w:r>
          </w:p>
        </w:tc>
      </w:tr>
      <w:tr>
        <w:trPr>
          <w:trHeight w:val="153"/>
        </w:trPr>
        <w:tc>
          <w:tcPr>
            <w:tcW w:w="4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tcPr>
          <w:p>
            <w:pPr>
              <w:ind w:left="3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(Loss) Gain</w:t>
            </w: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 June 30, 2018</w:t>
            </w:r>
          </w:p>
        </w:tc>
        <w:tc>
          <w:tcPr>
            <w:tcW w:w="4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10,748</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gridSpan w:val="2"/>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214</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b w:val="1"/>
                <w:bCs w:val="1"/>
                <w:color w:val="auto"/>
              </w:rPr>
              <w:t>57,189</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(39,610)</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17,795</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2"/>
                <w:szCs w:val="1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(4,253)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(4,253)</w:t>
            </w: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Unrealized gain on short-term investments</w:t>
            </w:r>
          </w:p>
        </w:tc>
        <w:tc>
          <w:tcPr>
            <w:tcW w:w="4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40" w:type="dxa"/>
            <w:vAlign w:val="bottom"/>
          </w:tcPr>
          <w:p>
            <w:pPr>
              <w:spacing w:after="0"/>
              <w:rPr>
                <w:sz w:val="12"/>
                <w:szCs w:val="1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587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587</w:t>
            </w:r>
          </w:p>
        </w:tc>
        <w:tc>
          <w:tcPr>
            <w:tcW w:w="100" w:type="dxa"/>
            <w:vAlign w:val="bottom"/>
          </w:tcPr>
          <w:p>
            <w:pPr>
              <w:spacing w:after="0"/>
              <w:rPr>
                <w:sz w:val="12"/>
                <w:szCs w:val="12"/>
                <w:color w:val="auto"/>
              </w:rPr>
            </w:pP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FF0FC"/>
          </w:tcPr>
          <w:p>
            <w:pPr>
              <w:spacing w:after="0"/>
              <w:rPr>
                <w:sz w:val="12"/>
                <w:szCs w:val="12"/>
                <w:color w:val="auto"/>
              </w:rPr>
            </w:pPr>
          </w:p>
        </w:tc>
      </w:tr>
      <w:tr>
        <w:trPr>
          <w:trHeight w:val="142"/>
        </w:trPr>
        <w:tc>
          <w:tcPr>
            <w:tcW w:w="4280" w:type="dxa"/>
            <w:vAlign w:val="bottom"/>
          </w:tcPr>
          <w:p>
            <w:pPr>
              <w:spacing w:after="0" w:line="143" w:lineRule="exact"/>
              <w:rPr>
                <w:sz w:val="20"/>
                <w:szCs w:val="20"/>
                <w:color w:val="auto"/>
              </w:rPr>
            </w:pPr>
            <w:r>
              <w:rPr>
                <w:rFonts w:ascii="Arial" w:cs="Arial" w:eastAsia="Arial" w:hAnsi="Arial"/>
                <w:sz w:val="13"/>
                <w:szCs w:val="13"/>
                <w:b w:val="1"/>
                <w:bCs w:val="1"/>
                <w:color w:val="auto"/>
              </w:rPr>
              <w:t>BALANCE – September 30, 2018</w:t>
            </w:r>
          </w:p>
        </w:tc>
        <w:tc>
          <w:tcPr>
            <w:tcW w:w="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10,761</w:t>
            </w: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214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b w:val="1"/>
                <w:bCs w:val="1"/>
                <w:color w:val="auto"/>
              </w:rPr>
              <w:t>57,796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(43,863)</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14,151</w:t>
            </w:r>
          </w:p>
        </w:tc>
        <w:tc>
          <w:tcPr>
            <w:tcW w:w="100" w:type="dxa"/>
            <w:vAlign w:val="bottom"/>
          </w:tcPr>
          <w:p>
            <w:pPr>
              <w:spacing w:after="0"/>
              <w:rPr>
                <w:sz w:val="12"/>
                <w:szCs w:val="12"/>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11"/>
          </w:tcPr>
          <w:p>
            <w:pPr>
              <w:ind w:left="260"/>
              <w:spacing w:after="0"/>
              <w:rPr>
                <w:sz w:val="20"/>
                <w:szCs w:val="20"/>
                <w:color w:val="auto"/>
              </w:rPr>
            </w:pPr>
            <w:r>
              <w:rPr>
                <w:rFonts w:ascii="Arial" w:cs="Arial" w:eastAsia="Arial" w:hAnsi="Arial"/>
                <w:sz w:val="13"/>
                <w:szCs w:val="13"/>
                <w:b w:val="1"/>
                <w:bCs w:val="1"/>
                <w:color w:val="auto"/>
                <w:w w:val="89"/>
              </w:rPr>
              <w:t>Nine Months Ended September 30, 2019</w:t>
            </w: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37"/>
        </w:trPr>
        <w:tc>
          <w:tcPr>
            <w:tcW w:w="4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380"/>
              <w:spacing w:after="0" w:line="138" w:lineRule="exact"/>
              <w:rPr>
                <w:sz w:val="20"/>
                <w:szCs w:val="20"/>
                <w:color w:val="auto"/>
              </w:rPr>
            </w:pPr>
            <w:r>
              <w:rPr>
                <w:rFonts w:ascii="Arial" w:cs="Arial" w:eastAsia="Arial" w:hAnsi="Arial"/>
                <w:sz w:val="13"/>
                <w:szCs w:val="13"/>
                <w:b w:val="1"/>
                <w:bCs w:val="1"/>
                <w:color w:val="auto"/>
                <w:w w:val="88"/>
              </w:rPr>
              <w:t>Additional</w:t>
            </w:r>
          </w:p>
        </w:tc>
        <w:tc>
          <w:tcPr>
            <w:tcW w:w="13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57"/>
              <w:spacing w:after="0" w:line="138"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9"/>
          </w:tcPr>
          <w:p>
            <w:pPr>
              <w:ind w:left="62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(Loss) Gain</w:t>
            </w: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2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 December 31, 2018</w:t>
            </w:r>
          </w:p>
        </w:tc>
        <w:tc>
          <w:tcPr>
            <w:tcW w:w="96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10,762</w:t>
            </w: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gridSpan w:val="2"/>
            <w:shd w:val="clear" w:color="auto" w:fill="CFF0FC"/>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214</w:t>
            </w:r>
          </w:p>
        </w:tc>
        <w:tc>
          <w:tcPr>
            <w:tcW w:w="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gridSpan w:val="2"/>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58,302</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(44,874)</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13,642</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2"/>
                <w:szCs w:val="1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(15,002)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(15,002)</w:t>
            </w: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Treasury stock</w:t>
            </w:r>
          </w:p>
        </w:tc>
        <w:tc>
          <w:tcPr>
            <w:tcW w:w="110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40" w:type="dxa"/>
            <w:vAlign w:val="bottom"/>
          </w:tcPr>
          <w:p>
            <w:pPr>
              <w:spacing w:after="0"/>
              <w:rPr>
                <w:sz w:val="12"/>
                <w:szCs w:val="12"/>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1,185</w:t>
            </w:r>
          </w:p>
        </w:tc>
        <w:tc>
          <w:tcPr>
            <w:tcW w:w="100" w:type="dxa"/>
            <w:vAlign w:val="bottom"/>
          </w:tcPr>
          <w:p>
            <w:pPr>
              <w:spacing w:after="0"/>
              <w:rPr>
                <w:sz w:val="12"/>
                <w:szCs w:val="12"/>
                <w:color w:val="auto"/>
              </w:rPr>
            </w:pP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Redomiciliation share exchange</w:t>
            </w:r>
          </w:p>
        </w:tc>
        <w:tc>
          <w:tcPr>
            <w:tcW w:w="4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(203)</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Issuance of restricted common stock and option, net of issuance costs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15,543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15,545</w:t>
            </w:r>
          </w:p>
        </w:tc>
        <w:tc>
          <w:tcPr>
            <w:tcW w:w="100" w:type="dxa"/>
            <w:vAlign w:val="bottom"/>
          </w:tcPr>
          <w:p>
            <w:pPr>
              <w:spacing w:after="0"/>
              <w:rPr>
                <w:sz w:val="12"/>
                <w:szCs w:val="12"/>
                <w:color w:val="auto"/>
              </w:rPr>
            </w:pP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net of issuance costs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1,995</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21,276</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21,278</w:t>
            </w:r>
          </w:p>
        </w:tc>
        <w:tc>
          <w:tcPr>
            <w:tcW w:w="100" w:type="dxa"/>
            <w:vAlign w:val="bottom"/>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Effect of adoption of ASU 2014-09</w:t>
            </w:r>
          </w:p>
        </w:tc>
        <w:tc>
          <w:tcPr>
            <w:tcW w:w="4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(803)</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(803)</w:t>
            </w:r>
          </w:p>
        </w:tc>
      </w:tr>
      <w:tr>
        <w:trPr>
          <w:trHeight w:val="142"/>
        </w:trPr>
        <w:tc>
          <w:tcPr>
            <w:tcW w:w="4280" w:type="dxa"/>
            <w:vAlign w:val="bottom"/>
          </w:tcPr>
          <w:p>
            <w:pPr>
              <w:spacing w:after="0" w:line="143" w:lineRule="exact"/>
              <w:rPr>
                <w:sz w:val="20"/>
                <w:szCs w:val="20"/>
                <w:color w:val="auto"/>
              </w:rPr>
            </w:pPr>
            <w:r>
              <w:rPr>
                <w:rFonts w:ascii="Arial" w:cs="Arial" w:eastAsia="Arial" w:hAnsi="Arial"/>
                <w:sz w:val="13"/>
                <w:szCs w:val="13"/>
                <w:b w:val="1"/>
                <w:bCs w:val="1"/>
                <w:color w:val="auto"/>
              </w:rPr>
              <w:t>BALANCE – September 30, 2019</w:t>
            </w:r>
          </w:p>
        </w:tc>
        <w:tc>
          <w:tcPr>
            <w:tcW w:w="9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15,126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96,559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(60,679)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35,895</w:t>
            </w:r>
          </w:p>
        </w:tc>
        <w:tc>
          <w:tcPr>
            <w:tcW w:w="100" w:type="dxa"/>
            <w:vAlign w:val="bottom"/>
          </w:tcPr>
          <w:p>
            <w:pPr>
              <w:spacing w:after="0"/>
              <w:rPr>
                <w:sz w:val="12"/>
                <w:szCs w:val="12"/>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11"/>
          </w:tcPr>
          <w:p>
            <w:pPr>
              <w:ind w:left="260"/>
              <w:spacing w:after="0"/>
              <w:rPr>
                <w:sz w:val="20"/>
                <w:szCs w:val="20"/>
                <w:color w:val="auto"/>
              </w:rPr>
            </w:pPr>
            <w:r>
              <w:rPr>
                <w:rFonts w:ascii="Arial" w:cs="Arial" w:eastAsia="Arial" w:hAnsi="Arial"/>
                <w:sz w:val="13"/>
                <w:szCs w:val="13"/>
                <w:b w:val="1"/>
                <w:bCs w:val="1"/>
                <w:color w:val="auto"/>
                <w:w w:val="89"/>
              </w:rPr>
              <w:t>Nine Months Ended September 30, 2018</w:t>
            </w: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37"/>
        </w:trPr>
        <w:tc>
          <w:tcPr>
            <w:tcW w:w="4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36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3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57"/>
              <w:spacing w:after="0" w:line="138"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9"/>
          </w:tcPr>
          <w:p>
            <w:pPr>
              <w:ind w:left="660"/>
              <w:spacing w:after="0"/>
              <w:rPr>
                <w:sz w:val="20"/>
                <w:szCs w:val="20"/>
                <w:color w:val="auto"/>
              </w:rPr>
            </w:pPr>
            <w:r>
              <w:rPr>
                <w:rFonts w:ascii="Arial" w:cs="Arial" w:eastAsia="Arial" w:hAnsi="Arial"/>
                <w:sz w:val="13"/>
                <w:szCs w:val="13"/>
                <w:b w:val="1"/>
                <w:bCs w:val="1"/>
                <w:color w:val="auto"/>
              </w:rPr>
              <w:t>Common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Stockholders’</w:t>
            </w:r>
          </w:p>
        </w:tc>
      </w:tr>
      <w:tr>
        <w:trPr>
          <w:trHeight w:val="153"/>
        </w:trPr>
        <w:tc>
          <w:tcPr>
            <w:tcW w:w="42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(Loss) Gain</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FF0FC"/>
            </w:tcBorders>
          </w:tcPr>
          <w:p>
            <w:pPr>
              <w:spacing w:after="0"/>
              <w:rPr>
                <w:sz w:val="13"/>
                <w:szCs w:val="13"/>
                <w:color w:val="auto"/>
              </w:rPr>
            </w:pPr>
          </w:p>
        </w:tc>
      </w:tr>
      <w:tr>
        <w:trPr>
          <w:trHeight w:val="142"/>
        </w:trPr>
        <w:tc>
          <w:tcPr>
            <w:tcW w:w="428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 December 31, 2017</w:t>
            </w:r>
          </w:p>
        </w:tc>
        <w:tc>
          <w:tcPr>
            <w:tcW w:w="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10,699</w:t>
            </w:r>
          </w:p>
        </w:tc>
        <w:tc>
          <w:tcPr>
            <w:tcW w:w="100" w:type="dxa"/>
            <w:vAlign w:val="bottom"/>
            <w:shd w:val="clear" w:color="auto" w:fill="CFF0FC"/>
          </w:tcPr>
          <w:p>
            <w:pPr>
              <w:spacing w:after="0"/>
              <w:rPr>
                <w:sz w:val="12"/>
                <w:szCs w:val="12"/>
                <w:color w:val="auto"/>
              </w:rPr>
            </w:pPr>
          </w:p>
        </w:tc>
        <w:tc>
          <w:tcPr>
            <w:tcW w:w="120" w:type="dxa"/>
            <w:vAlign w:val="bottom"/>
            <w:gridSpan w:val="2"/>
            <w:shd w:val="clear" w:color="auto" w:fill="CFF0FC"/>
          </w:tcPr>
          <w:p>
            <w:pPr>
              <w:spacing w:after="0"/>
              <w:rPr>
                <w:sz w:val="12"/>
                <w:szCs w:val="12"/>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212</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4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b w:val="1"/>
                <w:bCs w:val="1"/>
                <w:color w:val="auto"/>
              </w:rPr>
              <w:t>56,674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220" w:type="dxa"/>
            <w:vAlign w:val="bottom"/>
            <w:gridSpan w:val="2"/>
            <w:shd w:val="clear" w:color="auto" w:fill="CFF0FC"/>
          </w:tcPr>
          <w:p>
            <w:pPr>
              <w:jc w:val="right"/>
              <w:ind w:right="180"/>
              <w:spacing w:after="0" w:line="143" w:lineRule="exact"/>
              <w:rPr>
                <w:sz w:val="20"/>
                <w:szCs w:val="20"/>
                <w:color w:val="auto"/>
              </w:rPr>
            </w:pPr>
            <w:r>
              <w:rPr>
                <w:rFonts w:ascii="Arial" w:cs="Arial" w:eastAsia="Arial" w:hAnsi="Arial"/>
                <w:sz w:val="13"/>
                <w:szCs w:val="13"/>
                <w:b w:val="1"/>
                <w:bCs w:val="1"/>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(23,089)</w:t>
            </w:r>
          </w:p>
        </w:tc>
        <w:tc>
          <w:tcPr>
            <w:tcW w:w="2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33,794</w:t>
            </w:r>
          </w:p>
        </w:tc>
        <w:tc>
          <w:tcPr>
            <w:tcW w:w="100" w:type="dxa"/>
            <w:vAlign w:val="bottom"/>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2"/>
                <w:szCs w:val="1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(20,774)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(20,774)</w:t>
            </w: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Unrealized gain on short-term investments</w:t>
            </w:r>
          </w:p>
        </w:tc>
        <w:tc>
          <w:tcPr>
            <w:tcW w:w="4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2"/>
                <w:szCs w:val="12"/>
                <w:color w:val="auto"/>
              </w:rPr>
            </w:pPr>
          </w:p>
        </w:tc>
      </w:tr>
      <w:tr>
        <w:trPr>
          <w:trHeight w:val="149"/>
        </w:trPr>
        <w:tc>
          <w:tcPr>
            <w:tcW w:w="42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40" w:type="dxa"/>
            <w:vAlign w:val="bottom"/>
          </w:tcPr>
          <w:p>
            <w:pPr>
              <w:spacing w:after="0"/>
              <w:rPr>
                <w:sz w:val="12"/>
                <w:szCs w:val="1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753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12"/>
                <w:szCs w:val="12"/>
                <w:color w:val="auto"/>
              </w:rPr>
            </w:pPr>
          </w:p>
        </w:tc>
      </w:tr>
      <w:tr>
        <w:trPr>
          <w:trHeight w:val="149"/>
        </w:trPr>
        <w:tc>
          <w:tcPr>
            <w:tcW w:w="42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369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100" w:type="dxa"/>
            <w:vAlign w:val="bottom"/>
            <w:shd w:val="clear" w:color="auto" w:fill="CFF0FC"/>
          </w:tcPr>
          <w:p>
            <w:pPr>
              <w:spacing w:after="0"/>
              <w:rPr>
                <w:sz w:val="12"/>
                <w:szCs w:val="12"/>
                <w:color w:val="auto"/>
              </w:rPr>
            </w:pPr>
          </w:p>
        </w:tc>
      </w:tr>
      <w:tr>
        <w:trPr>
          <w:trHeight w:val="142"/>
        </w:trPr>
        <w:tc>
          <w:tcPr>
            <w:tcW w:w="4280" w:type="dxa"/>
            <w:vAlign w:val="bottom"/>
          </w:tcPr>
          <w:p>
            <w:pPr>
              <w:spacing w:after="0" w:line="143" w:lineRule="exact"/>
              <w:rPr>
                <w:sz w:val="20"/>
                <w:szCs w:val="20"/>
                <w:color w:val="auto"/>
              </w:rPr>
            </w:pPr>
            <w:r>
              <w:rPr>
                <w:rFonts w:ascii="Arial" w:cs="Arial" w:eastAsia="Arial" w:hAnsi="Arial"/>
                <w:sz w:val="13"/>
                <w:szCs w:val="13"/>
                <w:b w:val="1"/>
                <w:bCs w:val="1"/>
                <w:color w:val="auto"/>
              </w:rPr>
              <w:t>BALANCE – September 30, 2018</w:t>
            </w:r>
          </w:p>
        </w:tc>
        <w:tc>
          <w:tcPr>
            <w:tcW w:w="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10,761</w:t>
            </w: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214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Arial" w:cs="Arial" w:eastAsia="Arial" w:hAnsi="Arial"/>
                <w:sz w:val="13"/>
                <w:szCs w:val="13"/>
                <w:b w:val="1"/>
                <w:bCs w:val="1"/>
                <w:color w:val="auto"/>
              </w:rPr>
              <w:t>57,796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(43,863)</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14,151</w:t>
            </w:r>
          </w:p>
        </w:tc>
        <w:tc>
          <w:tcPr>
            <w:tcW w:w="100" w:type="dxa"/>
            <w:vAlign w:val="bottom"/>
          </w:tcPr>
          <w:p>
            <w:pPr>
              <w:spacing w:after="0"/>
              <w:rPr>
                <w:sz w:val="12"/>
                <w:szCs w:val="12"/>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line="255"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jc w:val="center"/>
        <w:spacing w:after="0"/>
        <w:rPr>
          <w:sz w:val="20"/>
          <w:szCs w:val="20"/>
          <w:color w:val="auto"/>
        </w:rPr>
      </w:pPr>
      <w:r>
        <w:rPr>
          <w:rFonts w:ascii="Arial" w:cs="Arial" w:eastAsia="Arial" w:hAnsi="Arial"/>
          <w:sz w:val="14"/>
          <w:szCs w:val="14"/>
          <w:color w:val="auto"/>
        </w:rPr>
        <w:t>U.S. dollars in thousands</w:t>
      </w:r>
    </w:p>
    <w:p>
      <w:pPr>
        <w:spacing w:after="0" w:line="201"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Nine Months Ended September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(15,002)</w:t>
            </w:r>
          </w:p>
        </w:tc>
        <w:tc>
          <w:tcPr>
            <w:tcW w:w="940" w:type="dxa"/>
            <w:vAlign w:val="bottom"/>
            <w:gridSpan w:val="2"/>
          </w:tcPr>
          <w:p>
            <w:pPr>
              <w:jc w:val="right"/>
              <w:ind w:right="76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(20,774)</w:t>
            </w: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provided by (used in) operating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operating lease asset</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(Gain) loss from equity-method investment</w:t>
            </w:r>
          </w:p>
        </w:tc>
        <w:tc>
          <w:tcPr>
            <w:tcW w:w="9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 and other assets</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(1,973)</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10,941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(14,997)</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maturities of short-term investments</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30,211</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9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(9,093)</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(1,253)</w:t>
            </w: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19,865</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Proceeds from the issuance of restricted common stock and option, net of issuance costs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15,545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 net of issuance costs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21,278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36,873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37,463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36,816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25,238</w:t>
            </w:r>
          </w:p>
        </w:tc>
        <w:tc>
          <w:tcPr>
            <w:tcW w:w="120" w:type="dxa"/>
            <w:vAlign w:val="bottom"/>
            <w:shd w:val="clear" w:color="auto" w:fill="CFF0FC"/>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74,279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30,438</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4"/>
        </w:trPr>
        <w:tc>
          <w:tcPr>
            <w:tcW w:w="8000" w:type="dxa"/>
            <w:vAlign w:val="bottom"/>
          </w:tcPr>
          <w:p>
            <w:pPr>
              <w:spacing w:after="0"/>
              <w:rPr>
                <w:sz w:val="24"/>
                <w:szCs w:val="24"/>
                <w:color w:val="auto"/>
              </w:rPr>
            </w:pPr>
          </w:p>
        </w:tc>
        <w:tc>
          <w:tcPr>
            <w:tcW w:w="272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80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80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9"/>
                <w:szCs w:val="19"/>
                <w:color w:val="auto"/>
              </w:rPr>
            </w:pPr>
          </w:p>
        </w:tc>
        <w:tc>
          <w:tcPr>
            <w:tcW w:w="940" w:type="dxa"/>
            <w:vAlign w:val="bottom"/>
            <w:gridSpan w:val="2"/>
          </w:tcPr>
          <w:p>
            <w:pPr>
              <w:jc w:val="right"/>
              <w:ind w:right="76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5,868</w:t>
            </w:r>
          </w:p>
        </w:tc>
        <w:tc>
          <w:tcPr>
            <w:tcW w:w="280" w:type="dxa"/>
            <w:vAlign w:val="bottom"/>
          </w:tcPr>
          <w:p>
            <w:pPr>
              <w:spacing w:after="0"/>
              <w:rPr>
                <w:sz w:val="19"/>
                <w:szCs w:val="19"/>
                <w:color w:val="auto"/>
              </w:rPr>
            </w:pPr>
          </w:p>
        </w:tc>
        <w:tc>
          <w:tcPr>
            <w:tcW w:w="940" w:type="dxa"/>
            <w:vAlign w:val="bottom"/>
            <w:gridSpan w:val="2"/>
          </w:tcPr>
          <w:p>
            <w:pPr>
              <w:jc w:val="right"/>
              <w:ind w:right="76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of intangible assets for equity investment</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76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Release of repurchase liability for restricted shares</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76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76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left="260" w:right="270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6" w:lineRule="exact"/>
        <w:rPr>
          <w:sz w:val="20"/>
          <w:szCs w:val="20"/>
          <w:color w:val="auto"/>
        </w:rPr>
      </w:pPr>
    </w:p>
    <w:p>
      <w:pPr>
        <w:ind w:right="3560"/>
        <w:spacing w:after="0" w:line="378"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ind w:right="40" w:firstLine="518"/>
        <w:spacing w:after="0" w:line="264" w:lineRule="auto"/>
        <w:rPr>
          <w:sz w:val="20"/>
          <w:szCs w:val="20"/>
          <w:color w:val="auto"/>
        </w:rPr>
      </w:pPr>
      <w:r>
        <w:rPr>
          <w:rFonts w:ascii="Arial" w:cs="Arial" w:eastAsia="Arial" w:hAnsi="Arial"/>
          <w:sz w:val="18"/>
          <w:szCs w:val="18"/>
          <w:color w:val="auto"/>
        </w:rPr>
        <w:t>Arcturus Therapeutics Holdings Inc. (the “Company”) is a RNA medicines company focused on significant opportunities in rare, liver, and respiratory diseases. Management believes that the Company’s key proprietary technology has the potential to address the major hurdles in RNA development, namely the effective and safe delivery of RNA therapeutics to disease-relevant target tissues.</w:t>
      </w:r>
    </w:p>
    <w:p>
      <w:pPr>
        <w:spacing w:after="0" w:line="73" w:lineRule="exact"/>
        <w:rPr>
          <w:sz w:val="20"/>
          <w:szCs w:val="20"/>
          <w:color w:val="auto"/>
        </w:rPr>
      </w:pPr>
    </w:p>
    <w:p>
      <w:pPr>
        <w:ind w:right="540" w:firstLine="518"/>
        <w:spacing w:after="0" w:line="302" w:lineRule="auto"/>
        <w:rPr>
          <w:sz w:val="20"/>
          <w:szCs w:val="20"/>
          <w:color w:val="auto"/>
        </w:rPr>
      </w:pPr>
      <w:r>
        <w:rPr>
          <w:rFonts w:ascii="Arial" w:cs="Arial" w:eastAsia="Arial" w:hAnsi="Arial"/>
          <w:sz w:val="16"/>
          <w:szCs w:val="16"/>
          <w:color w:val="auto"/>
        </w:rPr>
        <w:t>The financial statements for periods prior to June 17, 2019, the effective date of the Redomiciliation (as described below), relate to Arcturus Therapeutics Ltd. and relate to Arcturus Therapeutics Holdings Inc. for the period from and after June 17, 2019. Unless stated otherwise or the context otherwise requires, references to the “Company,” “Arcturus,” “we,” “our” and “us” mean Arcturus Therapeutics Holdings Inc. and its consolidated subsidiaries from and after the effective time of the Redomiciliation and, prior to that time, to its predecessor, Arcturus Therapeutics Ltd.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2018.</w:t>
      </w:r>
    </w:p>
    <w:p>
      <w:pPr>
        <w:spacing w:after="0" w:line="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certain debt and equity instruments, the equity-method investment, share-based compensation, accruals for liabilities,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general and administration activities, and raising capital. The Company’s activities are subject to significant risks and uncertainties, including failing to secure additional funding before the Company achieves sustainable revenues and profit from operations.</w:t>
      </w:r>
    </w:p>
    <w:p>
      <w:pPr>
        <w:spacing w:after="0" w:line="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is a pre-clinical bioscience company that is dependent on obtaining external equity and debt financings to fund its operations. Historically, the Company’s primary sources of financing have been through the sale of its securities, through issuance of debt and through collaboration agreements. The Company raised $10.0 million in gross proceeds from a long-term debt agreement entered into on October 12, 2018 with Western Alliance Bank (Note 5). On June 18, 2019, the Company entered into a Third Amendment to the Research Collaboration and License Agreement with Ultragenyx Pharmaceutical Inc. (“Ultragenyx”), from which the Company received $30.0 million. Furthermore, in separate offerings, the Company raised total net proceeds of $21.4 million during the third quarter of 2019 through the sale of equity securities. Research and development activities have required significant capital investment since the Company’s inception.</w:t>
      </w:r>
    </w:p>
    <w:p>
      <w:pPr>
        <w:spacing w:after="0" w:line="81" w:lineRule="exact"/>
        <w:rPr>
          <w:sz w:val="20"/>
          <w:szCs w:val="20"/>
          <w:color w:val="auto"/>
        </w:rPr>
      </w:pPr>
    </w:p>
    <w:p>
      <w:pPr>
        <w:ind w:right="20" w:firstLine="518"/>
        <w:spacing w:after="0" w:line="301" w:lineRule="auto"/>
        <w:rPr>
          <w:sz w:val="20"/>
          <w:szCs w:val="20"/>
          <w:color w:val="auto"/>
        </w:rPr>
      </w:pPr>
      <w:r>
        <w:rPr>
          <w:rFonts w:ascii="Arial" w:cs="Arial" w:eastAsia="Arial" w:hAnsi="Arial"/>
          <w:sz w:val="16"/>
          <w:szCs w:val="16"/>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September 30, 2019 has an accumulated deficit of $60.7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the covenant requirements associated with its debt (Note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220"/>
        <w:spacing w:after="0" w:line="276" w:lineRule="auto"/>
        <w:rPr>
          <w:sz w:val="20"/>
          <w:szCs w:val="20"/>
          <w:color w:val="auto"/>
        </w:rPr>
      </w:pPr>
      <w:r>
        <w:rPr>
          <w:rFonts w:ascii="Arial" w:cs="Arial" w:eastAsia="Arial" w:hAnsi="Arial"/>
          <w:sz w:val="17"/>
          <w:szCs w:val="17"/>
          <w:color w:val="auto"/>
        </w:rPr>
        <w:t>5), it will need to reduce discretionary spending, or discontinue the development of some or all of its products, which will delay part of its development programs, all of which will have a material adverse effect on the Company’s ability to achieve its intended business objectives. There can be no assurances that additional financing will be secured or, if secured, will be on favorable terms to the Company. The Company’s management is of the opinion that its current financial resources will be sufficient to continue the development of the Company’s products for at least twelve months from the date that the condensed consolidated financial statements for the quarter ended September 30, 2019 are issued.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Arcturus Therapeutics Ltd. (“Arcturus Israel”) completed the process to redomicile from an Israeli limited company to a Delaware corporation (the “Redomiciliation”). On February 11, 2019, Arcturus Israel filed an application with the Tel-Aviv District Court (the “Israeli Court”) to approve the convening of a general shareholders meeting of Arcturus Israel for the approval of the Redomiciliation pursuant to Sections 350 and 351 of the Israeli Companies Law (the “Companies Law”). Following the Israeli Court approval dated March 13, 2019, the Company filed with the Securities and Exchange Commission a registration statement on Form S-4 (the “Form S-4”), which included a joint proxy statement/prospectus for the convening of the general shareholder meeting, held on May 17, 2019, as described in the Form S-4. The general shareholders meeting resulted in the approval of the Redomiciliation, and Arcturus Israel then approached the Israeli Court and requested its approval of the Redomiciliation.</w:t>
      </w:r>
    </w:p>
    <w:p>
      <w:pPr>
        <w:spacing w:after="0" w:line="70"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In connection with the Redomiciliation, Arcturus Israel entered into a share exchange agreement (the “Exchange Agreement”) with a special-purpose company, Arcturus Therapeutics Holdings Inc., the reporting company and parent to Arcturus Therapeutics, Inc. (“Arcturus Sub”).</w:t>
      </w:r>
    </w:p>
    <w:p>
      <w:pPr>
        <w:spacing w:after="0" w:line="3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In furtherance of the Redomiciliation, and pursuant to the terms of the Exchange Agreement, the holders of ordinary shares of Arcturus Israel as of a future record date and the holders of options to purchase ordinary shares of Arcturus Israel as of the same record date transferred their ordinary shares of Arcturus Israel and options to purchase ordinary shares of Arcturus Israel, respectively, to the Company and, in exchange thereof, received one share of common stock of the Company for each ordinary share of Arcturus Israel and an option to purchase one share of common stock of the Company in exchange for each ordinary share of Arcturus Israel underlying the existing option to be so exchanged, respectively.</w:t>
      </w:r>
    </w:p>
    <w:p>
      <w:pPr>
        <w:spacing w:after="0" w:line="64"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As a result of the Exchange Agreement, the par value of Arcturus Israel’s ordinary shares prior to the Redomiciliation is presented in New Israeli Shekel and the par value of the Company’s common stock subsequent to the Redomiciliation is presented in United States Dollars.</w:t>
      </w:r>
    </w:p>
    <w:p>
      <w:pPr>
        <w:spacing w:after="0" w:line="3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June 17, 2019, the common stock of the Company is listed on the NASDAQ Stock Market LLC (“NASDAQ”). Upon consummation of the transactions contemplated by the Share Exchange Agreement, Arcturus Israel’s ordinary shares were delisted from trading on NASDAQ, and Arcturus Israel became a private company (as defined in the Companies Law) wholly-owned by the Company.</w:t>
      </w:r>
    </w:p>
    <w:p>
      <w:pPr>
        <w:spacing w:after="0" w:line="73"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Pursuant to the Exchange Agreement, on June 12, 2019 all of the shares of Arcturus Sub were distributed to the Company and Arcturus Sub became a wholly-owned and direct subsidiary of the Company. This distribution was completed in connection with a liquidation of Arcturus Israel which was formally initiated after the redomiciliation described above.</w:t>
      </w:r>
    </w:p>
    <w:p>
      <w:pPr>
        <w:spacing w:after="0" w:line="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 xml:space="preserve">On October 30, 2019, the Company amended its loan agreement with Western Alliance Bank. See </w:t>
      </w:r>
      <w:r>
        <w:rPr>
          <w:rFonts w:ascii="Arial" w:cs="Arial" w:eastAsia="Arial" w:hAnsi="Arial"/>
          <w:sz w:val="18"/>
          <w:szCs w:val="18"/>
          <w:i w:val="1"/>
          <w:iCs w:val="1"/>
          <w:color w:val="auto"/>
        </w:rPr>
        <w:t>“Note 5. Long-term debt with Western Alliance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Bank” </w:t>
      </w:r>
      <w:r>
        <w:rPr>
          <w:rFonts w:ascii="Arial" w:cs="Arial" w:eastAsia="Arial" w:hAnsi="Arial"/>
          <w:sz w:val="18"/>
          <w:szCs w:val="18"/>
          <w:color w:val="auto"/>
        </w:rPr>
        <w:t>for further information.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6 Stockholders’ Equity – Registered Direct Offerings”</w:t>
      </w:r>
      <w:r>
        <w:rPr>
          <w:rFonts w:ascii="Arial" w:cs="Arial" w:eastAsia="Arial" w:hAnsi="Arial"/>
          <w:sz w:val="17"/>
          <w:szCs w:val="17"/>
          <w:color w:val="auto"/>
        </w:rPr>
        <w:t xml:space="preserve"> for further information on the Company’s recent registered direct offerings.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Effective January 1, 2019, the Company adopted </w:t>
      </w:r>
      <w:r>
        <w:rPr>
          <w:rFonts w:ascii="Arial" w:cs="Arial" w:eastAsia="Arial" w:hAnsi="Arial"/>
          <w:sz w:val="18"/>
          <w:szCs w:val="18"/>
          <w:i w:val="1"/>
          <w:iCs w:val="1"/>
          <w:color w:val="auto"/>
        </w:rPr>
        <w:t>Accounting Standards Update (“ASU”) 2014-09, 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or Topic 606, using the modified retrospective transition method. Topic 606 provides a unified model to determine how revenue is recognized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440"/>
        <w:spacing w:after="0" w:line="277" w:lineRule="auto"/>
        <w:rPr>
          <w:sz w:val="20"/>
          <w:szCs w:val="20"/>
          <w:color w:val="auto"/>
        </w:rPr>
      </w:pPr>
      <w:r>
        <w:rPr>
          <w:rFonts w:ascii="Arial" w:cs="Arial" w:eastAsia="Arial" w:hAnsi="Arial"/>
          <w:sz w:val="18"/>
          <w:szCs w:val="18"/>
          <w:color w:val="auto"/>
        </w:rPr>
        <w:t>contract; (iii) determine the transaction price; (iv) allocate the transaction price to the performance obligations in the contract; and (v) recognize revenue when, or as, the company satisfies a performance obligation.</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when and if certain research or technology transfer milestones are achieved, development milestones and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Company records research funding as accounts receivable when the right to consideration is unconditional.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performance obligation is a promise in a contract to transfer a distinct good or service to the collaborative partner and is the unit of account in Topic</w:t>
      </w:r>
    </w:p>
    <w:p>
      <w:pPr>
        <w:spacing w:after="0" w:line="46" w:lineRule="exact"/>
        <w:rPr>
          <w:sz w:val="20"/>
          <w:szCs w:val="20"/>
          <w:color w:val="auto"/>
        </w:rPr>
      </w:pPr>
    </w:p>
    <w:p>
      <w:pPr>
        <w:ind w:firstLine="8"/>
        <w:spacing w:after="0" w:line="271"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contract’s transaction price is allocated to each distinct performance obligation based on relative standalone selling price and recognized as revenue when, or as, the performance obligation is satisfied. Under Topic 606, the Company elected to use the practical expedients permitted related to adoption, which does not require the Company to disclose certain information regarding certain remaining performance obligations as of the end of the reporting period. Topic 606 is applicable for revenue recognized in accordance with the practical expedient for measuring progress toward satisfaction of a performance obligation, and variable consideration classified as a sales-based or usage-based royalty promised in exchange for a license.</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specific details surrounding the Company’s collaboration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February 2016, the FASB issued ASU 2016-02, Leases (Topic 842), which requires lessees to recognize most leases on the balance sheet as lease liabilities with corresponding right-of-use assets and to disclose key information about leasing arrangements. The Company adopted Topic 842 on its effective date in the first quarter of 2019 using a modified retrospective approach. The Company elected the available package of practical expedients upon adoption, which allowed it to carry forward historical assessments of whether existing agreements contained a lease and the classification of existing operating leases. The Company continues to report its financial position as of December 31, 2018 under the former lease accounting standard (Topic 840) in the condensed consolidated balance sheet.</w:t>
      </w:r>
    </w:p>
    <w:p>
      <w:pPr>
        <w:spacing w:after="0" w:line="8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adoption impact was due to the recognition of an operating lease liability with a corresponding right-of-use asset based on the present value of remaining minimum lease payments. A reduction of the right-of-use asset was recorded to reflect the balance of the deferred rent obligation and there was no impact to retained earnings.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preclinical studies and other external costs are shown net of any grants.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Cystic Fibrosis Foundation</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On August 1, 2019, the Company amended its Development Program Letter Agreement, dated May 16, 2017 and as amended July 13, 2018, with the Cystic Fibrosis Foundation (“CFF”). Pursuant to the amendment, (i) CFF will increase the amount it will award to advance LUNAR-CF to $15.0 million from approximately $3.2 million, (ii) the Company will provide $5.0 million in matching funds for remaining budgeted costs, (iii) the related disbursement schedule from CFF to Arcturus will be modified such that (a) $4.0 million will be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Sub invoicing CFF to meet good manufacturing practices and opening an Investigational New Drug (“IND”) application. The funds received from CFF will be recognized as contra research and development expense in proportion to the percentage covered by CFF of the overall budget. For the three months ended September 30, 2019, the Company recognized $0.7 million of contra expense with $3.3 million remaining in accrued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4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shown in the statement of cash flows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17"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In May 2014, the Financial Accounting Standards Board (FASB) issued Topic 606, which supersedes nearly all existing revenue recognition guidance under GAAP. The FASB subsequently issued amendments to Topic 606 that have the same effective date and transition date.</w:t>
      </w:r>
    </w:p>
    <w:p>
      <w:pPr>
        <w:spacing w:after="0" w:line="38"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The Company adopted this new guidance, effective January 1, 2019, using the modified retrospective transition method, in which the standard is applied as of the date of initial adoption. The Company recorded the cumulative effect of initially applying the standard as an adjustment to the opening balance of accumulated deficit. The adoption of the new revenue recognition guidance resulted in an increase of $0.8 million to deferred revenue and an increase of $0.8 million to accumulated deficit as of January 1, 2019. The change in revenue was due to a change in how the Company accounts for changes in the measure of progress and changes to the transaction price and for the recognition of revenue. Under Topic 605, the Company accounted for changes to the measure of progress and changes to the transaction price prospectively. Topic 606 requires companies to account for a change to the measure of progress or a change to the transaction price as a cumulative catch-up in the period of change. There were no other impacts upon the adoption of Topic 606. The Company will apply the standard to all new contracts initiated on or after the effective date.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 order to increase transparency and comparability among organizations by recognizing lease assets and lease liabilities on the balance sheet for those leases classified as operating leases under previous GAAP. ASU 2016-02 requires a lessee to recognize a liability for lease payments (the lease liability) and a right-of-use asset (representing its right to use the underlying asset for the lease term) on the balance sheet. ASU 2016-02 is effective for fiscal years beginning after December 15, 2018 (including interim periods within those periods) using a modified retrospective approach.</w:t>
      </w:r>
    </w:p>
    <w:p>
      <w:pPr>
        <w:spacing w:after="0" w:line="107"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 xml:space="preserve">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was modified, to not reassess (a) the existence of a lease, (b) lease classification or (c) determination of initial direct costs, which effectively allows entities to carryforward accounting conclusions under previous U.S. GAAP.</w:t>
      </w:r>
    </w:p>
    <w:p>
      <w:pPr>
        <w:spacing w:after="0" w:line="80"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Company adopted ASU 2016-02, using the optional transition method and electing the package of practical expedients described above on January 1, 2019. Due to the adoption, the Company recognized a new lease liability on the Company’s consolidated balance sheet for its operating lease of office and lab space of $6.4 million on January 1, 2019, with a corresponding right-of-use asset of $5.9 million based on the present value of the remaining minimum lease payments. See Note 8 for further discussion.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Collaboration Revenue</w:t>
      </w:r>
    </w:p>
    <w:p>
      <w:pPr>
        <w:spacing w:after="0" w:line="121"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when and if certain research or technology transfer milestones are achieved, development milestones,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The Company’s costs of performing these services are included within research and development expense. The Company’s milestone payments are typically defined by achievement of certain preclinical, clinical, and commercial success criteria. Preclinical milestones may include in vivo proof of concept in disease animal model(s), lead candidate identification, and completion of IND-enabling studies. Clinical milestones may include successful enrollment of the first or second patient in or completion of Phase I, II, and III clinical trials, and commercial revenue is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61"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The following table presents changes during the nine months ended September 30, 2019 in the balances of contract assets, including receivables from collaborative partners, and contract liabilities, including deferred revenue, as compared to what was disclosed in the Company’s Annual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Contract Assets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2018</w:t>
            </w:r>
          </w:p>
        </w:tc>
        <w:tc>
          <w:tcPr>
            <w:tcW w:w="2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Additions for revenue billings</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16,524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Deductions for cash collections</w:t>
            </w:r>
          </w:p>
        </w:tc>
        <w:tc>
          <w:tcPr>
            <w:tcW w:w="2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580"/>
              <w:spacing w:after="0"/>
              <w:rPr>
                <w:sz w:val="20"/>
                <w:szCs w:val="20"/>
                <w:color w:val="auto"/>
              </w:rPr>
            </w:pPr>
            <w:r>
              <w:rPr>
                <w:rFonts w:ascii="Arial" w:cs="Arial" w:eastAsia="Arial" w:hAnsi="Arial"/>
                <w:sz w:val="18"/>
                <w:szCs w:val="18"/>
                <w:color w:val="auto"/>
              </w:rPr>
              <w:t>BALANCE – September 30, 2019</w:t>
            </w:r>
          </w:p>
        </w:tc>
        <w:tc>
          <w:tcPr>
            <w:tcW w:w="29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60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Contract Liabilities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2018</w:t>
            </w:r>
          </w:p>
        </w:tc>
        <w:tc>
          <w:tcPr>
            <w:tcW w:w="2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13,806</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Additions for advanced billings</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29,136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Additions resulting from adoption of Topic 606</w:t>
            </w:r>
          </w:p>
        </w:tc>
        <w:tc>
          <w:tcPr>
            <w:tcW w:w="2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w w:val="92"/>
              </w:rPr>
              <w:t>Deductions for promised goods/services provided in current period</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(18,195)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2019</w:t>
            </w:r>
          </w:p>
        </w:tc>
        <w:tc>
          <w:tcPr>
            <w:tcW w:w="29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920" w:type="dxa"/>
            <w:vAlign w:val="bottom"/>
            <w:vMerge w:val="restart"/>
          </w:tcPr>
          <w:p>
            <w:pPr>
              <w:jc w:val="right"/>
              <w:ind w:right="267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 summarizes the Company’s collaboration revenues for the periods indicated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right"/>
              <w:ind w:right="125"/>
              <w:spacing w:after="0"/>
              <w:rPr>
                <w:sz w:val="20"/>
                <w:szCs w:val="20"/>
                <w:color w:val="auto"/>
              </w:rPr>
            </w:pPr>
            <w:r>
              <w:rPr>
                <w:rFonts w:ascii="Arial" w:cs="Arial" w:eastAsia="Arial" w:hAnsi="Arial"/>
                <w:sz w:val="14"/>
                <w:szCs w:val="14"/>
                <w:b w:val="1"/>
                <w:bCs w:val="1"/>
                <w:color w:val="auto"/>
              </w:rPr>
              <w:t>For the Three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Ended September 30,</w:t>
            </w:r>
          </w:p>
        </w:tc>
      </w:tr>
      <w:tr>
        <w:trPr>
          <w:trHeight w:val="237"/>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3"/>
        </w:trPr>
        <w:tc>
          <w:tcPr>
            <w:tcW w:w="2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Collaboration Partner - Janssen</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2,101</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638</w:t>
            </w:r>
          </w:p>
        </w:tc>
      </w:tr>
      <w:tr>
        <w:trPr>
          <w:trHeight w:val="243"/>
        </w:trPr>
        <w:tc>
          <w:tcPr>
            <w:tcW w:w="20" w:type="dxa"/>
            <w:vAlign w:val="bottom"/>
          </w:tcPr>
          <w:p>
            <w:pPr>
              <w:spacing w:after="0"/>
              <w:rPr>
                <w:sz w:val="21"/>
                <w:szCs w:val="21"/>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Ultragenyx</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1,789</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4,854</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4,495</w:t>
            </w: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Collaboration Partner - Takeda</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905</w:t>
            </w:r>
          </w:p>
        </w:tc>
      </w:tr>
      <w:tr>
        <w:trPr>
          <w:trHeight w:val="256"/>
        </w:trPr>
        <w:tc>
          <w:tcPr>
            <w:tcW w:w="20" w:type="dxa"/>
            <w:vAlign w:val="bottom"/>
          </w:tcPr>
          <w:p>
            <w:pPr>
              <w:spacing w:after="0"/>
              <w:rPr>
                <w:sz w:val="22"/>
                <w:szCs w:val="22"/>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12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1,057</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6,360</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772</w:t>
            </w:r>
          </w:p>
        </w:tc>
      </w:tr>
      <w:tr>
        <w:trPr>
          <w:trHeight w:val="237"/>
        </w:trPr>
        <w:tc>
          <w:tcPr>
            <w:tcW w:w="20" w:type="dxa"/>
            <w:vAlign w:val="bottom"/>
          </w:tcPr>
          <w:p>
            <w:pPr>
              <w:spacing w:after="0"/>
              <w:rPr>
                <w:sz w:val="20"/>
                <w:szCs w:val="20"/>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FF0FC"/>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3,988</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1,366</w:t>
            </w:r>
          </w:p>
        </w:tc>
      </w:tr>
      <w:tr>
        <w:trPr>
          <w:trHeight w:val="237"/>
        </w:trPr>
        <w:tc>
          <w:tcPr>
            <w:tcW w:w="20" w:type="dxa"/>
            <w:vAlign w:val="bottom"/>
          </w:tcPr>
          <w:p>
            <w:pPr>
              <w:spacing w:after="0"/>
              <w:rPr>
                <w:sz w:val="20"/>
                <w:szCs w:val="20"/>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3,318</w:t>
            </w: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3,423</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17,821</w:t>
            </w: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8,176</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paragraphs provide information regarding the nature and purpose of the Company’s most significant collaboration arrangements.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October 2017 the Company entered into a research collaboration and license agreement with Janssen (the “2017 Agreement”). The 2017 Agreement allocated discovery, development, funding obligations, and ownership of related intellectual property among the Company and Janssen. The Company received an upfront payment of $7.7 million and may receive preclinical, development and sales milestone payments of $56.5 million, as well as royalty payments on any future licensed product sales. Janssen began reimbursing the Company for research costs during the first quarter of 2019 upon the completion of the first of three research periods. Janssen may also pay option exercise fees within the $1.0 million to $5.0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2017 Agreement includes an exclusivity period.</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Analysis under ASC 606</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evaluating the 2017 Agreement in accordance with ASC Topic 606, the Company concluded that the contract counterparty, Janssen, is a customer. The Company identified the following promised goods/services as of the inception of the Agreement: (i) research services, (ii) license to use Arcturus technology and (iii) participation in the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70"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As of September 30, 2019, the remaining transaction price of $23.6 million, consisting of upfront consideration received and budgeted reimbursable out-of-pocket costs, is expected to be recognized using an input method over the remaining research period of 18 months. None of the development and commercialization milestones were included in the transaction price, as all milestone amounts were not estimated to be met,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 For the three and nine months ended September 30, 2019, an adjustment of $0.3 million was made to the transaction price.</w:t>
      </w:r>
    </w:p>
    <w:p>
      <w:pPr>
        <w:spacing w:after="0" w:line="5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Total deferred revenue as of September 30, 2019 and December 31, 2018 for Janssen was $6.1 million and $6.5 million, respectively. No transition adjustment was necessary upon adoption of Topic 606.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October 2015 the Company entered into a research collaboration and license agreement with Ultragenyx (the “Ultragenyx Agreement”), whereby Arcturus granted to Ultragenyx a co-exclusive license under Arcturus technology and shall be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this period.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220" w:firstLine="518"/>
        <w:spacing w:after="0" w:line="273" w:lineRule="auto"/>
        <w:rPr>
          <w:sz w:val="20"/>
          <w:szCs w:val="20"/>
          <w:color w:val="auto"/>
        </w:rPr>
      </w:pPr>
      <w:r>
        <w:rPr>
          <w:rFonts w:ascii="Arial" w:cs="Arial" w:eastAsia="Arial" w:hAnsi="Arial"/>
          <w:sz w:val="17"/>
          <w:szCs w:val="17"/>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from $0.5 million to $1.5 million.</w:t>
      </w:r>
    </w:p>
    <w:p>
      <w:pPr>
        <w:spacing w:after="0" w:line="70"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September 30, 2019 are $138.0 million. Ultragenyx will pay royalties as a single-digit percentage of net sales on a product-by-product and country-by-country basis during the applicable royalty term. As of September 30, 2019, the Company has not yet reached the clinical phase of the contract.</w:t>
      </w:r>
    </w:p>
    <w:p>
      <w:pPr>
        <w:spacing w:after="0" w:line="5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the option to purchase 0.6 million additional shares of common stock at $16 per share within two years of executing the amendment (Note 6).</w:t>
      </w:r>
    </w:p>
    <w:p>
      <w:pPr>
        <w:spacing w:after="0" w:line="8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comprised of $6.0 million from the upfront payment and $8.4 million from the premium paid by Ultragenyx for the purchase of Arcturus common stock.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are restricted for two years.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Analysis under ASC 606</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options to select additional collaboration targets and to license rights to selected targets are not priced at a discount and therefore do not represent performance obligations for which the transaction price would be allocated.</w:t>
      </w:r>
    </w:p>
    <w:p>
      <w:pPr>
        <w:spacing w:after="0" w:line="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At September 30, 2019, the transaction price included the upfront consideration received,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Food and Drug Administration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7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Amendment 3 was deemed a contract modification and accounted for as part of the original Ultragenyx Agreement and the Company recorded a cumulative catch-up adjustment of $1.1 million on the modification date. The transaction price will be recognized to revenue on a straight-line basis using an input method over the 4-year reserve target exclusivity period. The reserve target exclusivity period represents the timing over which promised goods/services will be provided. Total deferred revenue as of September 30, 2019 and December 31, 2018 from Ultragenyx was $13.6 million and $2.7 million, respectively.</w:t>
      </w:r>
    </w:p>
    <w:p>
      <w:pPr>
        <w:spacing w:after="0" w:line="4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Upon adoption of Topic 606, the Company reversed $0.8 million of previously recorded revenue related to Ultragenyx through an increase to deferred revenue and a decrease to beginning retained earnings. The adjustment was due to a change in the way the Company accounts for updates to the period over which revenue is recognized as well as accounting for adjustments to the transaction price. Under Topic 605, the Company accounted for these changes prospectively and under Topic 606 the Company accounts for the changes as a change in estimate recorded as a cumulative catch-up in the period in which the change occurred.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January 2018, the Company entered into a Development and Option Agreement with CureVac, (the “Development and Option Agreement”).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technology (the LUNAR® platform)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64"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Prior to expiration of the initial term of 8 years (which was subsequently amended, as discussed below), the Agreement also includes an option to extend the term on an annual basis for up to 3 years and subject to payment by CureVac to Arcturus of a non-refundable annual extension fee. The agreement included potential milestone payments for selected targets from CureVac to the Company. The current potential milestone payment for the remaining target as of September 30, 2019 is $14.0 million for rare disease targets and $23.0 million for non-rare disease targets. CureVac will pay royalties as a percentage of net sales on a product-by-product and country-by-country basis during the applicable royalty term in the low single-digit range. As of September 30, 2019, the Company has not yet reached the clinical phase of the contract. Pursuant to a May 2018 amendment to the Development and Option Agreement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7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Concurrently with the Development and Option Agreement, the Company entered into a Co-Development and Co-Commercialization Agreement (the “Co-Development Agreement”) which the Company considered a combined contract with the Development and Option Agreement for purposes of revenue recognition. However, on February 11, 2019, the Company announced the termination of the obligations of CureVac for the preclinical development of ARCT-810, effective 180 days from February 5, 2019 and the re-assumption by the Company of the worldwide rights thereto. As a result, Arcturus will reassume 100% global rights for its flagship asset, clinical development candidate ARCT-810, a messenger RNA (mRNA) drug to treat ornithine transcarbamylase deficiency.</w:t>
      </w:r>
    </w:p>
    <w:p>
      <w:pPr>
        <w:spacing w:after="0" w:line="8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On July 26, 2019, the Company entered into an amendment (“CureVac Amendment”) to its Development and Option Agreement (as amended, the “Development and Option Agreement”), with CureVac, pursuant to which the Company and CureVac agreed to (i) shorten the time period during which CureVac may select potential targets to be licensed from the Company from eight years to four years, and (ii) reduce the overall number of maximum targets to be reserved and licensed.</w:t>
      </w:r>
    </w:p>
    <w:p>
      <w:pPr>
        <w:spacing w:after="0" w:line="79"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In connection with the CureVac Amendment, the Company and CureVac also entered into a Termination Agreement (the “Termination Agreement”) terminating the Co-Development Agreement between the Company and CureVac dated as of January 1, 2018. The Termination Agreement is effective as of July 26, 2019. Pursuant to the Termination Agreement, CureVac agreed to make a one-time payment to Arcturus in the amount of $4.0 million. The payment was made in July 2019.</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Analysis under ASC 606</w:t>
      </w:r>
    </w:p>
    <w:p>
      <w:pPr>
        <w:spacing w:after="0" w:line="11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5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At September 30, 2019, the transaction price included the $5.0 million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ind w:right="60"/>
        <w:spacing w:after="0" w:line="279" w:lineRule="auto"/>
        <w:rPr>
          <w:sz w:val="20"/>
          <w:szCs w:val="20"/>
          <w:color w:val="auto"/>
        </w:rPr>
      </w:pPr>
      <w:r>
        <w:rPr>
          <w:rFonts w:ascii="Arial" w:cs="Arial" w:eastAsia="Arial" w:hAnsi="Arial"/>
          <w:sz w:val="17"/>
          <w:szCs w:val="17"/>
          <w:color w:val="auto"/>
        </w:rPr>
        <w:t>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For the three and nine months ended September 30, 2019, no adjustments were made to the transaction price.</w:t>
      </w:r>
    </w:p>
    <w:p>
      <w:pPr>
        <w:spacing w:after="0" w:line="6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transaction price of $5.0 million was recorded as deferred revenue in the Company’s balance sheet upon receipt and is currently being recognized as revenue on a straight-line basis using an input method over the amended forty-six month contractual term as of September 30, 2019. As a result of Amendment 3, the Company recorded a cumulative catch up adjustment of $0.4 million on the modification date, July 26, 2019. Total deferred revenue as of September 30, 2019 and December 31, 2018 for CureVac was $3.4 million and $4.4 million, respectively. No adjustment was necessary upon adoption of Topic 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Collaboration Revenue</w:t>
      </w:r>
    </w:p>
    <w:p>
      <w:pPr>
        <w:spacing w:after="0" w:line="117" w:lineRule="exact"/>
        <w:rPr>
          <w:sz w:val="20"/>
          <w:szCs w:val="20"/>
          <w:color w:val="auto"/>
        </w:rPr>
      </w:pPr>
    </w:p>
    <w:p>
      <w:pPr>
        <w:ind w:right="280" w:firstLine="518"/>
        <w:spacing w:after="0" w:line="297" w:lineRule="auto"/>
        <w:rPr>
          <w:sz w:val="20"/>
          <w:szCs w:val="20"/>
          <w:color w:val="auto"/>
        </w:rPr>
      </w:pPr>
      <w:r>
        <w:rPr>
          <w:rFonts w:ascii="Arial" w:cs="Arial" w:eastAsia="Arial" w:hAnsi="Arial"/>
          <w:sz w:val="16"/>
          <w:szCs w:val="16"/>
          <w:color w:val="auto"/>
        </w:rPr>
        <w:t>The $4.0 million of other collaboration revenue for the nine months ended September 30, 2019 was primarily related to the Research and Exclusive License Agreement with Synthetic Genomics, Inc. (“SGI”) into which the Company entered during October 2017. Under the agreement, the Company granted SGI an exclusive license for the Arcturus LMD Technology to research, develop and sell products for diseases excluding all respiratory disease viruses other than influenza. Revenue related to this agreement is made up of labor reimbursements and sublicense revenue. The Company recognized a sublicense revenue amount of $3.3 million for the nine months ended September 30, 2019 whereby SGI sublicensed to multiple parties.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jc w:val="both"/>
        <w:ind w:right="120" w:firstLine="518"/>
        <w:spacing w:after="0" w:line="271"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9"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As of September 30, 2019 and December 31, 2018, all assets measured at fair value on a recurring basis consisted of cash equivalents, money market funds,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as of September 30, 2019 and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(in thousands)</w:t>
            </w: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8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0" w:type="dxa"/>
            <w:vAlign w:val="bottom"/>
            <w:vMerge w:val="restart"/>
          </w:tcPr>
          <w:p>
            <w:pPr>
              <w:jc w:val="right"/>
              <w:ind w:right="12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Property and equipment, net for the same periods consisted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Depreciation and amortization expense was $0.2 million and $0.2 million for the three months ended September 30, 2019 and 2018, respectively, and $0.5 million and $0.4 million for nine months ended September 30, 2019 and 2018,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September 30, 2019 and December 31, 2018:</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CFF0FC"/>
            </w:tcBorders>
            <w:vMerge w:val="continue"/>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Cystic Fibrosis Foundation Liability (Note 1)</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Refundable fees received</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10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On October 12, 2018, the Company entered into a Loan and Security Agreement with Western Alliance Bank (the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w:t>
      </w:r>
    </w:p>
    <w:p>
      <w:pPr>
        <w:spacing w:after="0" w:line="63"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Company paid a loan origination fee of $128,000 which was recorded as a debt discount and is being accreted over the term of the Loan. In addition, the Company is required to pay a fee of $350,000 upon certain change of control events.</w:t>
      </w:r>
    </w:p>
    <w:p>
      <w:pPr>
        <w:spacing w:after="0" w:line="6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Upon maturity or prepayment, the Company will be required to pay a 3% fee, or a 2% fee if the U.S. Food and Drug Administration accepts certain IND applications prior to maturity. Because acceptance of an IND is outside of the Company’s control, management estimated that the Company will be liable for a fee of 3% of the principal balance, or $300,000 upon repayment or maturity, and such fee is accreted to the debt balance using the effective interest method over the term of the Loan.</w:t>
      </w:r>
    </w:p>
    <w:p>
      <w:pPr>
        <w:spacing w:after="0" w:line="79"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50% of its deposit and investment accounts, or $20 million, whichever is lower, with Western Alliance Bank.</w:t>
      </w:r>
    </w:p>
    <w:p>
      <w:pPr>
        <w:spacing w:after="0" w:line="46"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Loan also includes covenants which include the Company’s (1) nomination of a clinical candidate by December 31, 2018, which the Company is in compliance with, and (2) submission of a clinical candidate for IND application,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be extended to May 31, 2020 and the approval date shall be extended to June 30, 2020. As a result of the equity purchase by Ultragenyx of 2.4 million shares of common stock (previously discussed at Note 2), the IND submission date and approval date have been extended to May 31, 2020 and June 30, 2020, respectively.</w:t>
      </w:r>
    </w:p>
    <w:p>
      <w:pPr>
        <w:spacing w:after="0" w:line="57"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As of September 30, 2019, the Company is in compliance with all covenants and conditions of the Loan.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260" w:firstLine="518"/>
        <w:spacing w:after="0" w:line="342" w:lineRule="auto"/>
        <w:rPr>
          <w:sz w:val="20"/>
          <w:szCs w:val="20"/>
          <w:color w:val="auto"/>
        </w:rPr>
      </w:pPr>
      <w:r>
        <w:rPr>
          <w:rFonts w:ascii="Arial" w:cs="Arial" w:eastAsia="Arial" w:hAnsi="Arial"/>
          <w:sz w:val="16"/>
          <w:szCs w:val="16"/>
          <w:color w:val="auto"/>
        </w:rPr>
        <w:t>On October 30, 2019, Arcturus Therapeutics, Inc. (the “Borrower”), a wholly-owned subsidiary of the Company and the Bank entered into a Third Amendment (the “Third Amendment”) to the Loan and Security Agreement dated as of October 12, 2018 (as amended, the “Loan Agreement”).</w:t>
      </w:r>
    </w:p>
    <w:p>
      <w:pPr>
        <w:spacing w:after="0" w:line="16"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Pursuant to the amendment, the Bank agreed to make a term loan to the Company on October 30, 2019, in the amount of $15 million (the “Term Loan”). After repaying $10 million for the Loan the Company owed to the Bank, the resulting net increase in the indebtedness of the Company was $5 million. The Term Loan bears interest at a floating rate ranging from 1.25% to 2.75% above the prime rate. The amendment further provides that the Term Loan has a maturity date of October 30, 2023. The Company shall make monthly payments of interest only until the interest-only end date of April 1, 2021, which is subject to extension to October 1, 2021 upon the occurrence of an equity or expansion event and the absence of an event of default, and thereafter shall make monthly payments of principal and interest during a 30-month amortization period.</w:t>
      </w:r>
    </w:p>
    <w:p>
      <w:pPr>
        <w:spacing w:after="0" w:line="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Term Loan may be prepaid in full at any time, provided that a prepayment fee is required to be paid by the Company upon prepayment. The prepayment fee ranges from 0.50% to 2.00% of the prepaid principal amount depending upon the date on which the prepayment is made. In connection with the Third Amendment, the Company guaranteed the Borrower’s obligations under the Loan Agreement and pledged substantially all of its assets as security under the Loan Agreement.</w:t>
      </w:r>
    </w:p>
    <w:p>
      <w:pPr>
        <w:spacing w:after="0" w:line="7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amendment also modified the Company’s covenants to extend the dates by which a selected IND must be submitted and by which the U.S. Food and Drug Administration or equivalent authority must accept the IND, and also required the Company to maintain the lesser of (i) all of its total consolidated and unrestricted cash in total deposits with the Bank or (ii) $15 million in total deposits with the Bank.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Registered Direct Offerings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In July and September of 2019, the Company entered into engagement letters with H.C. Wainwright &amp; Co., LLC (the “Placement Agent”) relating to registered direct offerings of common stock to certain institutional investors. Pursuant to each letter agreement, the Company agreed to pay the Placement Agent a cash fee of 6.0% of the gross proceeds from each offering and reimburse the cost of expenses.</w:t>
      </w:r>
    </w:p>
    <w:p>
      <w:pPr>
        <w:spacing w:after="0" w:line="57"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In connection therewith, on August 1, 2019, August 2, 2019 and September 26, 2019, the Company and certain Investors entered into securities purchase agreements relating to the issuance and sale of shares of common stock. The purchase price per share for each share offered in the offerings was $11.50. The aggregate gross proceeds of the offerings were $23.0 million for an aggregate of 1,995,653 shares of common stock.</w:t>
      </w:r>
    </w:p>
    <w:p>
      <w:pPr>
        <w:spacing w:after="0" w:line="3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net proceeds to the Company from the Offering, after deducting Placement Agent fees and the Company’s estimated offering expenses, were approximately $21.3 million. The Offerings closed on August 5, 2019 and September 30, 2019, respectively.</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offer and sale of the common stock was registered under the Securities Act of 1933, as amended (the “Securities Act”), on the Company’s Registration Statement on Form S-3 (Registration No. 333-232281), previously filed with the Securities and Exchange Commission and declared effective on July 29, 2019.</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color w:val="auto"/>
        </w:rPr>
        <w:t>Equity Purchase Agreement</w:t>
      </w:r>
    </w:p>
    <w:p>
      <w:pPr>
        <w:spacing w:after="0" w:line="121"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On June 18, 2019, the Company entered into an Equity Purchase Agreement (the “Expanded Ultragenyx Agreement”) with Ultragenyx. Pursuant to the terms of the Expanded Ultragenyx Agreement, the Company sold an aggregate of 2,400,000 shares of common stock, par value $0.001 per share (“Common Stock”) at a price of $10.00 per share to Ultragenyx on June 19, 2019. Pursuant to the Expanded Ultragenyx Agreement, the Company also granted Ultragenyx a two-year option (the “Option”) to purchase up to 600,000 additional shares of Common Stock at a price of $16.00 per share.</w:t>
      </w:r>
    </w:p>
    <w:p>
      <w:pPr>
        <w:spacing w:after="0" w:line="46"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The Option to purchase additional shares of Common Stock may not be exercised if Ultragenyx’s ownership of the Company’s common stock would exceed 19.99% of the Company’s total shares outstanding following such exercise. The option was recorded as a component of stockholders’ equity within additional paid-in capital.</w:t>
      </w:r>
    </w:p>
    <w:p>
      <w:pPr>
        <w:spacing w:after="0" w:line="7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Pursuant to the terms of the Expanded Ultragenyx Agreement, until the later of (i) the first anniversary of the closing date or (ii) the date on which Ultragenyx beneficially owns less than 8.0% of the total voting power of the Company, at each annual stockholders meeting or any stockholders meeting at which members of the board of directors (the “Board”) are to be elected, the Company must nominate one director designated by Ultragenyx (the “Ultragenyx Designee”). Additionally, the Ultragenyx Designee has the contractual right to be appointed to all Board committees (subject to applicable NASDAQ rules). Ultragenyx also has the right to have a designee attend Board meetings as a non-voting observer.</w:t>
      </w:r>
    </w:p>
    <w:p>
      <w:pPr>
        <w:spacing w:after="0" w:line="6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connection with the Expanded Ultragenyx Agreement, the Company and Ultragenyx entered into a Registration Rights Agreement (the “Registration Rights Agreement”). The Registration Rights Agreement requires the Company to file a registration statement providing for the resale of the shares within 180 days of June 18, 2019, and provides Ultragenyx with certain “piggy-back” registration rights with respect to registration statements that the Company may file.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Common Shares</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 xml:space="preserve">In March 2013, the founders of the Company purchased 2,783,686 shares of common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leaving an unvested balance of 769,176 shares. In 2017, the stock purchase agreements were amended to clarify vesting conditions and also to accelerate the vesting of 146,510 shares resulting in a modification expense of $1,495,000. As of September 30, 2019 and 2018, there were 622,667 shares of common stock unvested and subject to the repurchase option.</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three and nine months ended September 30, 2019 as they were anti-dilutive totaled 166,921 and 96,615, respectively, and 98,000 and 91,000 for the three and nine months ended September 30, 2018, respectively.</w:t>
      </w:r>
    </w:p>
    <w:p>
      <w:pPr>
        <w:spacing w:after="0" w:line="7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For the three and nine months ended September 30, 2019 and 2018, the calculation of the weighted-average number of shares outstanding excludes unvested restricted shares of common stock of 622,667.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shares of common stock pursuant to the exercise of incentive stock options or other awards provided for therein. As of September 2019, the Company issued a certain number of options to purchase common stock to a group of employees as well as options to purchase a total of 243,750 shares of common stock to certain executives. The Company also issued options to purchase a total of 130,000 shares of common stock to the non-executive members of the Company’s board of directors. In June 2019, the Company adopted the 2019 Omnibus Equity Incentive Plan (“2019 Plan”), which was ratified by the Stockholders at the Company’s annual meeting on October 25, 2019. Under the 2019 Plan, the Company is authorized to issue up to a maximum of 2,600,000 shares of common stock pursuant to the exercise of incentive stock options or other awards provided for therein. In connection with the Redomiciliation, all outstanding options to purchase shares in Arcturus Israel under the above described plans were exchanged for an option to purchase the same number of shares of the Company’s common stock under the 2019 Plan. Accordingly, as of September 30, 2019, a total of 1,233,707 shares remain available for future issuance under the 2019 Plan, and no further shares will be issued under the 2018 Plan.</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36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Share-based compensation expenses included in the Company’s condensed statements of operations and comprehensive loss for the three and nine months ended September 30, 2019 and 2018 were: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20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Ended September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158</w:t>
            </w:r>
          </w:p>
        </w:tc>
        <w:tc>
          <w:tcPr>
            <w:tcW w:w="3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286</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225</w:t>
            </w:r>
          </w:p>
        </w:tc>
        <w:tc>
          <w:tcPr>
            <w:tcW w:w="3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301</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383</w:t>
            </w:r>
          </w:p>
        </w:tc>
        <w:tc>
          <w:tcPr>
            <w:tcW w:w="3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587</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Share-based compensation expense for the three and nine months ended September 30, 2019 excludes expense related to options granted to the Chief Executive Officer and Chief Financial Officer as the option grants are subject to shareholder approval which was ratified at the Company’s annual meeting on October 25, 2019.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of six years.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5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the payments of the operating lease liability were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Remaining Lease Payments</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 (remaining)</w:t>
            </w:r>
          </w:p>
        </w:tc>
        <w:tc>
          <w:tcPr>
            <w:tcW w:w="2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2020</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1,272</w:t>
            </w:r>
          </w:p>
        </w:tc>
        <w:tc>
          <w:tcPr>
            <w:tcW w:w="1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2022</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1,349</w:t>
            </w:r>
          </w:p>
        </w:tc>
        <w:tc>
          <w:tcPr>
            <w:tcW w:w="1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5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remaining lease payments</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7,377</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(1,511)</w:t>
            </w:r>
          </w:p>
        </w:tc>
      </w:tr>
      <w:tr>
        <w:trPr>
          <w:trHeight w:val="223"/>
        </w:trPr>
        <w:tc>
          <w:tcPr>
            <w:tcW w:w="536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operating lease liabilities</w:t>
            </w:r>
          </w:p>
        </w:tc>
        <w:tc>
          <w:tcPr>
            <w:tcW w:w="2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r>
    </w:tbl>
    <w:p>
      <w:pPr>
        <w:spacing w:after="0" w:line="202"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Operating lease costs consist of the fixed lease payments included in operating lease liability and are recorded on a straight-line basis over the lease terms. Operating lease costs were $0.3 million and $0.9 million for the three and nine months ended September 30,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June 17, 2019, Arcturus and Ultragenyx executed Amendment 3. In addition, as a result of the Expanded Ultragenyx Agreement, Ultragenyx owns 15.9% of the outstanding common stock of the Company as of September 30, 2019. For the three and nine months ended September 30, 2019, the Company has recognized revenue of $0.9 million and $4.9 million, respectively, and for the three and nine months ended September 30, 2018, the Company recognized revenue of $1.8 million and $4.5 million. As of September 30, 2019 and 2018, the Company holds accounts receivable balances of negligible amounts. (Note 2)</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Providence</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March 2016, the Company entered into a Research Collaboration and License Agreement with a related party, Providence, whose CEO and President is also a shareholder of the Company,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development costs through the completion of Phase 2 clinical trials. The Company is entitled to share in future product revenue of each product provided the Company shares in the product’s post Phase 2 costs. Separately, Providence has agreed to pay for FTEs at a specified rate. For the three and nine months ended September 30, 2019, the Company has recognized revenue of a $0.1 million and $0.4 million, respectively, and for the three and nine months ended September 30, 2018, the Company has recognized revenue of $0.4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million and $0.5 million, respectively. As of September 30, 2019, the Company holds an accounts receivable balance from Providence of $0.4 million.</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June 2018, the Company completed the sale of its intangible asset related to the ADAIR technology.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equity-method investment. The Company has no requirement to invest further in this private company. The Company has recorded $0.6 million of its share of losses of the equity method investee leaving no equity investment balance as of June 30, 2019. During the third quarter of 2019, the equity method investee issued shares of its common stock at a share price greater than the initial investment which resulted in the Company recording a gain in its equity method investment. The gain was partly offset by additional losses incurred by the equity method investee resulting in a net gain of $0.3 million recorded as of September 30,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Amendment to Long-term debt with Western Alliance Bank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discussion of amendment at Note 5.</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18"/>
        <w:spacing w:after="0" w:line="218" w:lineRule="exact"/>
        <w:rPr>
          <w:sz w:val="20"/>
          <w:szCs w:val="20"/>
          <w:color w:val="auto"/>
        </w:rPr>
      </w:pPr>
      <w:r>
        <w:rPr>
          <w:rFonts w:ascii="Arial" w:cs="Arial" w:eastAsia="Arial" w:hAnsi="Arial"/>
          <w:sz w:val="16"/>
          <w:szCs w:val="16"/>
          <w:i w:val="1"/>
          <w:iCs w:val="1"/>
          <w:color w:val="auto"/>
        </w:rPr>
        <w:t>The following is a discussion of the financial condition and results of operations of Arcturus Therapeutics Holdings Inc. for the three and nine-month periods ended September 30, 2019. Unless otherwise specified herein, references to the “Company,” “Arcturus,” “we,” “our” and “us” mean Arcturus Therapeutics Holdings Inc. and its consolidated subsidiaries from and after the effective time of the Redomiciliation and, prior to that time, to our predecessor, Arcturus Therapeutics Ltd.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year ended December 31, 2018 (the “2018 Annual Report”), which was filed with the U.S. Securities and Exchange Commission (the “Commission”) on March 18, 2019 and amended on April 10, 2019. Unless otherwise defined herein, capitalized words and expressions used herein shall have the same meanings ascribed to them in the 2018 Annual Report.</w:t>
      </w:r>
    </w:p>
    <w:p>
      <w:pPr>
        <w:spacing w:after="0" w:line="95"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Arcturus is the successor to Arcturus Israel. Following the Redomiciliation on June 17, 2019, Arcturus became the ultimate parent company of Arcturus Israel.</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Arcturus is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80"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September 30, 2019, we had an accumulated deficit of $60.7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2018. Our historical results of operations and the year-to-year comparisons of our results of operations that follow are not necessarily indicative of future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2018 to 2019</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3,318</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ind w:right="20" w:firstLine="518"/>
        <w:spacing w:after="0" w:line="259" w:lineRule="auto"/>
        <w:rPr>
          <w:sz w:val="20"/>
          <w:szCs w:val="20"/>
          <w:color w:val="auto"/>
        </w:rPr>
      </w:pPr>
      <w:r>
        <w:rPr>
          <w:rFonts w:ascii="Arial" w:cs="Arial" w:eastAsia="Arial" w:hAnsi="Arial"/>
          <w:sz w:val="18"/>
          <w:szCs w:val="18"/>
          <w:color w:val="auto"/>
        </w:rPr>
        <w:t>Collaboration revenue decreased by $0.1 million during the three months ended September 30, 2019 as compared to the three months ended September 30, 2018. The decrease in collaboration revenue primarily relates to decreased revenue of $0.9 million reduction in labor and expense reimbursements from Ultragenyx, partly offset by a $0.8 million increase in revenue recognition of the upfront payment caused by a reduction in length of the CureVac Development and Option Agreement.</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w w:val="97"/>
              </w:rPr>
              <w:t>Nine Months Ended September 30,</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3"/>
              </w:rPr>
              <w:t>2018 to 2019</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44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113"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Collaboration revenue increased by $9.6 million during the nine months ended September 30, 2019 as compared to the nine months ended September 30, 2018. The increase in collaboration revenue primarily relates to increased revenue of $9.8 million recognized upon execution of Amendment 3 with Ultragenyx, increased revenue associated with CureVac for revenue that was previously constrained under ASC 606 and recognizing sublicense revenue from SGI. Increases were partly offset by decreased revenue recognition from the Takeda collaboration agreement, which is ramping up more slowly than in 2018.</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2018 to 2019</w:t>
            </w:r>
          </w:p>
        </w:tc>
        <w:tc>
          <w:tcPr>
            <w:tcW w:w="180" w:type="dxa"/>
            <w:vAlign w:val="bottom"/>
          </w:tcPr>
          <w:p>
            <w:pPr>
              <w:spacing w:after="0"/>
              <w:rPr>
                <w:sz w:val="14"/>
                <w:szCs w:val="14"/>
                <w:color w:val="auto"/>
              </w:rPr>
            </w:pPr>
          </w:p>
        </w:tc>
        <w:tc>
          <w:tcPr>
            <w:tcW w:w="19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94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 change</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8"/>
              </w:rPr>
              <w:t>$ change</w:t>
            </w:r>
          </w:p>
        </w:tc>
        <w:tc>
          <w:tcPr>
            <w:tcW w:w="82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7,053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3,084</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140"/>
              <w:spacing w:after="0"/>
              <w:rPr>
                <w:sz w:val="20"/>
                <w:szCs w:val="20"/>
                <w:color w:val="auto"/>
              </w:rPr>
            </w:pPr>
            <w:r>
              <w:rPr>
                <w:rFonts w:ascii="Arial" w:cs="Arial" w:eastAsia="Arial" w:hAnsi="Arial"/>
                <w:sz w:val="18"/>
                <w:szCs w:val="18"/>
                <w:color w:val="auto"/>
                <w:w w:val="90"/>
              </w:rPr>
              <w:t>21,646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12,135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9,511</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3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10,871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(6,270)</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40.6%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0"/>
              </w:rPr>
              <w:t>32,517</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02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2018 to 2019</w:t>
            </w:r>
          </w:p>
        </w:tc>
        <w:tc>
          <w:tcPr>
            <w:tcW w:w="160" w:type="dxa"/>
            <w:vAlign w:val="bottom"/>
          </w:tcPr>
          <w:p>
            <w:pPr>
              <w:spacing w:after="0"/>
              <w:rPr>
                <w:sz w:val="14"/>
                <w:szCs w:val="14"/>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19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2"/>
              </w:rPr>
              <w:t>$ change</w:t>
            </w: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External pipeline development expenses:</w:t>
            </w: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gridSpan w:val="2"/>
          </w:tcPr>
          <w:p>
            <w:pPr>
              <w:ind w:left="260"/>
              <w:spacing w:after="0"/>
              <w:rPr>
                <w:sz w:val="20"/>
                <w:szCs w:val="20"/>
                <w:color w:val="auto"/>
              </w:rPr>
            </w:pPr>
            <w:r>
              <w:rPr>
                <w:rFonts w:ascii="Arial" w:cs="Arial" w:eastAsia="Arial" w:hAnsi="Arial"/>
                <w:sz w:val="14"/>
                <w:szCs w:val="14"/>
                <w:color w:val="auto"/>
              </w:rPr>
              <w:t>LUNAR-OTC (ARCT-810)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3,337</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1,242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2,095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9,167</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2,614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6,553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LUNAR-CF, net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2"/>
          </w:tcPr>
          <w:p>
            <w:pPr>
              <w:ind w:left="260"/>
              <w:spacing w:after="0"/>
              <w:rPr>
                <w:sz w:val="20"/>
                <w:szCs w:val="20"/>
                <w:color w:val="auto"/>
              </w:rPr>
            </w:pPr>
            <w:r>
              <w:rPr>
                <w:rFonts w:ascii="Arial" w:cs="Arial" w:eastAsia="Arial" w:hAnsi="Arial"/>
                <w:sz w:val="14"/>
                <w:szCs w:val="14"/>
                <w:color w:val="auto"/>
              </w:rPr>
              <w:t>Discovery technologies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2,381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External platform development expenses:</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2"/>
          </w:tcPr>
          <w:p>
            <w:pPr>
              <w:ind w:left="260"/>
              <w:spacing w:after="0"/>
              <w:rPr>
                <w:sz w:val="20"/>
                <w:szCs w:val="20"/>
                <w:color w:val="auto"/>
              </w:rPr>
            </w:pPr>
            <w:r>
              <w:rPr>
                <w:rFonts w:ascii="Arial" w:cs="Arial" w:eastAsia="Arial" w:hAnsi="Arial"/>
                <w:sz w:val="14"/>
                <w:szCs w:val="14"/>
                <w:color w:val="auto"/>
              </w:rPr>
              <w:t>Partnered discovery technologies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26.1%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(435)</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56"/>
        </w:trPr>
        <w:tc>
          <w:tcPr>
            <w:tcW w:w="31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development expenses</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4,619</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1,850</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2,769</w:t>
            </w:r>
          </w:p>
        </w:tc>
        <w:tc>
          <w:tcPr>
            <w:tcW w:w="1060" w:type="dxa"/>
            <w:vAlign w:val="bottom"/>
            <w:tcBorders>
              <w:top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13,520</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6,566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6,954</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Personnel related expenses</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1,884</w:t>
            </w:r>
          </w:p>
        </w:tc>
        <w:tc>
          <w:tcPr>
            <w:tcW w:w="22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1,745</w:t>
            </w:r>
          </w:p>
        </w:tc>
        <w:tc>
          <w:tcPr>
            <w:tcW w:w="20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139</w:t>
            </w:r>
          </w:p>
        </w:tc>
        <w:tc>
          <w:tcPr>
            <w:tcW w:w="130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8.0%</w:t>
            </w: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6,408</w:t>
            </w:r>
          </w:p>
        </w:tc>
        <w:tc>
          <w:tcPr>
            <w:tcW w:w="22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4,545</w:t>
            </w:r>
          </w:p>
        </w:tc>
        <w:tc>
          <w:tcPr>
            <w:tcW w:w="22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1,863</w:t>
            </w:r>
          </w:p>
        </w:tc>
        <w:tc>
          <w:tcPr>
            <w:tcW w:w="22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2"/>
        </w:trPr>
        <w:tc>
          <w:tcPr>
            <w:tcW w:w="31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Facilities and equipment expenses</w:t>
            </w: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w:t>
            </w:r>
          </w:p>
        </w:tc>
        <w:tc>
          <w:tcPr>
            <w:tcW w:w="2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3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47.1%</w:t>
            </w: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1,718</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1,024</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694</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37"/>
        </w:trPr>
        <w:tc>
          <w:tcPr>
            <w:tcW w:w="3100" w:type="dxa"/>
            <w:vAlign w:val="bottom"/>
            <w:gridSpan w:val="2"/>
          </w:tcPr>
          <w:p>
            <w:pPr>
              <w:spacing w:after="0" w:line="137" w:lineRule="exact"/>
              <w:rPr>
                <w:sz w:val="20"/>
                <w:szCs w:val="20"/>
                <w:color w:val="auto"/>
              </w:rPr>
            </w:pPr>
            <w:r>
              <w:rPr>
                <w:rFonts w:ascii="Arial" w:cs="Arial" w:eastAsia="Arial" w:hAnsi="Arial"/>
                <w:sz w:val="14"/>
                <w:szCs w:val="14"/>
                <w:color w:val="auto"/>
              </w:rPr>
              <w:t>Total research and development</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ind w:left="120"/>
              <w:spacing w:after="0"/>
              <w:rPr>
                <w:sz w:val="20"/>
                <w:szCs w:val="20"/>
                <w:color w:val="auto"/>
              </w:rPr>
            </w:pPr>
            <w:r>
              <w:rPr>
                <w:rFonts w:ascii="Arial" w:cs="Arial" w:eastAsia="Arial" w:hAnsi="Arial"/>
                <w:sz w:val="14"/>
                <w:szCs w:val="14"/>
                <w:color w:val="auto"/>
              </w:rPr>
              <w:t>expenses, net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7,053</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3,969</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3,084</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77.7%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21,646</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12,135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9,511</w:t>
            </w: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development expenses consist primarily of external manufacturing costs, in-vivo research studies performed by contract research organizations, clinical and regulatory consultants, and laboratory supplies related to conducting research and development activities.</w:t>
      </w:r>
    </w:p>
    <w:p>
      <w:pPr>
        <w:spacing w:after="0" w:line="62"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Our LUNAR-OTC (ARCT-810) program is expected to achieve IND submission by early 2020. We expect that the program costs will continue to increase as was the case during the three and nine-month periods, whereby the programs costs increased by $2.1 million and $6.6 million for the three and nine months ended September 30, 2019 as compared to 2018, respectively.</w:t>
      </w:r>
    </w:p>
    <w:p>
      <w:pPr>
        <w:spacing w:after="0" w:line="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Lunar-CF program during the 2017 and 2018 previously reported periods was primarily funded by our Company. As a result of the new CF agreement that was executed during July 2019, we expect that our development efforts and our portion of the costs to increase over the next several years as we move towards IND submission expected in 2021. During the quarter ended September 30, 2019, the Company incurred $0.2 million costs that were offset with funds received from CFF.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ind w:right="80" w:firstLine="518"/>
        <w:spacing w:after="0" w:line="264" w:lineRule="auto"/>
        <w:rPr>
          <w:sz w:val="20"/>
          <w:szCs w:val="20"/>
          <w:color w:val="auto"/>
        </w:rPr>
      </w:pPr>
      <w:r>
        <w:rPr>
          <w:rFonts w:ascii="Arial" w:cs="Arial" w:eastAsia="Arial" w:hAnsi="Arial"/>
          <w:sz w:val="18"/>
          <w:szCs w:val="18"/>
          <w:color w:val="auto"/>
        </w:rPr>
        <w:t>Discovery technologies represents our efforts to expand our product pipeline and are expected to continually increase over the near future. During the three and nine months ended September 30, 2019 as compared to 2018, our costs increased by $0.5 million and $0.3 million, respectively, as we focused our efforts on the discovery and development of our next programs.</w:t>
      </w:r>
    </w:p>
    <w:p>
      <w:pPr>
        <w:spacing w:after="0" w:line="7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Within our platform development expenses, our partnered discovery expenses with our current partners are expected to fluctuate based on the needs of our collaboration partners. During the three months ended September 30, 2019 as compared to 2018, the expenses were higher by $0.1 million and during the nine months ended September 30, 2019 as compared to 2018, the expenses were lower by $0.5 million, both as a result of the stage of the collaboration partners.</w:t>
      </w:r>
    </w:p>
    <w:p>
      <w:pPr>
        <w:spacing w:after="0" w:line="79"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Personnel related expenses increased by $0.1 million and $1.9 million during the three and nine months ended September 30, 2019 and 2018, respectively, associated with increased headcount necessary to advance our external pipeline and platform efforts. During the quarter ended September 30, 2019, offsetting in the expense amount as contra-expense is $0.4 million of funds received from CFF. We expect to continue to expand our headcount as required to meet our plan.</w:t>
      </w:r>
    </w:p>
    <w:p>
      <w:pPr>
        <w:spacing w:after="0" w:line="79" w:lineRule="exact"/>
        <w:rPr>
          <w:sz w:val="20"/>
          <w:szCs w:val="20"/>
          <w:color w:val="auto"/>
        </w:rPr>
      </w:pPr>
    </w:p>
    <w:p>
      <w:pPr>
        <w:ind w:right="640" w:firstLine="518"/>
        <w:spacing w:after="0" w:line="342" w:lineRule="auto"/>
        <w:rPr>
          <w:sz w:val="20"/>
          <w:szCs w:val="20"/>
          <w:color w:val="auto"/>
        </w:rPr>
      </w:pPr>
      <w:r>
        <w:rPr>
          <w:rFonts w:ascii="Arial" w:cs="Arial" w:eastAsia="Arial" w:hAnsi="Arial"/>
          <w:sz w:val="16"/>
          <w:szCs w:val="16"/>
          <w:color w:val="auto"/>
        </w:rPr>
        <w:t>Facilities and equipment expenses increased by $0.2 million and $0.7 million during the three and nine months ended September 30, 2019 and 2018, respectively, primarily as a result of higher rent and related costs associated with our new headquarters that we entered during early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2"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General and administrative expenses for the three months ended September 30, 2019 as compared to the three months ended September 30, 2018 were relatively flat. However, the decrease in general and administrative expenses of $6.3 million for the nine months ended September 30, 2019 as compared to the nine months ended September 30, 2018 was primarily due to $7.3 million related to a proxy contest incurred during the first half of 2018. Subsequent to September 30, 2019, the Company received $2.4 million from an insurance settlement for proxy related fees incurred during the first half of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2018 to 2019</w:t>
            </w:r>
          </w:p>
        </w:tc>
        <w:tc>
          <w:tcPr>
            <w:tcW w:w="18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4"/>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 change</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9"/>
              </w:rPr>
              <w:t>change</w:t>
            </w:r>
          </w:p>
        </w:tc>
        <w:tc>
          <w:tcPr>
            <w:tcW w:w="84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Finance (expense) income, net: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6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150</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(612)</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10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Interest income is generated on cash and cash equivalents. Interest expense was incurred in conjunction with our long-term debt agreement which was executed during the fourth quarter of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Our products that are being developed have not generated significant revenue. As a result, we have suffered recurring losses and significant cash resources will be required to execute our business plans. These losses are expected to continue for an extended period of time.</w:t>
      </w:r>
    </w:p>
    <w:p>
      <w:pPr>
        <w:spacing w:after="0" w:line="38"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Historically, our major sources of cash have comprised proceeds from collaboration partners, various public and private offerings of our common stock, option and warrant exercises, and interest income. From inception through September 2019, we raised approximately $204.2 million in gross proceeds from various public and private offerings of our common stock, debt issuances, collaboration agreements, and the merger with Alcobra. In June of 2019, we raised $30 million through execution of an amended collaboration agreement and an equity purchase agreement with Ultragenyx.</w:t>
      </w:r>
    </w:p>
    <w:p>
      <w:pPr>
        <w:spacing w:after="0" w:line="46"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 xml:space="preserve">As of September 30, 2019, we had approximately $74.3 million in cash, restricted cash and cash equivalents. Our plans to mitigate an expected shortfall of capital and thus support future operations, include raising additional funds. The actual amount of cash that we will need to operate is subject to many factors. During the third quarter of 2019, the Company raised additional capital in excess of $25.0 million, including proceeds from the Offerings in excess of $21.0 million and a one-time payment to Arcturus from CureVac in the amount of $4.0 million. 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further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120" w:firstLine="518"/>
        <w:spacing w:after="0" w:line="273" w:lineRule="auto"/>
        <w:rPr>
          <w:sz w:val="20"/>
          <w:szCs w:val="20"/>
          <w:color w:val="auto"/>
        </w:rPr>
      </w:pPr>
      <w:r>
        <w:rPr>
          <w:rFonts w:ascii="Arial" w:cs="Arial" w:eastAsia="Arial" w:hAnsi="Arial"/>
          <w:sz w:val="17"/>
          <w:szCs w:val="17"/>
          <w:color w:val="auto"/>
        </w:rPr>
        <w:t>Based on our planned operations, we expect that our current cash and cash equivalents balances, inclusive of the August 2019 and September 2019 financings, will be sufficient to fund our operations for at least 12 months after the date the condensed consolidated financial statements are filed without raising additional capital through equity or debt financing.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70"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We also recognize that we will need to raise additional capital in order to continue to execute our business plan in the future. There is no assurance that additional financing will be available when needed, that we will be able to obtain financing on terms acceptable to us, or that we will become profitable and generate positive operating cash flow. If we are unable to raise sufficient additional funds, we will have to scale back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40" w:firstLine="518"/>
        <w:spacing w:after="0" w:line="324" w:lineRule="auto"/>
        <w:rPr>
          <w:sz w:val="20"/>
          <w:szCs w:val="20"/>
          <w:color w:val="auto"/>
        </w:rPr>
      </w:pPr>
      <w:r>
        <w:rPr>
          <w:rFonts w:ascii="Arial" w:cs="Arial" w:eastAsia="Arial" w:hAnsi="Arial"/>
          <w:sz w:val="17"/>
          <w:szCs w:val="17"/>
          <w:color w:val="auto"/>
        </w:rPr>
        <w:t>Since our inception, we have funded our operations principally with proceeds from the sale of capital stock, convertible notes and revenues earned through collaborative agreements. At September 30, 2019, we had $74.2 million in unrestricted cash and cash equivalents.</w:t>
      </w:r>
    </w:p>
    <w:p>
      <w:pPr>
        <w:spacing w:after="0" w:line="2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To support our long-term plans, we intend to seek additional capital through equity 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0"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we will be able to obtain the needed financing on acceptable terms or at all. Additionally, equity or debt financings may have a dilutive effect on the holdings of our existing shareholders.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2019 and 2018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1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9"/>
                <w:szCs w:val="19"/>
                <w:color w:val="auto"/>
              </w:rPr>
            </w:pP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37,463</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18"/>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losses which have been partially offset by cash collected through our collaboration agreements and acquired through our 2017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8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Net cash provided by operating activities was $1.1 million on a net loss of $15.0 million for the nine months ended September 30, 2019, compared to net cash used of $15.0 million on a net loss of $20.8 million for the nine months ended September 30, 2018. Adjustments for non-cash charges, including share-based compensation, depreciation and amortization, interest expense and loss from equity-method investment were $2.7 million and $1.2 million for the nine months ended September 30, 2019 and 2018, respectively. Changes in working capital resulted in adjustments to operating net cash inflows of $13.7 million and $4.6 million for the nine months ended September 30, 2019 and 2018, respectively, and were primarily driven by increases in deferred revenue, accounts payable and accrued liabilities as well as a decrease in accounts receivable partly offset by an increase in prepaid expenses for the nine months ended September 30,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Net cash used in investing activities of $0.5 million for the nine months ended September 30, 2019 reflected cash used to purchase property and equipment. Net cash provided by investing activities of $19.9 million for the nine months ended September 30, 2018 reflected proceeds of the maturities of our short-term investments of $30.2 million, offset by purchases of short-term investments of $9.1 million, and cash used to purchase property and equipment of $1.2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2019 reflected proceeds from the issuance of common stock and the exercise of stock options of $36.9 million. Net cash provided by financing activities for the nine months ended September 30, 2018 consisted of net proceeds from the exercise of stock options of $0.3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legal proceedings; 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extent to which we acquire or invest in businesses, products or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prepare our condensed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2018.</w:t>
      </w:r>
    </w:p>
    <w:p>
      <w:pPr>
        <w:spacing w:after="0" w:line="80" w:lineRule="exact"/>
        <w:rPr>
          <w:sz w:val="20"/>
          <w:szCs w:val="20"/>
          <w:color w:val="auto"/>
        </w:rPr>
      </w:pPr>
    </w:p>
    <w:p>
      <w:pPr>
        <w:ind w:right="180" w:firstLine="518"/>
        <w:spacing w:after="0" w:line="309"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Effective January 1, 2019, the Company adopted </w:t>
      </w:r>
      <w:r>
        <w:rPr>
          <w:rFonts w:ascii="Arial" w:cs="Arial" w:eastAsia="Arial" w:hAnsi="Arial"/>
          <w:sz w:val="18"/>
          <w:szCs w:val="18"/>
          <w:i w:val="1"/>
          <w:iCs w:val="1"/>
          <w:color w:val="auto"/>
        </w:rPr>
        <w:t>ASU 2014-09, Revenue from Contracts with Customers (Topic 606)</w:t>
      </w:r>
      <w:r>
        <w:rPr>
          <w:rFonts w:ascii="Arial" w:cs="Arial" w:eastAsia="Arial" w:hAnsi="Arial"/>
          <w:sz w:val="18"/>
          <w:szCs w:val="18"/>
          <w:color w:val="auto"/>
        </w:rPr>
        <w:t>, or Topic 606, using the modified retrospective transition method. Topic 606 provides a unified model to determine how revenue is recognized. We determine revenue recognition for arrangements within the scope of Topic 606 by performing the following five steps: (i) identify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the contract;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62"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The terms of our collaborative research and development agreements include license fees, upfront payments, milestone payments when and if certain research or technology transfer milestones are achieved, development milestones and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Arrangements that include upfront payments are recorded as deferred revenue upon receipt or when due and may require deferral of revenue recognition to a future period until we perform obligations under these arrangements. We record research funding as accounts receivable when the right to consideration is unconditional. The event-based milestone payments represent variable consideration, and we use the most likely amount method to estimate this variable consideration because we will either receive the milestone payment or we will not, which makes the potential milestone payment a binary event. The most likely amount method requires us to determine the likelihood of earning the milestone payment. Given the high degree of uncertainty around achievement of these milestones, we determine the milestone amounts to be fully constrained and do not recognize revenue until the uncertainty associated with these payments is resolved. We will recognize revenue from sales-based royalty payments when or as the sales occur. We will re-evaluate the transaction price in each reporting period as uncertain events are resolved and other changes in circumstances occur.</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performance obligation is a promise in a contract to transfer a distinct good or service to the collaborative partner and is the unit of account in Topic</w:t>
      </w:r>
    </w:p>
    <w:p>
      <w:pPr>
        <w:spacing w:after="0" w:line="46" w:lineRule="exact"/>
        <w:rPr>
          <w:sz w:val="20"/>
          <w:szCs w:val="20"/>
          <w:color w:val="auto"/>
        </w:rPr>
      </w:pPr>
    </w:p>
    <w:p>
      <w:pPr>
        <w:ind w:right="60" w:firstLine="8"/>
        <w:spacing w:after="0" w:line="271"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contract’s transaction price is allocated to each distinct performance obligation based on relative standalone selling price and recognized as revenue when, or as, the performance obligation is satisfied. Under Topic 606, we elected to use the practical expedients permitted related to adoption, which does not require us to disclose certain information regarding certain remaining performance obligations as of the end of the reporting period. Topic 606 is applicable for revenue recognized in accordance with the practical expedient for measuring progress toward satisfaction of a performance obligation, and variable consideration classified as a sales-based or usage-based royalty promised in exchange for a license.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February 2016, the FASB issued ASU 2016-02, Leases (Topic 842), which requires lessees to recognize most leases on the balance sheet as lease liabilities with corresponding right-of-use assets and to disclose key information about leasing arrangements. We adopted Topic 842 on its effective date in the first quarter of 2019 using a modified retrospective approach. We elected the available package of practical expedients upon adoption, which allowed us to carry forward our historical assessment of whether existing agreements contained a lease and the classification of our existing operating leases. We continue to report our financial position as of December 31, 2018 under the former lease accounting standard (Topic 840) in our condensed consolidated balance sheet.</w:t>
      </w:r>
    </w:p>
    <w:p>
      <w:pPr>
        <w:spacing w:after="0" w:line="5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adoption impact was due to the recognition of operating lease liabilities with corresponding right-of-use assets based on the present value of remaining minimum lease payments. The difference between these amounts was recorded as a reduction of the right-of-use asset by the existing balance of deferred rent obligation with no impact to retained earnings.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“Note 8 Leases” </w:t>
      </w:r>
      <w:r>
        <w:rPr>
          <w:rFonts w:ascii="Arial" w:cs="Arial" w:eastAsia="Arial" w:hAnsi="Arial"/>
          <w:sz w:val="18"/>
          <w:szCs w:val="18"/>
          <w:color w:val="auto"/>
        </w:rPr>
        <w:t>for further details on our noncancelable contractual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United States interest rates. Due to the nature of our cash and cash equivalents, we believe that we are not subject to any material market risk exposure. We do not have any foreign currency or other derivative financial instruments.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2019, the Company’s disclosure controls and procedures were effective at the reasonable assurance level and we believe the condensed consolidated financial statements included in this Form 10-Q for the quarterly period ended September 30, 2019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8" w:name="page29"/>
    <w:bookmarkEnd w:id="28"/>
    <w:p>
      <w:pPr>
        <w:jc w:val="center"/>
        <w:ind w:right="-3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business is subject to various risks, including those described in Item 1A of our Annual Report on Form 10-K for the fiscal year ended December 31, 2018, which we strongly encourage you to review. As of the filing of this report, there have been no material changes from the risk factors disclosed in Item 1A of our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37" w:right="6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Exhibit No.</w:t>
            </w:r>
          </w:p>
        </w:tc>
        <w:tc>
          <w:tcPr>
            <w:tcW w:w="120" w:type="dxa"/>
            <w:vAlign w:val="bottom"/>
          </w:tcPr>
          <w:p>
            <w:pPr>
              <w:spacing w:after="0"/>
              <w:rPr>
                <w:sz w:val="20"/>
                <w:szCs w:val="20"/>
                <w:color w:val="auto"/>
              </w:rPr>
            </w:pPr>
          </w:p>
        </w:tc>
        <w:tc>
          <w:tcPr>
            <w:tcW w:w="10140" w:type="dxa"/>
            <w:vAlign w:val="bottom"/>
            <w:tcBorders>
              <w:bottom w:val="single" w:sz="8" w:color="auto"/>
            </w:tcBorders>
            <w:gridSpan w:val="32"/>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6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0160" w:type="dxa"/>
            <w:vAlign w:val="bottom"/>
            <w:gridSpan w:val="33"/>
          </w:tcPr>
          <w:p>
            <w:pPr>
              <w:spacing w:after="0"/>
              <w:rPr>
                <w:rFonts w:ascii="Arial" w:cs="Arial" w:eastAsia="Arial" w:hAnsi="Arial"/>
                <w:sz w:val="18"/>
                <w:szCs w:val="18"/>
                <w:color w:val="0000EE"/>
                <w:w w:val="96"/>
              </w:rPr>
            </w:pPr>
            <w:hyperlink r:id="rId48">
              <w:r>
                <w:rPr>
                  <w:rFonts w:ascii="Arial" w:cs="Arial" w:eastAsia="Arial" w:hAnsi="Arial"/>
                  <w:sz w:val="18"/>
                  <w:szCs w:val="18"/>
                  <w:color w:val="0000EE"/>
                  <w:w w:val="96"/>
                </w:rPr>
                <w:t>Share Exchange Agreement, dated as of February 11, 2019, by and between the Company and Arcturus Therapeutics Holdings Inc.</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Incorporated by reference to Exhibit 10.13 to the Company’s Annual Report on Form 10-K for the year ended December 31, 2018 filed with</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the SEC on March 18, 2019.</w:t>
              </w:r>
            </w:hyperlink>
          </w:p>
        </w:tc>
        <w:tc>
          <w:tcPr>
            <w:tcW w:w="8100" w:type="dxa"/>
            <w:vAlign w:val="bottom"/>
            <w:gridSpan w:val="30"/>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440" w:type="dxa"/>
            <w:vAlign w:val="bottom"/>
            <w:tcBorders>
              <w:bottom w:val="single" w:sz="8" w:color="0000EE"/>
            </w:tcBorders>
            <w:gridSpan w:val="17"/>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Certificate of Incorporation of Arcturus Therapeutics Holdings Inc. (incorporated by reference to Annex B to the proxy statement /</w:t>
              </w:r>
            </w:hyperlink>
          </w:p>
        </w:tc>
        <w:tc>
          <w:tcPr>
            <w:tcW w:w="72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prospectus which forms part of the Registration Statement on Form S-4 (File No. 333-230353) filed on March 18, 2019).</w:t>
              </w:r>
            </w:hyperlink>
          </w:p>
        </w:tc>
        <w:tc>
          <w:tcPr>
            <w:tcW w:w="1400" w:type="dxa"/>
            <w:vAlign w:val="bottom"/>
            <w:gridSpan w:val="19"/>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080" w:type="dxa"/>
            <w:vAlign w:val="bottom"/>
            <w:tcBorders>
              <w:bottom w:val="single" w:sz="8" w:color="0000EE"/>
            </w:tcBorders>
            <w:gridSpan w:val="30"/>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Bylaws of Arcturus Therapeutics Holdings Inc. (incorporated by reference to Annex C to the proxy statement / prospectus which forms part</w:t>
              </w:r>
            </w:hyperlink>
          </w:p>
        </w:tc>
        <w:tc>
          <w:tcPr>
            <w:tcW w:w="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of the Registration Statement on Form S-4 (File No. 333-230353) filed on March 18, 2019).</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780" w:type="dxa"/>
            <w:vAlign w:val="bottom"/>
            <w:tcBorders>
              <w:bottom w:val="single" w:sz="8" w:color="0000EE"/>
            </w:tcBorders>
            <w:gridSpan w:val="24"/>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Arcturus Therapeutics Ltd. 2018 Omnibus Equity Incentive Plan. Incorporated by reference to Exhibit 99.3 to the Company’s Report of</w:t>
              </w:r>
            </w:hyperlink>
          </w:p>
        </w:tc>
        <w:tc>
          <w:tcPr>
            <w:tcW w:w="38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Foreign Private Issuer on Form 6-K filed with the SEC on July 27, 2018 (File No. 001-35932).</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080" w:type="dxa"/>
            <w:vAlign w:val="bottom"/>
            <w:tcBorders>
              <w:bottom w:val="single" w:sz="8" w:color="0000EE"/>
            </w:tcBorders>
            <w:gridSpan w:val="30"/>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Arcturus Therapeutics Ltd. Amended and Restated Compensation Policy for Company Office Holders. Incorporated by reference to Exhibit</w:t>
              </w:r>
            </w:hyperlink>
          </w:p>
        </w:tc>
        <w:tc>
          <w:tcPr>
            <w:tcW w:w="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99.</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Company’s Report of Foreign Private Issuer on Form 6-K filed with the SEC on July 27, 2018 (File No. 001-35932).</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120" w:type="dxa"/>
            <w:vAlign w:val="bottom"/>
            <w:tcBorders>
              <w:bottom w:val="single" w:sz="8" w:color="0000EE"/>
            </w:tcBorders>
            <w:gridSpan w:val="31"/>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Agreement and Plan of Merger and Reorganization among Alcobra Ltd., Aleph MergerSub, Inc. and Arcturus Therapeutics, Inc., dated as of</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September 27, 2017. Incorporated by reference to Exhibit 99.2 to the Company’s Report of Foreign Private Issuer on Form 6-K filed with</w:t>
              </w:r>
            </w:hyperlink>
          </w:p>
        </w:tc>
        <w:tc>
          <w:tcPr>
            <w:tcW w:w="2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the SEC on September 28, 2017 (File No. 001-35932).</w:t>
              </w:r>
            </w:hyperlink>
          </w:p>
        </w:tc>
        <w:tc>
          <w:tcPr>
            <w:tcW w:w="6220" w:type="dxa"/>
            <w:vAlign w:val="bottom"/>
            <w:gridSpan w:val="26"/>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Form of Indemnification Agreement. Incorporated by reference to Exhibit 10.4 to the Company’s Form F-1/A filed with the SEC on</w:t>
              </w:r>
            </w:hyperlink>
          </w:p>
        </w:tc>
        <w:tc>
          <w:tcPr>
            <w:tcW w:w="62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February 19, 2013 (File No. 333-186003).</w:t>
              </w:r>
            </w:hyperlink>
          </w:p>
        </w:tc>
        <w:tc>
          <w:tcPr>
            <w:tcW w:w="7120" w:type="dxa"/>
            <w:vAlign w:val="bottom"/>
            <w:gridSpan w:val="29"/>
          </w:tcPr>
          <w:p>
            <w:pPr>
              <w:spacing w:after="0"/>
              <w:rPr>
                <w:sz w:val="17"/>
                <w:szCs w:val="17"/>
                <w:color w:val="auto"/>
              </w:rPr>
            </w:pPr>
          </w:p>
        </w:tc>
      </w:tr>
      <w:tr>
        <w:trPr>
          <w:trHeight w:val="318"/>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4.5†</w:t>
            </w:r>
          </w:p>
        </w:tc>
        <w:tc>
          <w:tcPr>
            <w:tcW w:w="9780" w:type="dxa"/>
            <w:vAlign w:val="bottom"/>
            <w:tcBorders>
              <w:bottom w:val="single" w:sz="8" w:color="0000EE"/>
            </w:tcBorders>
            <w:gridSpan w:val="24"/>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Alcobra Ltd. Amended and Restated 2010 Incentive Option Plan. Incorporated by reference to Exhibit 4.3 to the Company’s Form 20-F</w:t>
              </w:r>
            </w:hyperlink>
          </w:p>
        </w:tc>
        <w:tc>
          <w:tcPr>
            <w:tcW w:w="38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filed with the SEC on April 28, 2017 (File No. 001-35932).</w:t>
              </w:r>
            </w:hyperlink>
          </w:p>
        </w:tc>
      </w:tr>
      <w:tr>
        <w:trPr>
          <w:trHeight w:val="20"/>
        </w:trPr>
        <w:tc>
          <w:tcPr>
            <w:tcW w:w="12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4.6†</w:t>
            </w:r>
          </w:p>
        </w:tc>
        <w:tc>
          <w:tcPr>
            <w:tcW w:w="9980" w:type="dxa"/>
            <w:vAlign w:val="bottom"/>
            <w:tcBorders>
              <w:bottom w:val="single" w:sz="8" w:color="0000EE"/>
            </w:tcBorders>
            <w:gridSpan w:val="27"/>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2013 Equity Incentive Plan of Arcturus Therapeutics, Inc. Incorporated by reference to Exhibit 99.1 to the Company’s Form S-8 filed with</w:t>
              </w:r>
            </w:hyperlink>
          </w:p>
        </w:tc>
        <w:tc>
          <w:tcPr>
            <w:tcW w:w="18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the SEC on November 30, 2017 (File No. 333-221830).</w:t>
              </w:r>
            </w:hyperlink>
          </w:p>
        </w:tc>
        <w:tc>
          <w:tcPr>
            <w:tcW w:w="6140" w:type="dxa"/>
            <w:vAlign w:val="bottom"/>
            <w:gridSpan w:val="25"/>
          </w:tcPr>
          <w:p>
            <w:pPr>
              <w:spacing w:after="0"/>
              <w:rPr>
                <w:sz w:val="17"/>
                <w:szCs w:val="17"/>
                <w:color w:val="auto"/>
              </w:rPr>
            </w:pPr>
          </w:p>
        </w:tc>
      </w:tr>
      <w:tr>
        <w:trPr>
          <w:trHeight w:val="318"/>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4.7†</w:t>
            </w:r>
          </w:p>
        </w:tc>
        <w:tc>
          <w:tcPr>
            <w:tcW w:w="10080" w:type="dxa"/>
            <w:vAlign w:val="bottom"/>
            <w:tcBorders>
              <w:bottom w:val="single" w:sz="8" w:color="0000EE"/>
            </w:tcBorders>
            <w:gridSpan w:val="30"/>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Arcturus Therapeutics Holdings Inc. 2019 Omnibus Equity Incentive Plan. Incorporated by reference to Exhibit 3.2 to the Company’s Form</w:t>
              </w:r>
            </w:hyperlink>
          </w:p>
        </w:tc>
        <w:tc>
          <w:tcPr>
            <w:tcW w:w="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8-K12B filed with the SEC on June 14, 2019.</w:t>
              </w:r>
            </w:hyperlink>
          </w:p>
        </w:tc>
        <w:tc>
          <w:tcPr>
            <w:tcW w:w="6880" w:type="dxa"/>
            <w:vAlign w:val="bottom"/>
            <w:gridSpan w:val="28"/>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Loan and Security Agreement, dated October 12, 2018, by and between Western Alliance Bank and Arcturus Therapeutics, Inc.</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Incorporated by reference to Exhibit 10.1 to the Company’s Report of Foreign Private Issuer on Form 6-K filed with the SEC on October 15,</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2018 (File No. 001-35932).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Sales Agreement, dated October 15, 2018, by and between Arcturus Therapeutics Ltd. and Leerink Partners LLC. Incorporated by reference</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0"/>
          </w:tcPr>
          <w:p>
            <w:pPr>
              <w:spacing w:after="0" w:line="196"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to Exhibit 10.2 to the Company’s Report of Foreign Private Issuer on Form 6-K filed with the SEC on October 15, 2018 (File No. 001-</w:t>
              </w:r>
            </w:hyperlink>
          </w:p>
        </w:tc>
        <w:tc>
          <w:tcPr>
            <w:tcW w:w="8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35932).</w:t>
              </w:r>
            </w:hyperlink>
          </w:p>
        </w:tc>
        <w:tc>
          <w:tcPr>
            <w:tcW w:w="1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160" w:type="dxa"/>
            <w:vAlign w:val="bottom"/>
            <w:gridSpan w:val="33"/>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Amended and Restated Amendment to Development and Option Agreement, dated as of September 28, 2018, by and between CureVac AG</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and Arcturus Therapeutics Inc. Incorporated by reference to Exhibit 99.2 to the Company’s Report of Foreign Private Issuer on Form 6-K</w:t>
              </w:r>
            </w:hyperlink>
          </w:p>
        </w:tc>
        <w:tc>
          <w:tcPr>
            <w:tcW w:w="100" w:type="dxa"/>
            <w:vAlign w:val="bottom"/>
            <w:tcBorders>
              <w:top w:val="single" w:sz="8" w:color="0000EE"/>
            </w:tcBorders>
            <w:gridSpan w:val="2"/>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filed with the SEC on October 1, 2018 (File No. 001-35932).</w:t>
              </w:r>
            </w:hyperlink>
          </w:p>
        </w:tc>
        <w:tc>
          <w:tcPr>
            <w:tcW w:w="5760" w:type="dxa"/>
            <w:vAlign w:val="bottom"/>
            <w:gridSpan w:val="23"/>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50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October 18, 2017. Incorporated by reference to Exhibit 4.7 to Form 20-F filed with the SEC on May 14, 2018 (File No. 001-35932).</w:t>
              </w:r>
            </w:hyperlink>
          </w:p>
        </w:tc>
        <w:tc>
          <w:tcPr>
            <w:tcW w:w="640" w:type="dxa"/>
            <w:vAlign w:val="bottom"/>
            <w:gridSpan w:val="15"/>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920" w:type="dxa"/>
            <w:vAlign w:val="bottom"/>
            <w:tcBorders>
              <w:bottom w:val="single" w:sz="8" w:color="0000EE"/>
            </w:tcBorders>
            <w:gridSpan w:val="25"/>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Research and Exclusive License Agreement, by and between Arcturus Therapeutics, Inc. and Synthetic Genomics, Inc., effective October</w:t>
              </w:r>
            </w:hyperlink>
          </w:p>
        </w:tc>
        <w:tc>
          <w:tcPr>
            <w:tcW w:w="24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24, 2017. Incorporated by reference to Exhibit 4.8 to Form 20-F filed with the SEC on May 14, 2018 (File No. 001-35932).</w:t>
              </w:r>
            </w:hyperlink>
          </w:p>
        </w:tc>
        <w:tc>
          <w:tcPr>
            <w:tcW w:w="1260" w:type="dxa"/>
            <w:vAlign w:val="bottom"/>
            <w:gridSpan w:val="18"/>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Research Agreement, by and between Arcturus Therapeutics, Inc. and Millennium Pharmaceuticals, Inc., a wholly-owned subsidiary of</w:t>
              </w:r>
            </w:hyperlink>
          </w:p>
        </w:tc>
        <w:tc>
          <w:tcPr>
            <w:tcW w:w="40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Takeda Pharmaceutical Company Limited, effective December 6, 2016, as amended December 21, 2017. Incorporated by reference to</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Exhibit 4.9 to Form 20-F filed with the SEC on May 14, 2018 (File No. 001-35932).</w:t>
              </w:r>
            </w:hyperlink>
          </w:p>
        </w:tc>
        <w:tc>
          <w:tcPr>
            <w:tcW w:w="520" w:type="dxa"/>
            <w:vAlign w:val="bottom"/>
            <w:gridSpan w:val="13"/>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860" w:type="dxa"/>
            <w:vAlign w:val="bottom"/>
            <w:gridSpan w:val="1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940" w:type="dxa"/>
            <w:vAlign w:val="bottom"/>
            <w:tcBorders>
              <w:bottom w:val="single" w:sz="8" w:color="0000EE"/>
            </w:tcBorders>
            <w:gridSpan w:val="26"/>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Research Collaboration and License Agreement, by and between Arcturus Therapeutics, Inc. and Ultragenyx Pharmaceutical Inc., entered</w:t>
              </w:r>
            </w:hyperlink>
          </w:p>
        </w:tc>
        <w:tc>
          <w:tcPr>
            <w:tcW w:w="22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into as of October 26, 2015, as amended October 17, 2017 and April 20, 2018. Incorporated by reference to Exhibit 4.10 to Form 20-F filed</w:t>
              </w:r>
            </w:hyperlink>
          </w:p>
        </w:tc>
        <w:tc>
          <w:tcPr>
            <w:tcW w:w="10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with the SEC on May 14, 2018 (File No. 001-35932).</w:t>
              </w:r>
            </w:hyperlink>
          </w:p>
        </w:tc>
        <w:tc>
          <w:tcPr>
            <w:tcW w:w="6300" w:type="dxa"/>
            <w:vAlign w:val="bottom"/>
            <w:gridSpan w:val="27"/>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80" w:type="dxa"/>
            <w:vAlign w:val="bottom"/>
            <w:gridSpan w:val="11"/>
          </w:tcPr>
          <w:p>
            <w:pPr>
              <w:ind w:left="43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Pr>
          <w:p>
            <w:pPr>
              <w:ind w:left="100"/>
              <w:spacing w:after="0"/>
              <w:rPr>
                <w:sz w:val="20"/>
                <w:szCs w:val="20"/>
                <w:color w:val="auto"/>
              </w:rPr>
            </w:pPr>
            <w:r>
              <w:rPr>
                <w:rFonts w:ascii="Arial" w:cs="Arial" w:eastAsia="Arial" w:hAnsi="Arial"/>
                <w:sz w:val="18"/>
                <w:szCs w:val="18"/>
                <w:color w:val="auto"/>
              </w:rPr>
              <w:t>10.8</w:t>
            </w:r>
          </w:p>
        </w:tc>
        <w:tc>
          <w:tcPr>
            <w:tcW w:w="9720" w:type="dxa"/>
            <w:vAlign w:val="bottom"/>
            <w:tcBorders>
              <w:bottom w:val="single" w:sz="8" w:color="0000EE"/>
            </w:tcBorders>
            <w:gridSpan w:val="21"/>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Letter Agreement, by and between Arcturus Therapeutics, Inc. and Cystic Fibrosis Foundation Therapeutics, Inc., dated May 16, 2017.</w:t>
              </w:r>
            </w:hyperlink>
          </w:p>
        </w:tc>
        <w:tc>
          <w:tcPr>
            <w:tcW w:w="44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2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Incorporated by reference to Exhibit 4.11 to Form 20-F filed with the SEC on May 14, 2018 (File No. 001-35932).</w:t>
              </w:r>
            </w:hyperlink>
          </w:p>
        </w:tc>
        <w:tc>
          <w:tcPr>
            <w:tcW w:w="1900" w:type="dxa"/>
            <w:vAlign w:val="bottom"/>
            <w:gridSpan w:val="20"/>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10.9</w:t>
            </w:r>
          </w:p>
        </w:tc>
        <w:tc>
          <w:tcPr>
            <w:tcW w:w="9780" w:type="dxa"/>
            <w:vAlign w:val="bottom"/>
            <w:tcBorders>
              <w:bottom w:val="single" w:sz="8" w:color="0000EE"/>
            </w:tcBorders>
            <w:gridSpan w:val="23"/>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Development and Option Agreement, by and between Arcturus Therapeutics, Inc. and CureVac AG, dated January 1, 2018, as amended</w:t>
              </w:r>
            </w:hyperlink>
          </w:p>
        </w:tc>
        <w:tc>
          <w:tcPr>
            <w:tcW w:w="38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May 3, 2018. Incorporated by reference to Exhibit 4.12 to Form 20-F filed with the SEC on May 14, 2018 (File No. 001-35932).</w:t>
              </w:r>
            </w:hyperlink>
          </w:p>
        </w:tc>
      </w:tr>
      <w:tr>
        <w:trPr>
          <w:trHeight w:val="20"/>
        </w:trPr>
        <w:tc>
          <w:tcPr>
            <w:tcW w:w="128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10.10</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30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7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2018. Incorporated by reference to Exhibit 4.13 to Form 20-F filed with the SEC on May 14, 2018 (File No. 001-35932).</w:t>
              </w:r>
            </w:hyperlink>
          </w:p>
        </w:tc>
        <w:tc>
          <w:tcPr>
            <w:tcW w:w="1440" w:type="dxa"/>
            <w:vAlign w:val="bottom"/>
            <w:gridSpan w:val="19"/>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10.11</w:t>
            </w:r>
          </w:p>
        </w:tc>
        <w:tc>
          <w:tcPr>
            <w:tcW w:w="9040" w:type="dxa"/>
            <w:vAlign w:val="bottom"/>
            <w:tcBorders>
              <w:bottom w:val="single" w:sz="8" w:color="0000EE"/>
            </w:tcBorders>
            <w:gridSpan w:val="17"/>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1120" w:type="dxa"/>
            <w:vAlign w:val="bottom"/>
            <w:gridSpan w:val="1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Biotherapeutics Inc., dated as of November 28, 2012. Incorporated by reference to Exhibit 4.14 to Form 20-F/A filed with the SEC on July</w:t>
              </w:r>
            </w:hyperlink>
          </w:p>
        </w:tc>
      </w:tr>
      <w:tr>
        <w:trPr>
          <w:trHeight w:val="196"/>
        </w:trPr>
        <w:tc>
          <w:tcPr>
            <w:tcW w:w="1280" w:type="dxa"/>
            <w:vAlign w:val="bottom"/>
          </w:tcPr>
          <w:p>
            <w:pPr>
              <w:spacing w:after="0"/>
              <w:rPr>
                <w:sz w:val="17"/>
                <w:szCs w:val="17"/>
                <w:color w:val="auto"/>
              </w:rPr>
            </w:pPr>
          </w:p>
        </w:tc>
        <w:tc>
          <w:tcPr>
            <w:tcW w:w="2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10, 2018 (File No. 001-35932).</w:t>
              </w:r>
            </w:hyperlink>
          </w:p>
        </w:tc>
        <w:tc>
          <w:tcPr>
            <w:tcW w:w="7740" w:type="dxa"/>
            <w:vAlign w:val="bottom"/>
            <w:tcBorders>
              <w:top w:val="single" w:sz="8" w:color="0000EE"/>
            </w:tcBorders>
            <w:gridSpan w:val="28"/>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10.12</w:t>
            </w:r>
          </w:p>
        </w:tc>
        <w:tc>
          <w:tcPr>
            <w:tcW w:w="9800" w:type="dxa"/>
            <w:vAlign w:val="bottom"/>
            <w:tcBorders>
              <w:bottom w:val="single" w:sz="8" w:color="0000EE"/>
            </w:tcBorders>
            <w:gridSpan w:val="24"/>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36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7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2013. Incorporated by reference to Exhibit 4.15 to Form 20-F filed with the SEC on May 14, 2018 (File No. 001-35932).</w:t>
              </w:r>
            </w:hyperlink>
          </w:p>
        </w:tc>
        <w:tc>
          <w:tcPr>
            <w:tcW w:w="1440" w:type="dxa"/>
            <w:vAlign w:val="bottom"/>
            <w:gridSpan w:val="19"/>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10.13</w:t>
            </w:r>
          </w:p>
        </w:tc>
        <w:tc>
          <w:tcPr>
            <w:tcW w:w="10120" w:type="dxa"/>
            <w:vAlign w:val="bottom"/>
            <w:tcBorders>
              <w:bottom w:val="single" w:sz="8" w:color="0000EE"/>
            </w:tcBorders>
            <w:gridSpan w:val="33"/>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Share Exchange Agreement, dated as of February 11, 2019, by and between Arcturus Therapeutics Ltd. and Arcturus Therapeutics Holdings</w:t>
              </w:r>
            </w:hyperlink>
          </w:p>
        </w:tc>
        <w:tc>
          <w:tcPr>
            <w:tcW w:w="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Inc. Incorporated by reference to Exhibit 10.13 to the Company’s Annual Report on Form 10-K for the year ended December 31, 2018 filed</w:t>
              </w:r>
            </w:hyperlink>
          </w:p>
        </w:tc>
      </w:tr>
      <w:tr>
        <w:trPr>
          <w:trHeight w:val="196"/>
        </w:trPr>
        <w:tc>
          <w:tcPr>
            <w:tcW w:w="12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with the SEC on March 18, 2019.</w:t>
              </w:r>
            </w:hyperlink>
          </w:p>
        </w:tc>
        <w:tc>
          <w:tcPr>
            <w:tcW w:w="7640" w:type="dxa"/>
            <w:vAlign w:val="bottom"/>
            <w:tcBorders>
              <w:top w:val="single" w:sz="8" w:color="0000EE"/>
            </w:tcBorders>
            <w:gridSpan w:val="29"/>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10.14</w:t>
            </w:r>
          </w:p>
        </w:tc>
        <w:tc>
          <w:tcPr>
            <w:tcW w:w="9960" w:type="dxa"/>
            <w:vAlign w:val="bottom"/>
            <w:tcBorders>
              <w:bottom w:val="single" w:sz="8" w:color="0000EE"/>
            </w:tcBorders>
            <w:gridSpan w:val="28"/>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Amended and Restated Joint Venture, Research Collaboration and License Agreement, dated as of July 14, 2018 by and between Arcturus</w:t>
              </w:r>
            </w:hyperlink>
          </w:p>
        </w:tc>
        <w:tc>
          <w:tcPr>
            <w:tcW w:w="20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w w:val="94"/>
              </w:rPr>
            </w:pPr>
            <w:hyperlink r:id="rId72">
              <w:r>
                <w:rPr>
                  <w:rFonts w:ascii="Arial" w:cs="Arial" w:eastAsia="Arial" w:hAnsi="Arial"/>
                  <w:sz w:val="18"/>
                  <w:szCs w:val="18"/>
                  <w:color w:val="0000EE"/>
                  <w:w w:val="94"/>
                </w:rPr>
                <w:t>Therapeutics, Inc. and Providence Therapeutics, Inc. Incorporated by reference to Exhibit 10.14 to the Company’s Amendment No. 1 to</w:t>
              </w:r>
            </w:hyperlink>
          </w:p>
        </w:tc>
      </w:tr>
      <w:tr>
        <w:trPr>
          <w:trHeight w:val="196"/>
        </w:trPr>
        <w:tc>
          <w:tcPr>
            <w:tcW w:w="128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Annual Report on Form 10-K for the year ended December 31, 2018 filed with the SEC on April 10, 2019.</w:t>
              </w:r>
            </w:hyperlink>
          </w:p>
        </w:tc>
        <w:tc>
          <w:tcPr>
            <w:tcW w:w="2080" w:type="dxa"/>
            <w:vAlign w:val="bottom"/>
            <w:tcBorders>
              <w:top w:val="single" w:sz="8" w:color="0000EE"/>
            </w:tcBorders>
            <w:gridSpan w:val="10"/>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10.15</w:t>
            </w:r>
          </w:p>
        </w:tc>
        <w:tc>
          <w:tcPr>
            <w:tcW w:w="8900" w:type="dxa"/>
            <w:vAlign w:val="bottom"/>
            <w:tcBorders>
              <w:bottom w:val="single" w:sz="8" w:color="0000EE"/>
            </w:tcBorders>
            <w:gridSpan w:val="16"/>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Research Collaboration Agreement, dated as of March 8, 2019 by and between Arcturus Therapeutics, Inc. and Millennium</w:t>
              </w:r>
            </w:hyperlink>
          </w:p>
        </w:tc>
        <w:tc>
          <w:tcPr>
            <w:tcW w:w="1260" w:type="dxa"/>
            <w:vAlign w:val="bottom"/>
            <w:gridSpan w:val="1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Pharmaceuticals, Inc., a wholly-owned subsidiary of Takeda Pharmaceutical Company Limited. Incorporated by reference to Exhibit 10.15</w:t>
              </w:r>
            </w:hyperlink>
          </w:p>
        </w:tc>
        <w:tc>
          <w:tcPr>
            <w:tcW w:w="1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to the Company’s Annual Report on Form 10-K for the year ended December 31, 2018 filed with the SEC on March 18, 2019.</w:t>
              </w:r>
            </w:hyperlink>
          </w:p>
        </w:tc>
      </w:tr>
      <w:tr>
        <w:trPr>
          <w:trHeight w:val="20"/>
        </w:trPr>
        <w:tc>
          <w:tcPr>
            <w:tcW w:w="1280" w:type="dxa"/>
            <w:vAlign w:val="bottom"/>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10.16+</w:t>
            </w:r>
          </w:p>
        </w:tc>
        <w:tc>
          <w:tcPr>
            <w:tcW w:w="9440" w:type="dxa"/>
            <w:vAlign w:val="bottom"/>
            <w:tcBorders>
              <w:bottom w:val="single" w:sz="8" w:color="0000EE"/>
            </w:tcBorders>
            <w:gridSpan w:val="20"/>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Amendment dated as of August 1, 2019, by and between Arcturus Therapeutics, Inc. and Cystic Fibrosis Foundation to that certain</w:t>
              </w:r>
            </w:hyperlink>
          </w:p>
        </w:tc>
        <w:tc>
          <w:tcPr>
            <w:tcW w:w="72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9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Development Program Letter Agreement of May 16, 2017. Incorporated by reference to Exhibit 10.16 to the Company’s Quarterly Report</w:t>
              </w:r>
            </w:hyperlink>
          </w:p>
        </w:tc>
        <w:tc>
          <w:tcPr>
            <w:tcW w:w="22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on Form 10-Q for the quarterly period ended June 30, 2019, filed with the SEC on August 14, 2019.</w:t>
              </w:r>
            </w:hyperlink>
          </w:p>
        </w:tc>
      </w:tr>
      <w:tr>
        <w:trPr>
          <w:trHeight w:val="20"/>
        </w:trPr>
        <w:tc>
          <w:tcPr>
            <w:tcW w:w="1280" w:type="dxa"/>
            <w:vAlign w:val="bottom"/>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10.17</w:t>
            </w:r>
          </w:p>
        </w:tc>
        <w:tc>
          <w:tcPr>
            <w:tcW w:w="10160" w:type="dxa"/>
            <w:vAlign w:val="bottom"/>
            <w:gridSpan w:val="34"/>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Letter Agreement, dated July 26, 2019, between the Company and the Placement Agent. Incorporated by reference to Exhibit 1.1 to the</w:t>
              </w:r>
            </w:hyperlink>
          </w:p>
        </w:tc>
      </w:tr>
      <w:tr>
        <w:trPr>
          <w:trHeight w:val="196"/>
        </w:trPr>
        <w:tc>
          <w:tcPr>
            <w:tcW w:w="1280" w:type="dxa"/>
            <w:vAlign w:val="bottom"/>
          </w:tcPr>
          <w:p>
            <w:pPr>
              <w:spacing w:after="0"/>
              <w:rPr>
                <w:sz w:val="17"/>
                <w:szCs w:val="17"/>
                <w:color w:val="auto"/>
              </w:rPr>
            </w:pPr>
          </w:p>
        </w:tc>
        <w:tc>
          <w:tcPr>
            <w:tcW w:w="9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Company’s Current Report on Form 8-K dated August 2, 2019.</w:t>
              </w:r>
            </w:hyperlink>
          </w:p>
        </w:tc>
        <w:tc>
          <w:tcPr>
            <w:tcW w:w="420" w:type="dxa"/>
            <w:vAlign w:val="bottom"/>
            <w:gridSpan w:val="1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10.18</w:t>
            </w:r>
          </w:p>
        </w:tc>
        <w:tc>
          <w:tcPr>
            <w:tcW w:w="10160" w:type="dxa"/>
            <w:vAlign w:val="bottom"/>
            <w:gridSpan w:val="34"/>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Securities Purchase Agreement, dated August 1, 2019, between the Company and the Investors party thereto. Incorporated by reference to</w:t>
              </w:r>
            </w:hyperlink>
          </w:p>
        </w:tc>
      </w:tr>
      <w:tr>
        <w:trPr>
          <w:trHeight w:val="196"/>
        </w:trPr>
        <w:tc>
          <w:tcPr>
            <w:tcW w:w="128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Exhibit 10.1 to the Company’s Current Report on Form 8-K dated August 2, 2019.</w:t>
              </w:r>
            </w:hyperlink>
          </w:p>
        </w:tc>
        <w:tc>
          <w:tcPr>
            <w:tcW w:w="3980" w:type="dxa"/>
            <w:vAlign w:val="bottom"/>
            <w:tcBorders>
              <w:top w:val="single" w:sz="8" w:color="0000EE"/>
            </w:tcBorders>
            <w:gridSpan w:val="18"/>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10.19</w:t>
            </w:r>
          </w:p>
        </w:tc>
        <w:tc>
          <w:tcPr>
            <w:tcW w:w="10160" w:type="dxa"/>
            <w:vAlign w:val="bottom"/>
            <w:gridSpan w:val="34"/>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Securities Purchase Agreement, dated August 2, 2019, between the Company and the Investors party thereto. Incorporated by reference to</w:t>
              </w:r>
            </w:hyperlink>
          </w:p>
        </w:tc>
      </w:tr>
      <w:tr>
        <w:trPr>
          <w:trHeight w:val="196"/>
        </w:trPr>
        <w:tc>
          <w:tcPr>
            <w:tcW w:w="128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Exhibit 10.1 to the Company’s Current Report on Form 8-K dated August 5, 2019.</w:t>
              </w:r>
            </w:hyperlink>
          </w:p>
        </w:tc>
        <w:tc>
          <w:tcPr>
            <w:tcW w:w="3980" w:type="dxa"/>
            <w:vAlign w:val="bottom"/>
            <w:tcBorders>
              <w:top w:val="single" w:sz="8" w:color="0000EE"/>
            </w:tcBorders>
            <w:gridSpan w:val="18"/>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10.20+</w:t>
            </w:r>
          </w:p>
        </w:tc>
        <w:tc>
          <w:tcPr>
            <w:tcW w:w="9840" w:type="dxa"/>
            <w:vAlign w:val="bottom"/>
            <w:tcBorders>
              <w:bottom w:val="single" w:sz="8" w:color="0000EE"/>
            </w:tcBorders>
            <w:gridSpan w:val="25"/>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Amendment to Development and Option Agreement, dated July 26, 2019, by and between Arcturus Therapeutics, Inc. and CureVac AG.</w:t>
              </w:r>
            </w:hyperlink>
          </w:p>
        </w:tc>
        <w:tc>
          <w:tcPr>
            <w:tcW w:w="32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Incorporated by reference to Exhibit 10.20 to the Company’s Quarterly Report on Form 10-Q for the</w:t>
              </w:r>
            </w:hyperlink>
          </w:p>
        </w:tc>
      </w:tr>
      <w:tr>
        <w:trPr>
          <w:trHeight w:val="196"/>
        </w:trPr>
        <w:tc>
          <w:tcPr>
            <w:tcW w:w="12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quarterly period ended June 30, 2019, filed with the SEC on August 14, 2019.</w:t>
              </w:r>
            </w:hyperlink>
          </w:p>
        </w:tc>
        <w:tc>
          <w:tcPr>
            <w:tcW w:w="1620" w:type="dxa"/>
            <w:vAlign w:val="bottom"/>
            <w:tcBorders>
              <w:top w:val="single" w:sz="8" w:color="0000EE"/>
            </w:tcBorders>
            <w:gridSpan w:val="6"/>
          </w:tcPr>
          <w:p>
            <w:pPr>
              <w:spacing w:after="0"/>
              <w:rPr>
                <w:sz w:val="17"/>
                <w:szCs w:val="17"/>
                <w:color w:val="auto"/>
              </w:rPr>
            </w:pPr>
          </w:p>
        </w:tc>
        <w:tc>
          <w:tcPr>
            <w:tcW w:w="2920" w:type="dxa"/>
            <w:vAlign w:val="bottom"/>
            <w:gridSpan w:val="22"/>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10.21</w:t>
            </w:r>
          </w:p>
        </w:tc>
        <w:tc>
          <w:tcPr>
            <w:tcW w:w="10160" w:type="dxa"/>
            <w:vAlign w:val="bottom"/>
            <w:gridSpan w:val="34"/>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Termination Agreement, dated July 26, 2019, by and between Arcturus Therapeutics, Inc. and CureVac AG. Incorporated by reference to</w:t>
              </w:r>
            </w:hyperlink>
          </w:p>
        </w:tc>
      </w:tr>
      <w:tr>
        <w:trPr>
          <w:trHeight w:val="196"/>
        </w:trPr>
        <w:tc>
          <w:tcPr>
            <w:tcW w:w="128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Exhibit 10.21 to the Company’s Quarterly Report on Form 10-Q for the quarterly period</w:t>
              </w:r>
            </w:hyperlink>
          </w:p>
        </w:tc>
        <w:tc>
          <w:tcPr>
            <w:tcW w:w="3500" w:type="dxa"/>
            <w:vAlign w:val="bottom"/>
            <w:tcBorders>
              <w:top w:val="single" w:sz="8" w:color="0000EE"/>
            </w:tcBorders>
            <w:gridSpan w:val="16"/>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4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ended June 30, 2019, filed with the SEC on August 14, 2019.</w:t>
              </w:r>
            </w:hyperlink>
          </w:p>
        </w:tc>
        <w:tc>
          <w:tcPr>
            <w:tcW w:w="5740" w:type="dxa"/>
            <w:vAlign w:val="bottom"/>
            <w:gridSpan w:val="31"/>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10.22</w:t>
            </w:r>
          </w:p>
        </w:tc>
        <w:tc>
          <w:tcPr>
            <w:tcW w:w="10160" w:type="dxa"/>
            <w:vAlign w:val="bottom"/>
            <w:gridSpan w:val="34"/>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Registration Rights Agreement, dated June 18, 2019, between the Company and Ultragenyx Pharmaceutical Inc. Incorporated by reference</w:t>
              </w:r>
            </w:hyperlink>
          </w:p>
        </w:tc>
      </w:tr>
      <w:tr>
        <w:trPr>
          <w:trHeight w:val="196"/>
        </w:trPr>
        <w:tc>
          <w:tcPr>
            <w:tcW w:w="1280" w:type="dxa"/>
            <w:vAlign w:val="bottom"/>
          </w:tcPr>
          <w:p>
            <w:pPr>
              <w:spacing w:after="0"/>
              <w:rPr>
                <w:sz w:val="17"/>
                <w:szCs w:val="17"/>
                <w:color w:val="auto"/>
              </w:rPr>
            </w:pPr>
          </w:p>
        </w:tc>
        <w:tc>
          <w:tcPr>
            <w:tcW w:w="100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to Exhibit 4.1 to the Company’s Current Report on Form 8-K dated June 20, 2019.</w:t>
              </w:r>
            </w:hyperlink>
          </w:p>
        </w:tc>
        <w:tc>
          <w:tcPr>
            <w:tcW w:w="16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00" w:type="dxa"/>
            <w:vAlign w:val="bottom"/>
            <w:gridSpan w:val="1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10.23</w:t>
            </w:r>
          </w:p>
        </w:tc>
        <w:tc>
          <w:tcPr>
            <w:tcW w:w="10160" w:type="dxa"/>
            <w:vAlign w:val="bottom"/>
            <w:gridSpan w:val="34"/>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Equity Purchase Agreement, dated June 18, 2019, between the Company and Ultragenyx Pharmaceutical Inc. Incorporated by reference to</w:t>
              </w:r>
            </w:hyperlink>
          </w:p>
        </w:tc>
      </w:tr>
      <w:tr>
        <w:trPr>
          <w:trHeight w:val="196"/>
        </w:trPr>
        <w:tc>
          <w:tcPr>
            <w:tcW w:w="1280" w:type="dxa"/>
            <w:vAlign w:val="bottom"/>
          </w:tcPr>
          <w:p>
            <w:pPr>
              <w:spacing w:after="0"/>
              <w:rPr>
                <w:sz w:val="17"/>
                <w:szCs w:val="17"/>
                <w:color w:val="auto"/>
              </w:rPr>
            </w:pPr>
          </w:p>
        </w:tc>
        <w:tc>
          <w:tcPr>
            <w:tcW w:w="99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Exhibit 10.1 to the Company’s Current Report on Form 8-K dated June 20, 2019.</w:t>
              </w:r>
            </w:hyperlink>
          </w:p>
        </w:tc>
        <w:tc>
          <w:tcPr>
            <w:tcW w:w="20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00" w:type="dxa"/>
            <w:vAlign w:val="bottom"/>
            <w:gridSpan w:val="18"/>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10.24</w:t>
            </w:r>
          </w:p>
        </w:tc>
        <w:tc>
          <w:tcPr>
            <w:tcW w:w="10160" w:type="dxa"/>
            <w:vAlign w:val="bottom"/>
            <w:gridSpan w:val="34"/>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Third Amendment, dated June 18, 2019 to Research Collaboration and License Agreement, dated October 26, 2015, as amended on October</w:t>
              </w:r>
            </w:hyperlink>
          </w:p>
        </w:tc>
      </w:tr>
      <w:tr>
        <w:trPr>
          <w:trHeight w:val="196"/>
        </w:trPr>
        <w:tc>
          <w:tcPr>
            <w:tcW w:w="128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17, 2017 and April 20, 2018, between the Company and Ultragenyx Pharmaceutical Inc. Incorporated by reference to Exhibit 10.2 to the</w:t>
              </w:r>
            </w:hyperlink>
          </w:p>
        </w:tc>
        <w:tc>
          <w:tcPr>
            <w:tcW w:w="26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4"/>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Company’s Current Report on Form 8-K dated June 20, 2019.</w:t>
              </w:r>
            </w:hyperlink>
          </w:p>
        </w:tc>
      </w:tr>
      <w:tr>
        <w:trPr>
          <w:trHeight w:val="20"/>
        </w:trPr>
        <w:tc>
          <w:tcPr>
            <w:tcW w:w="1280" w:type="dxa"/>
            <w:vAlign w:val="bottom"/>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4560" w:type="dxa"/>
            <w:vAlign w:val="bottom"/>
            <w:gridSpan w:val="5"/>
          </w:tcPr>
          <w:p>
            <w:pPr>
              <w:ind w:left="4340"/>
              <w:spacing w:after="0"/>
              <w:rPr>
                <w:sz w:val="20"/>
                <w:szCs w:val="20"/>
                <w:color w:val="auto"/>
              </w:rPr>
            </w:pPr>
            <w:r>
              <w:rPr>
                <w:rFonts w:ascii="Arial" w:cs="Arial" w:eastAsia="Arial" w:hAnsi="Arial"/>
                <w:sz w:val="18"/>
                <w:szCs w:val="18"/>
                <w:color w:val="auto"/>
                <w:w w:val="99"/>
              </w:rPr>
              <w:t>29</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590"/>
              <w:spacing w:after="0"/>
              <w:rPr>
                <w:sz w:val="20"/>
                <w:szCs w:val="20"/>
                <w:color w:val="auto"/>
              </w:rPr>
            </w:pPr>
            <w:r>
              <w:rPr>
                <w:rFonts w:ascii="Arial" w:cs="Arial" w:eastAsia="Arial" w:hAnsi="Arial"/>
                <w:sz w:val="18"/>
                <w:szCs w:val="18"/>
                <w:color w:val="auto"/>
                <w:w w:val="92"/>
              </w:rPr>
              <w:t>10.25*+</w:t>
            </w:r>
          </w:p>
        </w:tc>
        <w:tc>
          <w:tcPr>
            <w:tcW w:w="86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Third Amendment, dated October 30, 2019, by and between Western Alliance Bank, and Arcturus Therapeutics, Inc. to</w:t>
              </w:r>
            </w:hyperlink>
          </w:p>
        </w:tc>
        <w:tc>
          <w:tcPr>
            <w:tcW w:w="144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the Loan and Security Agreement dated as of October 12, 2018.</w:t>
              </w:r>
            </w:hyperlink>
          </w:p>
        </w:tc>
        <w:tc>
          <w:tcPr>
            <w:tcW w:w="5440" w:type="dxa"/>
            <w:vAlign w:val="bottom"/>
            <w:gridSpan w:val="7"/>
          </w:tcPr>
          <w:p>
            <w:pPr>
              <w:spacing w:after="0"/>
              <w:rPr>
                <w:sz w:val="17"/>
                <w:szCs w:val="17"/>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10.26</w:t>
            </w:r>
          </w:p>
        </w:tc>
        <w:tc>
          <w:tcPr>
            <w:tcW w:w="10040" w:type="dxa"/>
            <w:vAlign w:val="bottom"/>
            <w:gridSpan w:val="10"/>
          </w:tcPr>
          <w:p>
            <w:pPr>
              <w:spacing w:after="0"/>
              <w:rPr>
                <w:rFonts w:ascii="Arial" w:cs="Arial" w:eastAsia="Arial" w:hAnsi="Arial"/>
                <w:sz w:val="18"/>
                <w:szCs w:val="18"/>
                <w:color w:val="0000EE"/>
              </w:rPr>
            </w:pPr>
            <w:hyperlink r:id="rId85">
              <w:r>
                <w:rPr>
                  <w:rFonts w:ascii="Arial" w:cs="Arial" w:eastAsia="Arial" w:hAnsi="Arial"/>
                  <w:sz w:val="18"/>
                  <w:szCs w:val="18"/>
                  <w:color w:val="0000EE"/>
                </w:rPr>
                <w:t>Securities Purchase Agreement, dated September 25, 2019, by and between the Company and each purchaser party</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00" w:type="dxa"/>
            <w:vAlign w:val="bottom"/>
            <w:gridSpan w:val="2"/>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thereto. Incorporated by reference to Exhibit 10.1 to the Company’s Current Report on Form 8-K filed with the SEC on</w:t>
              </w:r>
            </w:hyperlink>
          </w:p>
        </w:tc>
      </w:tr>
      <w:tr>
        <w:trPr>
          <w:trHeight w:val="196"/>
        </w:trPr>
        <w:tc>
          <w:tcPr>
            <w:tcW w:w="1280" w:type="dxa"/>
            <w:vAlign w:val="bottom"/>
          </w:tcPr>
          <w:p>
            <w:pPr>
              <w:spacing w:after="0"/>
              <w:rPr>
                <w:sz w:val="17"/>
                <w:szCs w:val="17"/>
                <w:color w:val="auto"/>
              </w:rPr>
            </w:pPr>
          </w:p>
        </w:tc>
        <w:tc>
          <w:tcPr>
            <w:tcW w:w="8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September 27, 2019.</w:t>
              </w:r>
            </w:hyperlink>
          </w:p>
        </w:tc>
        <w:tc>
          <w:tcPr>
            <w:tcW w:w="144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2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Adopted Pursuant 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31.2*</w:t>
            </w:r>
          </w:p>
        </w:tc>
        <w:tc>
          <w:tcPr>
            <w:tcW w:w="10040" w:type="dxa"/>
            <w:vAlign w:val="bottom"/>
            <w:gridSpan w:val="10"/>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Certification of Principal Financial Officer Pursuant to Rules 13a-14(a) and 15d-14(a) under the Securities Exchange Act of 1934, as</w:t>
              </w:r>
            </w:hyperlink>
          </w:p>
        </w:tc>
      </w:tr>
      <w:tr>
        <w:trPr>
          <w:trHeight w:val="196"/>
        </w:trPr>
        <w:tc>
          <w:tcPr>
            <w:tcW w:w="1280" w:type="dxa"/>
            <w:vAlign w:val="bottom"/>
          </w:tcPr>
          <w:p>
            <w:pPr>
              <w:spacing w:after="0"/>
              <w:rPr>
                <w:sz w:val="17"/>
                <w:szCs w:val="17"/>
                <w:color w:val="auto"/>
              </w:rPr>
            </w:pPr>
          </w:p>
        </w:tc>
        <w:tc>
          <w:tcPr>
            <w:tcW w:w="95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Adopted Pursuant to Section 302 of the Sarbanes-Oxley Act of 2002.</w:t>
              </w:r>
            </w:hyperlink>
          </w:p>
        </w:tc>
        <w:tc>
          <w:tcPr>
            <w:tcW w:w="48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32.1*</w:t>
            </w:r>
          </w:p>
        </w:tc>
        <w:tc>
          <w:tcPr>
            <w:tcW w:w="100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r>
      <w:tr>
        <w:trPr>
          <w:trHeight w:val="196"/>
        </w:trPr>
        <w:tc>
          <w:tcPr>
            <w:tcW w:w="128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Act of 2002.</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80" w:type="dxa"/>
            <w:vAlign w:val="bottom"/>
          </w:tcPr>
          <w:p>
            <w:pPr>
              <w:jc w:val="right"/>
              <w:ind w:right="690"/>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40" w:type="dxa"/>
            <w:vAlign w:val="bottom"/>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Act of 2002.</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40" w:type="dxa"/>
            <w:vAlign w:val="bottom"/>
            <w:gridSpan w:val="9"/>
          </w:tcPr>
          <w:p>
            <w:pPr>
              <w:spacing w:after="0" w:line="20" w:lineRule="exact"/>
              <w:rPr>
                <w:sz w:val="1"/>
                <w:szCs w:val="1"/>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hanging="512"/>
        <w:spacing w:after="0" w:line="290"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Portions of this exhibit, marked by brackets, have been omitted pursuant to Item 601(b)(10)(iv) of Regulation S-K under the Securities Act of 1933, as amended, because they are both (i) not material and (ii) would likely cause competitive harm to the registrant if publicly disclosed.</w:t>
      </w: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6"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304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8, 2019</w:t>
            </w:r>
          </w:p>
        </w:tc>
        <w:tc>
          <w:tcPr>
            <w:tcW w:w="7720" w:type="dxa"/>
            <w:vAlign w:val="bottom"/>
            <w:gridSpan w:val="2"/>
          </w:tcPr>
          <w:p>
            <w:pPr>
              <w:ind w:left="3040"/>
              <w:spacing w:after="0"/>
              <w:rPr>
                <w:sz w:val="20"/>
                <w:szCs w:val="20"/>
                <w:color w:val="auto"/>
              </w:rPr>
            </w:pPr>
            <w:r>
              <w:rPr>
                <w:rFonts w:ascii="Arial" w:cs="Arial" w:eastAsia="Arial" w:hAnsi="Arial"/>
                <w:sz w:val="18"/>
                <w:szCs w:val="18"/>
                <w:color w:val="auto"/>
              </w:rPr>
              <w:t>By: /s/ Andrew Sassine</w:t>
            </w:r>
          </w:p>
        </w:tc>
      </w:tr>
      <w:tr>
        <w:trPr>
          <w:trHeight w:val="195"/>
        </w:trPr>
        <w:tc>
          <w:tcPr>
            <w:tcW w:w="37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Sassine</w:t>
            </w:r>
          </w:p>
        </w:tc>
      </w:tr>
      <w:tr>
        <w:trPr>
          <w:trHeight w:val="230"/>
        </w:trPr>
        <w:tc>
          <w:tcPr>
            <w:tcW w:w="3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00" w:type="dxa"/>
            <w:vAlign w:val="bottom"/>
          </w:tcPr>
          <w:p>
            <w:pPr>
              <w:spacing w:after="0"/>
              <w:rPr>
                <w:sz w:val="24"/>
                <w:szCs w:val="24"/>
                <w:color w:val="auto"/>
              </w:rPr>
            </w:pPr>
          </w:p>
        </w:tc>
        <w:tc>
          <w:tcPr>
            <w:tcW w:w="3400" w:type="dxa"/>
            <w:vAlign w:val="bottom"/>
          </w:tcPr>
          <w:p>
            <w:pPr>
              <w:jc w:val="right"/>
              <w:ind w:right="1210"/>
              <w:spacing w:after="0"/>
              <w:rPr>
                <w:sz w:val="20"/>
                <w:szCs w:val="20"/>
                <w:color w:val="auto"/>
              </w:rPr>
            </w:pPr>
            <w:r>
              <w:rPr>
                <w:rFonts w:ascii="Arial" w:cs="Arial" w:eastAsia="Arial" w:hAnsi="Arial"/>
                <w:sz w:val="18"/>
                <w:szCs w:val="18"/>
                <w:color w:val="auto"/>
              </w:rPr>
              <w:t>31</w:t>
            </w:r>
          </w:p>
        </w:tc>
        <w:tc>
          <w:tcPr>
            <w:tcW w:w="43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ind w:left="9320"/>
        <w:spacing w:after="0"/>
        <w:rPr>
          <w:sz w:val="20"/>
          <w:szCs w:val="20"/>
          <w:color w:val="auto"/>
        </w:rPr>
      </w:pPr>
      <w:r>
        <w:rPr>
          <w:rFonts w:ascii="Arial" w:cs="Arial" w:eastAsia="Arial" w:hAnsi="Arial"/>
          <w:sz w:val="22"/>
          <w:szCs w:val="22"/>
          <w:b w:val="1"/>
          <w:bCs w:val="1"/>
          <w:color w:val="auto"/>
        </w:rPr>
        <w:t>Exhibit 10.25</w:t>
      </w:r>
    </w:p>
    <w:p>
      <w:pPr>
        <w:spacing w:after="0" w:line="19"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REDACTED</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b w:val="1"/>
          <w:bCs w:val="1"/>
          <w:color w:val="auto"/>
        </w:rPr>
        <w:t>Certain  identified  information,  indicated  by  [***],  has  been</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auto"/>
        </w:rPr>
        <w:t>excluded from the exhibit because it is both (i) not material and (ii)</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would likely cause competitive harm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LOAN AND SECURITY AGREEMENT</w:t>
      </w:r>
    </w:p>
    <w:p>
      <w:pPr>
        <w:spacing w:after="0" w:line="229"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This Third Amendment to Loan and Security Agreement (this “Amendment”) is entered into as of October 30, 2019, by and between WESTERN ALLIANCE BANK, an Arizona corporation (“Bank”), and ARCTURUS THERAPEUTICS, INC., a Delaware corporation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Borrower and Bank are parties to that certain Loan and Security Agreement dated as of October 12, 2018, as amended from time to time (the “Agreement”). The parties desire to amend the Agreement in accordance with the terms of this Amendment.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880"/>
        <w:spacing w:after="0"/>
        <w:tabs>
          <w:tab w:leader="none" w:pos="230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The following definitions in Section 1.1 of the Agreement hereby are added, amended or restated to read as follows:</w:t>
      </w:r>
    </w:p>
    <w:p>
      <w:pPr>
        <w:spacing w:after="0" w:line="237" w:lineRule="exact"/>
        <w:rPr>
          <w:sz w:val="20"/>
          <w:szCs w:val="20"/>
          <w:color w:val="auto"/>
        </w:rPr>
      </w:pPr>
    </w:p>
    <w:p>
      <w:pPr>
        <w:jc w:val="both"/>
        <w:ind w:left="880" w:right="20" w:firstLine="810"/>
        <w:spacing w:after="0" w:line="277" w:lineRule="auto"/>
        <w:rPr>
          <w:sz w:val="20"/>
          <w:szCs w:val="20"/>
          <w:color w:val="auto"/>
        </w:rPr>
      </w:pPr>
      <w:r>
        <w:rPr>
          <w:rFonts w:ascii="Arial" w:cs="Arial" w:eastAsia="Arial" w:hAnsi="Arial"/>
          <w:sz w:val="18"/>
          <w:szCs w:val="18"/>
          <w:color w:val="auto"/>
        </w:rPr>
        <w:t>“Amortization Date” means May 1, 2021; provided, however, if the Interest Only End Date is October 1, 2021, “Amortization Date” means November 1, 2021.</w:t>
      </w:r>
    </w:p>
    <w:p>
      <w:pPr>
        <w:spacing w:after="0" w:line="166"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880" w:firstLine="810"/>
        <w:spacing w:after="0" w:line="266" w:lineRule="auto"/>
        <w:rPr>
          <w:sz w:val="20"/>
          <w:szCs w:val="20"/>
          <w:color w:val="auto"/>
        </w:rPr>
      </w:pPr>
      <w:r>
        <w:rPr>
          <w:rFonts w:ascii="Arial" w:cs="Arial" w:eastAsia="Arial" w:hAnsi="Arial"/>
          <w:sz w:val="18"/>
          <w:szCs w:val="18"/>
          <w:color w:val="auto"/>
        </w:rPr>
        <w:t xml:space="preserve">“Equity/Expansion Event” means on or after </w:t>
      </w:r>
      <w:r>
        <w:rPr>
          <w:rFonts w:ascii="Arial" w:cs="Arial" w:eastAsia="Arial" w:hAnsi="Arial"/>
          <w:sz w:val="18"/>
          <w:szCs w:val="18"/>
          <w:b w:val="1"/>
          <w:bCs w:val="1"/>
          <w:color w:val="auto"/>
        </w:rPr>
        <w:t>[***]</w:t>
      </w:r>
      <w:r>
        <w:rPr>
          <w:rFonts w:ascii="Arial" w:cs="Arial" w:eastAsia="Arial" w:hAnsi="Arial"/>
          <w:sz w:val="18"/>
          <w:szCs w:val="18"/>
          <w:color w:val="auto"/>
        </w:rPr>
        <w:t xml:space="preserve"> and on or before </w:t>
      </w:r>
      <w:r>
        <w:rPr>
          <w:rFonts w:ascii="Arial" w:cs="Arial" w:eastAsia="Arial" w:hAnsi="Arial"/>
          <w:sz w:val="18"/>
          <w:szCs w:val="18"/>
          <w:b w:val="1"/>
          <w:bCs w:val="1"/>
          <w:color w:val="auto"/>
        </w:rPr>
        <w:t>[***]</w:t>
      </w:r>
      <w:r>
        <w:rPr>
          <w:rFonts w:ascii="Arial" w:cs="Arial" w:eastAsia="Arial" w:hAnsi="Arial"/>
          <w:sz w:val="18"/>
          <w:szCs w:val="18"/>
          <w:color w:val="auto"/>
        </w:rPr>
        <w:t xml:space="preserve">, Borrower’s receipt of net proceeds of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from the sale and issuance of equity securities, the creation of new partnerships or the expansion of existing partnerships, in each case, from investors or partners and on terms and conditions reasonably satisfactory to Bank.</w:t>
      </w:r>
    </w:p>
    <w:p>
      <w:pPr>
        <w:spacing w:after="0" w:line="180" w:lineRule="exact"/>
        <w:rPr>
          <w:sz w:val="20"/>
          <w:szCs w:val="20"/>
          <w:color w:val="auto"/>
        </w:rPr>
      </w:pPr>
    </w:p>
    <w:p>
      <w:pPr>
        <w:jc w:val="both"/>
        <w:ind w:left="880" w:firstLine="810"/>
        <w:spacing w:after="0" w:line="264" w:lineRule="auto"/>
        <w:rPr>
          <w:sz w:val="20"/>
          <w:szCs w:val="20"/>
          <w:color w:val="auto"/>
        </w:rPr>
      </w:pPr>
      <w:r>
        <w:rPr>
          <w:rFonts w:ascii="Arial" w:cs="Arial" w:eastAsia="Arial" w:hAnsi="Arial"/>
          <w:sz w:val="18"/>
          <w:szCs w:val="18"/>
          <w:color w:val="auto"/>
        </w:rPr>
        <w:t>“Interest Only End Date” means April 1, 2021; provided, however, (i) upon the occurrence of Equity/Expansion Event and (ii) if no Event of Default has occurred and is continuing as a result of a breach by Borrower of Section 6.8, “Interest Only End Date” means October 1, 2021.</w:t>
      </w:r>
    </w:p>
    <w:p>
      <w:pPr>
        <w:spacing w:after="0" w:line="181" w:lineRule="exact"/>
        <w:rPr>
          <w:sz w:val="20"/>
          <w:szCs w:val="20"/>
          <w:color w:val="auto"/>
        </w:rPr>
      </w:pPr>
    </w:p>
    <w:p>
      <w:pPr>
        <w:jc w:val="both"/>
        <w:ind w:left="880" w:firstLine="810"/>
        <w:spacing w:after="0" w:line="277" w:lineRule="auto"/>
        <w:rPr>
          <w:sz w:val="20"/>
          <w:szCs w:val="20"/>
          <w:color w:val="auto"/>
        </w:rPr>
      </w:pPr>
      <w:r>
        <w:rPr>
          <w:rFonts w:ascii="Arial" w:cs="Arial" w:eastAsia="Arial" w:hAnsi="Arial"/>
          <w:sz w:val="18"/>
          <w:szCs w:val="18"/>
          <w:color w:val="auto"/>
        </w:rPr>
        <w:t>“Parent” means Arcturus Therapeutics Holdings Inc., a Delaware corporation, and the owner of one hundred percent (100.00%) of the Shares of Borrower.</w:t>
      </w:r>
    </w:p>
    <w:p>
      <w:pPr>
        <w:spacing w:after="0" w:line="1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“Payment Date” is the first (1</w:t>
      </w:r>
      <w:r>
        <w:rPr>
          <w:rFonts w:ascii="Arial" w:cs="Arial" w:eastAsia="Arial" w:hAnsi="Arial"/>
          <w:sz w:val="15"/>
          <w:szCs w:val="15"/>
          <w:color w:val="auto"/>
        </w:rPr>
        <w:t>st</w:t>
      </w:r>
      <w:r>
        <w:rPr>
          <w:rFonts w:ascii="Arial" w:cs="Arial" w:eastAsia="Arial" w:hAnsi="Arial"/>
          <w:sz w:val="18"/>
          <w:szCs w:val="18"/>
          <w:color w:val="auto"/>
        </w:rPr>
        <w:t>) calendar day of each calendar month, commencing on November 1, 2019.</w:t>
      </w:r>
    </w:p>
    <w:p>
      <w:pPr>
        <w:spacing w:after="0" w:line="225" w:lineRule="exact"/>
        <w:rPr>
          <w:sz w:val="20"/>
          <w:szCs w:val="20"/>
          <w:color w:val="auto"/>
        </w:rPr>
      </w:pPr>
    </w:p>
    <w:p>
      <w:pPr>
        <w:jc w:val="both"/>
        <w:ind w:left="880" w:firstLine="810"/>
        <w:spacing w:after="0" w:line="255" w:lineRule="auto"/>
        <w:rPr>
          <w:sz w:val="20"/>
          <w:szCs w:val="20"/>
          <w:color w:val="auto"/>
        </w:rPr>
      </w:pPr>
      <w:r>
        <w:rPr>
          <w:rFonts w:ascii="Arial" w:cs="Arial" w:eastAsia="Arial" w:hAnsi="Arial"/>
          <w:sz w:val="18"/>
          <w:szCs w:val="18"/>
          <w:color w:val="auto"/>
        </w:rPr>
        <w:t>“Prepayment Fee” is, with respect to the Term Loan subject to prepayment (other than pursuant to a refinancing by Bank or a syndicate of lenders of which Bank is a part or the agent thereof) prior to the Term Loan Maturity Date, whether by mandatory or voluntary prepayment, acceleration or otherwise, an additional fee in an amount equal to (i) for a prepayment made on or after the Third Amendment Effective Date through and including the first anniversary of the Third Amendment Effective Date, two percent (2.00%) of the principal amount of the Term Loan prepaid; (ii) for a prepayment made after the first anniversary of the Third Amendment Effective Date through and including the second anniversary of the Third Amendment Effective Date, one percent (1.00%) of the principal amount of the Term Loan prepaid; and (iii) for a prepayment made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4" w:name="page35"/>
    <w:bookmarkEnd w:id="34"/>
    <w:p>
      <w:pPr>
        <w:jc w:val="both"/>
        <w:ind w:left="880"/>
        <w:spacing w:after="0" w:line="264" w:lineRule="auto"/>
        <w:rPr>
          <w:sz w:val="20"/>
          <w:szCs w:val="20"/>
          <w:color w:val="auto"/>
        </w:rPr>
      </w:pPr>
      <w:r>
        <w:rPr>
          <w:rFonts w:ascii="Arial" w:cs="Arial" w:eastAsia="Arial" w:hAnsi="Arial"/>
          <w:sz w:val="18"/>
          <w:szCs w:val="18"/>
          <w:color w:val="auto"/>
        </w:rPr>
        <w:t>after the second anniversary of the Third Amendment Effective Date and prior to the Term Loan Maturity Date, one-half of one percent (0.50%) of the principal amount of the Term Loan prepaid. Notwithstanding the foregoing and for the avoidance of any doubt, Borrower shall not be responsible for any Prepayment Fee prior to the Third Amendment Effective Date.”</w:t>
      </w:r>
    </w:p>
    <w:p>
      <w:pPr>
        <w:spacing w:after="0" w:line="181" w:lineRule="exact"/>
        <w:rPr>
          <w:sz w:val="20"/>
          <w:szCs w:val="20"/>
          <w:color w:val="auto"/>
        </w:rPr>
      </w:pPr>
    </w:p>
    <w:p>
      <w:pPr>
        <w:jc w:val="both"/>
        <w:ind w:left="880" w:firstLine="810"/>
        <w:spacing w:after="0" w:line="277" w:lineRule="auto"/>
        <w:rPr>
          <w:sz w:val="20"/>
          <w:szCs w:val="20"/>
          <w:color w:val="auto"/>
        </w:rPr>
      </w:pPr>
      <w:r>
        <w:rPr>
          <w:rFonts w:ascii="Arial" w:cs="Arial" w:eastAsia="Arial" w:hAnsi="Arial"/>
          <w:sz w:val="18"/>
          <w:szCs w:val="18"/>
          <w:color w:val="auto"/>
        </w:rPr>
        <w:t>“Qualifying Deposits” means unrestricted cash held in demand deposit accounts and/or money market accounts at Bank, earning the Bank’s posted interest rates.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0060" w:type="dxa"/>
            <w:vAlign w:val="bottom"/>
            <w:gridSpan w:val="3"/>
          </w:tcPr>
          <w:p>
            <w:pPr>
              <w:ind w:left="340"/>
              <w:spacing w:after="0"/>
              <w:rPr>
                <w:sz w:val="20"/>
                <w:szCs w:val="20"/>
                <w:color w:val="auto"/>
              </w:rPr>
            </w:pPr>
            <w:r>
              <w:rPr>
                <w:rFonts w:ascii="Arial" w:cs="Arial" w:eastAsia="Arial" w:hAnsi="Arial"/>
                <w:sz w:val="18"/>
                <w:szCs w:val="18"/>
                <w:color w:val="auto"/>
              </w:rPr>
              <w:t>“Term Loan Maturity Date” is October 30, 2023.</w:t>
            </w:r>
          </w:p>
        </w:tc>
      </w:tr>
      <w:tr>
        <w:trPr>
          <w:trHeight w:val="432"/>
        </w:trPr>
        <w:tc>
          <w:tcPr>
            <w:tcW w:w="1360" w:type="dxa"/>
            <w:vAlign w:val="bottom"/>
          </w:tcPr>
          <w:p>
            <w:pPr>
              <w:spacing w:after="0"/>
              <w:rPr>
                <w:sz w:val="24"/>
                <w:szCs w:val="24"/>
                <w:color w:val="auto"/>
              </w:rPr>
            </w:pPr>
          </w:p>
        </w:tc>
        <w:tc>
          <w:tcPr>
            <w:tcW w:w="10060" w:type="dxa"/>
            <w:vAlign w:val="bottom"/>
            <w:gridSpan w:val="3"/>
          </w:tcPr>
          <w:p>
            <w:pPr>
              <w:ind w:left="340"/>
              <w:spacing w:after="0"/>
              <w:rPr>
                <w:sz w:val="20"/>
                <w:szCs w:val="20"/>
                <w:color w:val="auto"/>
              </w:rPr>
            </w:pPr>
            <w:r>
              <w:rPr>
                <w:rFonts w:ascii="Arial" w:cs="Arial" w:eastAsia="Arial" w:hAnsi="Arial"/>
                <w:sz w:val="18"/>
                <w:szCs w:val="18"/>
                <w:color w:val="auto"/>
              </w:rPr>
              <w:t>“Third Amendment Effective Date” means October 30, 2019.</w:t>
            </w:r>
          </w:p>
        </w:tc>
      </w:tr>
      <w:tr>
        <w:trPr>
          <w:trHeight w:val="432"/>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0060" w:type="dxa"/>
            <w:vAlign w:val="bottom"/>
            <w:gridSpan w:val="3"/>
          </w:tcPr>
          <w:p>
            <w:pPr>
              <w:ind w:left="960"/>
              <w:spacing w:after="0"/>
              <w:rPr>
                <w:sz w:val="20"/>
                <w:szCs w:val="20"/>
                <w:color w:val="auto"/>
              </w:rPr>
            </w:pPr>
            <w:r>
              <w:rPr>
                <w:rFonts w:ascii="Arial" w:cs="Arial" w:eastAsia="Arial" w:hAnsi="Arial"/>
                <w:sz w:val="18"/>
                <w:szCs w:val="18"/>
                <w:color w:val="auto"/>
              </w:rPr>
              <w:t>The following defined term in Section 1.1 of the Agreement hereby is omitted in its entirety:</w:t>
            </w:r>
          </w:p>
        </w:tc>
      </w:tr>
      <w:tr>
        <w:trPr>
          <w:trHeight w:val="432"/>
        </w:trPr>
        <w:tc>
          <w:tcPr>
            <w:tcW w:w="1360" w:type="dxa"/>
            <w:vAlign w:val="bottom"/>
          </w:tcPr>
          <w:p>
            <w:pPr>
              <w:spacing w:after="0"/>
              <w:rPr>
                <w:sz w:val="24"/>
                <w:szCs w:val="24"/>
                <w:color w:val="auto"/>
              </w:rPr>
            </w:pPr>
          </w:p>
        </w:tc>
        <w:tc>
          <w:tcPr>
            <w:tcW w:w="10060" w:type="dxa"/>
            <w:vAlign w:val="bottom"/>
            <w:gridSpan w:val="3"/>
          </w:tcPr>
          <w:p>
            <w:pPr>
              <w:ind w:left="340"/>
              <w:spacing w:after="0"/>
              <w:rPr>
                <w:sz w:val="20"/>
                <w:szCs w:val="20"/>
                <w:color w:val="auto"/>
              </w:rPr>
            </w:pPr>
            <w:r>
              <w:rPr>
                <w:rFonts w:ascii="Arial" w:cs="Arial" w:eastAsia="Arial" w:hAnsi="Arial"/>
                <w:sz w:val="18"/>
                <w:szCs w:val="18"/>
                <w:color w:val="auto"/>
              </w:rPr>
              <w:t>“Alcobra” means Alcobra, Inc., a Delaware corporation and a wholly-owned Subsidiary of Parent.</w:t>
            </w:r>
          </w:p>
        </w:tc>
      </w:tr>
      <w:tr>
        <w:trPr>
          <w:trHeight w:val="418"/>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0060" w:type="dxa"/>
            <w:vAlign w:val="bottom"/>
            <w:gridSpan w:val="3"/>
          </w:tcPr>
          <w:p>
            <w:pPr>
              <w:ind w:left="960"/>
              <w:spacing w:after="0"/>
              <w:rPr>
                <w:sz w:val="20"/>
                <w:szCs w:val="20"/>
                <w:color w:val="auto"/>
              </w:rPr>
            </w:pPr>
            <w:r>
              <w:rPr>
                <w:rFonts w:ascii="Arial" w:cs="Arial" w:eastAsia="Arial" w:hAnsi="Arial"/>
                <w:sz w:val="18"/>
                <w:szCs w:val="18"/>
                <w:color w:val="auto"/>
                <w:w w:val="92"/>
              </w:rPr>
              <w:t>Subsections (i), (ii) and (iii) of Section 2.1(a) of the Agreement hereby are amended and restated in their entirety to read as</w:t>
            </w:r>
          </w:p>
        </w:tc>
      </w:tr>
      <w:tr>
        <w:trPr>
          <w:trHeight w:val="230"/>
        </w:trPr>
        <w:tc>
          <w:tcPr>
            <w:tcW w:w="1360" w:type="dxa"/>
            <w:vAlign w:val="bottom"/>
          </w:tcPr>
          <w:p>
            <w:pPr>
              <w:jc w:val="right"/>
              <w:ind w:right="670"/>
              <w:spacing w:after="0"/>
              <w:rPr>
                <w:sz w:val="20"/>
                <w:szCs w:val="20"/>
                <w:color w:val="auto"/>
              </w:rPr>
            </w:pPr>
            <w:r>
              <w:rPr>
                <w:rFonts w:ascii="Arial" w:cs="Arial" w:eastAsia="Arial" w:hAnsi="Arial"/>
                <w:sz w:val="18"/>
                <w:szCs w:val="18"/>
                <w:color w:val="auto"/>
                <w:w w:val="96"/>
              </w:rPr>
              <w:t>follows:</w:t>
            </w:r>
          </w:p>
        </w:tc>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392"/>
        </w:trPr>
        <w:tc>
          <w:tcPr>
            <w:tcW w:w="1360" w:type="dxa"/>
            <w:vAlign w:val="bottom"/>
          </w:tcPr>
          <w:p>
            <w:pPr>
              <w:spacing w:after="0"/>
              <w:rPr>
                <w:sz w:val="24"/>
                <w:szCs w:val="24"/>
                <w:color w:val="auto"/>
              </w:rPr>
            </w:pPr>
          </w:p>
        </w:tc>
        <w:tc>
          <w:tcPr>
            <w:tcW w:w="2840" w:type="dxa"/>
            <w:vAlign w:val="bottom"/>
          </w:tcPr>
          <w:p>
            <w:pPr>
              <w:ind w:left="1940"/>
              <w:spacing w:after="0"/>
              <w:rPr>
                <w:sz w:val="20"/>
                <w:szCs w:val="20"/>
                <w:color w:val="auto"/>
              </w:rPr>
            </w:pPr>
            <w:r>
              <w:rPr>
                <w:rFonts w:ascii="Arial" w:cs="Arial" w:eastAsia="Arial" w:hAnsi="Arial"/>
                <w:sz w:val="18"/>
                <w:szCs w:val="18"/>
                <w:color w:val="auto"/>
              </w:rPr>
              <w:t>“(i)</w:t>
            </w:r>
          </w:p>
        </w:tc>
        <w:tc>
          <w:tcPr>
            <w:tcW w:w="7220" w:type="dxa"/>
            <w:vAlign w:val="bottom"/>
            <w:gridSpan w:val="2"/>
          </w:tcPr>
          <w:p>
            <w:pPr>
              <w:spacing w:after="0"/>
              <w:rPr>
                <w:sz w:val="20"/>
                <w:szCs w:val="20"/>
                <w:color w:val="auto"/>
              </w:rPr>
            </w:pPr>
            <w:r>
              <w:rPr>
                <w:rFonts w:ascii="Arial" w:cs="Arial" w:eastAsia="Arial" w:hAnsi="Arial"/>
                <w:sz w:val="18"/>
                <w:szCs w:val="18"/>
                <w:color w:val="auto"/>
                <w:w w:val="91"/>
              </w:rPr>
              <w:t>Availability. Subject to the terms and conditions of this Agreement, the Bank agrees to make a term</w:t>
            </w:r>
          </w:p>
        </w:tc>
      </w:tr>
      <w:tr>
        <w:trPr>
          <w:trHeight w:val="20"/>
        </w:trPr>
        <w:tc>
          <w:tcPr>
            <w:tcW w:w="1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to Borrower on the Third Amendment Effective Date, or as soon thereafter as practical, in the amount of Fifteen Million Dollars ($15,000,000.00) (the “Term Loan”). After repayment, the Term Loan may not be reborrowed. Upon the extension of the Term Loan pursuant to this Section 2.1(a)(i), Bank has no further obligations to make Credit Extensions.</w:t>
      </w:r>
    </w:p>
    <w:p>
      <w:pPr>
        <w:spacing w:after="0" w:line="181" w:lineRule="exact"/>
        <w:rPr>
          <w:sz w:val="20"/>
          <w:szCs w:val="20"/>
          <w:color w:val="auto"/>
        </w:rPr>
      </w:pPr>
    </w:p>
    <w:p>
      <w:pPr>
        <w:jc w:val="both"/>
        <w:ind w:firstLine="3511"/>
        <w:spacing w:after="0" w:line="254"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Repayment</w:t>
      </w:r>
      <w:r>
        <w:rPr>
          <w:rFonts w:ascii="Arial" w:cs="Arial" w:eastAsia="Arial" w:hAnsi="Arial"/>
          <w:sz w:val="18"/>
          <w:szCs w:val="18"/>
          <w:color w:val="auto"/>
        </w:rPr>
        <w:t>. Borrower shall make monthly payments of interest only on each Payment Date through and including the Payment Date immediately preceding the Amortization Date. Commencing on the Amortization Date, and continuing on the Payment Date of each month thereafter, Borrower shall make consecutive equal monthly payments of principal, together with applicable interest, in arrears, to Bank, as calculated by Bank (which calculations shall be deemed correct absent manifest error) based upon: (1) the amount of the Term Loan, (2) the effective rate of interest, as determined in Section 2.3(a), and (3) a repayment schedule equal to thirty (30) months, if the Amortization Date is May 1, 2021, or twenty-four (24) months, if the Amortization Date is November 1, 2021. All unpaid principal and accrued and unpaid interest with respect to the Term Loan is due and payable in full on the Term Loan Maturity Date. The Term Loan may only be prepaid in accordance with Section 2.1(a)(iii).</w:t>
      </w:r>
    </w:p>
    <w:p>
      <w:pPr>
        <w:spacing w:after="0" w:line="175" w:lineRule="exact"/>
        <w:rPr>
          <w:sz w:val="20"/>
          <w:szCs w:val="20"/>
          <w:color w:val="auto"/>
        </w:rPr>
      </w:pPr>
    </w:p>
    <w:tbl>
      <w:tblPr>
        <w:tblLayout w:type="fixed"/>
        <w:tblInd w:w="352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(iii)</w:t>
            </w:r>
          </w:p>
        </w:tc>
        <w:tc>
          <w:tcPr>
            <w:tcW w:w="4380" w:type="dxa"/>
            <w:vAlign w:val="bottom"/>
            <w:gridSpan w:val="4"/>
          </w:tcPr>
          <w:p>
            <w:pPr>
              <w:spacing w:after="0"/>
              <w:rPr>
                <w:sz w:val="20"/>
                <w:szCs w:val="20"/>
                <w:color w:val="auto"/>
              </w:rPr>
            </w:pPr>
            <w:r>
              <w:rPr>
                <w:rFonts w:ascii="Arial" w:cs="Arial" w:eastAsia="Arial" w:hAnsi="Arial"/>
                <w:sz w:val="18"/>
                <w:szCs w:val="18"/>
                <w:color w:val="auto"/>
              </w:rPr>
              <w:t>Prepayment.</w:t>
            </w:r>
          </w:p>
        </w:tc>
      </w:tr>
      <w:tr>
        <w:trPr>
          <w:trHeight w:val="412"/>
        </w:trPr>
        <w:tc>
          <w:tcPr>
            <w:tcW w:w="3520" w:type="dxa"/>
            <w:vAlign w:val="bottom"/>
          </w:tcPr>
          <w:p>
            <w:pPr>
              <w:ind w:left="880"/>
              <w:spacing w:after="0"/>
              <w:rPr>
                <w:sz w:val="20"/>
                <w:szCs w:val="20"/>
                <w:color w:val="auto"/>
              </w:rPr>
            </w:pPr>
            <w:r>
              <w:rPr>
                <w:rFonts w:ascii="Arial" w:cs="Arial" w:eastAsia="Arial" w:hAnsi="Arial"/>
                <w:sz w:val="18"/>
                <w:szCs w:val="18"/>
                <w:color w:val="auto"/>
              </w:rPr>
              <w:t>i)</w:t>
            </w:r>
          </w:p>
        </w:tc>
        <w:tc>
          <w:tcPr>
            <w:tcW w:w="8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w w:val="97"/>
              </w:rPr>
              <w:t>Voluntary Prepayment.  Borrower shall</w:t>
            </w:r>
          </w:p>
        </w:tc>
      </w:tr>
      <w:tr>
        <w:trPr>
          <w:trHeight w:val="20"/>
        </w:trPr>
        <w:tc>
          <w:tcPr>
            <w:tcW w:w="3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have the option to prepay all, but not less than all, of the Term Loan advanced by Bank under this Agreement, provided Borrower (A) delivers written notice to Bank of its election to prepay the Term Loan at least five (5) Business Days prior to such prepayment and (B) pays, on the date of such prepayment, (a) all outstanding principal with respect to the Term Loan, plus accrued but unpaid interest, (b) the Final Payment, (c) the Prepayment Fee, plus (d) all other sums, including Bank Expenses, if any, that shall have become due and payable hereunder as a result of such prepayment.</w:t>
      </w:r>
    </w:p>
    <w:p>
      <w:pPr>
        <w:sectPr>
          <w:pgSz w:w="11900" w:h="16838" w:orient="portrait"/>
          <w:cols w:equalWidth="0" w:num="1">
            <w:col w:w="11420"/>
          </w:cols>
          <w:pgMar w:left="240" w:top="341" w:right="239" w:bottom="1440" w:gutter="0" w:footer="0" w:header="0"/>
        </w:sectPr>
      </w:pPr>
    </w:p>
    <w:p>
      <w:pPr>
        <w:spacing w:after="0" w:line="17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Section 2.3(a) of the Agreement hereby is amended and restated in its entirety to read as follows:</w:t>
      </w:r>
    </w:p>
    <w:p>
      <w:pPr>
        <w:spacing w:after="0" w:line="200" w:lineRule="exact"/>
        <w:rPr>
          <w:sz w:val="20"/>
          <w:szCs w:val="20"/>
          <w:color w:val="auto"/>
        </w:rPr>
      </w:pPr>
    </w:p>
    <w:p>
      <w:pPr>
        <w:sectPr>
          <w:pgSz w:w="11900" w:h="16838" w:orient="portrait"/>
          <w:cols w:equalWidth="0" w:num="2">
            <w:col w:w="1600" w:space="720"/>
            <w:col w:w="9100"/>
          </w:cols>
          <w:pgMar w:left="240" w:top="341" w:right="239" w:bottom="1440" w:gutter="0" w:footer="0" w:header="0"/>
          <w:type w:val="continuous"/>
        </w:sectPr>
      </w:pPr>
    </w:p>
    <w:p>
      <w:pPr>
        <w:spacing w:after="0" w:line="44"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b w:val="1"/>
          <w:bCs w:val="1"/>
          <w:color w:val="auto"/>
        </w:rPr>
        <w:t xml:space="preserve">Interest Rate. </w:t>
      </w:r>
      <w:r>
        <w:rPr>
          <w:rFonts w:ascii="Arial" w:cs="Arial" w:eastAsia="Arial" w:hAnsi="Arial"/>
          <w:sz w:val="16"/>
          <w:szCs w:val="16"/>
          <w:color w:val="auto"/>
        </w:rPr>
        <w:t>Except as set forth in Section 2.3(b), the Term Loan shall bear interest, on the outstanding Daily Balance thereof, at a</w:t>
      </w:r>
    </w:p>
    <w:p>
      <w:pPr>
        <w:sectPr>
          <w:pgSz w:w="11900" w:h="16838" w:orient="portrait"/>
          <w:cols w:equalWidth="0" w:num="1">
            <w:col w:w="11420"/>
          </w:cols>
          <w:pgMar w:left="240" w:top="341" w:right="239" w:bottom="1440" w:gutter="0" w:footer="0" w:header="0"/>
          <w:type w:val="continuous"/>
        </w:sectPr>
      </w:pP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floating rate equal to (i) if Qualifying Deposits at Bank are greater than or equal to </w:t>
      </w:r>
      <w:r>
        <w:rPr>
          <w:rFonts w:ascii="Arial" w:cs="Arial" w:eastAsia="Arial" w:hAnsi="Arial"/>
          <w:sz w:val="18"/>
          <w:szCs w:val="18"/>
          <w:b w:val="1"/>
          <w:bCs w:val="1"/>
          <w:color w:val="auto"/>
        </w:rPr>
        <w:t>[***]</w:t>
      </w:r>
      <w:r>
        <w:rPr>
          <w:rFonts w:ascii="Arial" w:cs="Arial" w:eastAsia="Arial" w:hAnsi="Arial"/>
          <w:sz w:val="18"/>
          <w:szCs w:val="18"/>
          <w:color w:val="auto"/>
        </w:rPr>
        <w:t xml:space="preserve">, one and one-quarter percent (1.25%) above the Prime Rate, (ii) if Qualifying Deposits at Bank are equal to or greater than </w:t>
      </w:r>
      <w:r>
        <w:rPr>
          <w:rFonts w:ascii="Arial" w:cs="Arial" w:eastAsia="Arial" w:hAnsi="Arial"/>
          <w:sz w:val="18"/>
          <w:szCs w:val="18"/>
          <w:b w:val="1"/>
          <w:bCs w:val="1"/>
          <w:color w:val="auto"/>
        </w:rPr>
        <w:t>[***]</w:t>
      </w:r>
      <w:r>
        <w:rPr>
          <w:rFonts w:ascii="Arial" w:cs="Arial" w:eastAsia="Arial" w:hAnsi="Arial"/>
          <w:sz w:val="18"/>
          <w:szCs w:val="18"/>
          <w:color w:val="auto"/>
        </w:rPr>
        <w:t xml:space="preserve"> but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two percent (2.00%) above the Prime Rate and (iii) if Qualifying Deposits at Bank are less than </w:t>
      </w:r>
      <w:r>
        <w:rPr>
          <w:rFonts w:ascii="Arial" w:cs="Arial" w:eastAsia="Arial" w:hAnsi="Arial"/>
          <w:sz w:val="18"/>
          <w:szCs w:val="18"/>
          <w:b w:val="1"/>
          <w:bCs w:val="1"/>
          <w:color w:val="auto"/>
        </w:rPr>
        <w:t>[***]</w:t>
      </w:r>
      <w:r>
        <w:rPr>
          <w:rFonts w:ascii="Arial" w:cs="Arial" w:eastAsia="Arial" w:hAnsi="Arial"/>
          <w:sz w:val="18"/>
          <w:szCs w:val="18"/>
          <w:color w:val="auto"/>
        </w:rPr>
        <w:t>, two and three-quarters percent (2.75%) above the Prime Rate.”</w:t>
      </w:r>
    </w:p>
    <w:p>
      <w:pPr>
        <w:spacing w:after="0" w:line="190" w:lineRule="exact"/>
        <w:rPr>
          <w:sz w:val="20"/>
          <w:szCs w:val="20"/>
          <w:color w:val="auto"/>
        </w:rPr>
      </w:pPr>
    </w:p>
    <w:p>
      <w:pPr>
        <w:ind w:left="880"/>
        <w:spacing w:after="0"/>
        <w:tabs>
          <w:tab w:leader="none" w:pos="2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Section 6.7 of the Agreement hereby is amended and restated in its entirety to read as follows: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5" w:name="page36"/>
    <w:bookmarkEnd w:id="35"/>
    <w:tbl>
      <w:tblPr>
        <w:tblLayout w:type="fixed"/>
        <w:tblInd w:w="16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Arial" w:cs="Arial" w:eastAsia="Arial" w:hAnsi="Arial"/>
                <w:sz w:val="18"/>
                <w:szCs w:val="18"/>
                <w:color w:val="auto"/>
              </w:rPr>
              <w:t>“6.7</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rPr>
              <w:t>Accounts</w:t>
            </w:r>
            <w:r>
              <w:rPr>
                <w:rFonts w:ascii="Arial" w:cs="Arial" w:eastAsia="Arial" w:hAnsi="Arial"/>
                <w:sz w:val="18"/>
                <w:szCs w:val="18"/>
                <w:color w:val="auto"/>
              </w:rPr>
              <w:t>. Borrower shall (i) maintain and shall cause each of its Domestic Subsidiaries to maintain (x) all of its operating accounts,</w:t>
            </w:r>
          </w:p>
        </w:tc>
      </w:tr>
      <w:tr>
        <w:trPr>
          <w:trHeight w:val="216"/>
        </w:trPr>
        <w:tc>
          <w:tcPr>
            <w:tcW w:w="540" w:type="dxa"/>
            <w:vAlign w:val="bottom"/>
          </w:tcPr>
          <w:p>
            <w:pPr>
              <w:spacing w:after="0"/>
              <w:rPr>
                <w:sz w:val="18"/>
                <w:szCs w:val="18"/>
                <w:color w:val="auto"/>
              </w:rPr>
            </w:pPr>
          </w:p>
        </w:tc>
        <w:tc>
          <w:tcPr>
            <w:tcW w:w="10800" w:type="dxa"/>
            <w:vAlign w:val="bottom"/>
          </w:tcPr>
          <w:p>
            <w:pPr>
              <w:jc w:val="right"/>
              <w:spacing w:after="0"/>
              <w:rPr>
                <w:sz w:val="20"/>
                <w:szCs w:val="20"/>
                <w:color w:val="auto"/>
              </w:rPr>
            </w:pPr>
            <w:r>
              <w:rPr>
                <w:rFonts w:ascii="Arial" w:cs="Arial" w:eastAsia="Arial" w:hAnsi="Arial"/>
                <w:sz w:val="18"/>
                <w:szCs w:val="18"/>
                <w:color w:val="auto"/>
                <w:w w:val="98"/>
              </w:rPr>
              <w:t>and (y) at least the lesser of (A) one hundred percent (100.00%) of their total consolidated, unrestricted cash, or (B) Fifteen Million Dollars</w:t>
            </w:r>
          </w:p>
        </w:tc>
      </w:tr>
      <w:tr>
        <w:trPr>
          <w:trHeight w:val="230"/>
        </w:trPr>
        <w:tc>
          <w:tcPr>
            <w:tcW w:w="540" w:type="dxa"/>
            <w:vAlign w:val="bottom"/>
          </w:tcPr>
          <w:p>
            <w:pPr>
              <w:spacing w:after="0"/>
              <w:rPr>
                <w:sz w:val="20"/>
                <w:szCs w:val="20"/>
                <w:color w:val="auto"/>
              </w:rPr>
            </w:pPr>
          </w:p>
        </w:tc>
        <w:tc>
          <w:tcPr>
            <w:tcW w:w="10800" w:type="dxa"/>
            <w:vAlign w:val="bottom"/>
          </w:tcPr>
          <w:p>
            <w:pPr>
              <w:jc w:val="right"/>
              <w:spacing w:after="0"/>
              <w:rPr>
                <w:sz w:val="20"/>
                <w:szCs w:val="20"/>
                <w:color w:val="auto"/>
              </w:rPr>
            </w:pPr>
            <w:r>
              <w:rPr>
                <w:rFonts w:ascii="Arial" w:cs="Arial" w:eastAsia="Arial" w:hAnsi="Arial"/>
                <w:sz w:val="18"/>
                <w:szCs w:val="18"/>
                <w:color w:val="auto"/>
                <w:w w:val="96"/>
              </w:rPr>
              <w:t>($15,000,000.00) in total deposits with Bank and (ii) endeavor to utilize and shall cause each of its Subsidiaries to endeavor to utilize Bank’s</w:t>
            </w:r>
          </w:p>
        </w:tc>
      </w:tr>
    </w:tbl>
    <w:p>
      <w:pPr>
        <w:jc w:val="both"/>
        <w:ind w:left="960" w:right="20"/>
        <w:spacing w:after="0" w:line="269" w:lineRule="auto"/>
        <w:rPr>
          <w:sz w:val="20"/>
          <w:szCs w:val="20"/>
          <w:color w:val="auto"/>
        </w:rPr>
      </w:pPr>
      <w:r>
        <w:rPr>
          <w:rFonts w:ascii="Arial" w:cs="Arial" w:eastAsia="Arial" w:hAnsi="Arial"/>
          <w:sz w:val="17"/>
          <w:szCs w:val="17"/>
          <w:color w:val="auto"/>
        </w:rPr>
        <w:t xml:space="preserve">International Banking Division for any international banking services required by Borrower, including, but not limited to, foreign currency wires, hedges, swaps, foreign exchange contracts, and Letters of Credit. All accounts permitted hereunder to be maintained outside of Bank shall be subject to control agreements in favor of, and in form and content acceptable to, Bank; provided, that, Borrower shall be permitted to maintain its cash collateral account with </w:t>
      </w:r>
      <w:r>
        <w:rPr>
          <w:rFonts w:ascii="Arial" w:cs="Arial" w:eastAsia="Arial" w:hAnsi="Arial"/>
          <w:sz w:val="17"/>
          <w:szCs w:val="17"/>
          <w:b w:val="1"/>
          <w:bCs w:val="1"/>
          <w:color w:val="auto"/>
        </w:rPr>
        <w:t>[***]</w:t>
      </w:r>
      <w:r>
        <w:rPr>
          <w:rFonts w:ascii="Arial" w:cs="Arial" w:eastAsia="Arial" w:hAnsi="Arial"/>
          <w:sz w:val="17"/>
          <w:szCs w:val="17"/>
          <w:color w:val="auto"/>
        </w:rPr>
        <w:t xml:space="preserve">, not subject to a control agreement, provided that such </w:t>
      </w:r>
      <w:r>
        <w:rPr>
          <w:rFonts w:ascii="Arial" w:cs="Arial" w:eastAsia="Arial" w:hAnsi="Arial"/>
          <w:sz w:val="17"/>
          <w:szCs w:val="17"/>
          <w:b w:val="1"/>
          <w:bCs w:val="1"/>
          <w:color w:val="auto"/>
        </w:rPr>
        <w:t>[***]</w:t>
      </w:r>
      <w:r>
        <w:rPr>
          <w:rFonts w:ascii="Arial" w:cs="Arial" w:eastAsia="Arial" w:hAnsi="Arial"/>
          <w:sz w:val="17"/>
          <w:szCs w:val="17"/>
          <w:color w:val="auto"/>
        </w:rPr>
        <w:t xml:space="preserve"> shall maintain a balance at all times not to exceed </w:t>
      </w:r>
      <w:r>
        <w:rPr>
          <w:rFonts w:ascii="Arial" w:cs="Arial" w:eastAsia="Arial" w:hAnsi="Arial"/>
          <w:sz w:val="17"/>
          <w:szCs w:val="17"/>
          <w:b w:val="1"/>
          <w:bCs w:val="1"/>
          <w:color w:val="auto"/>
        </w:rPr>
        <w:t>[***]</w:t>
      </w:r>
      <w:r>
        <w:rPr>
          <w:rFonts w:ascii="Arial" w:cs="Arial" w:eastAsia="Arial" w:hAnsi="Arial"/>
          <w:sz w:val="17"/>
          <w:szCs w:val="17"/>
          <w:color w:val="auto"/>
        </w:rPr>
        <w:t>. Notwithstanding the foregoing, as of the Second Amendment Effective Date through December 31, 2019 (the “Transition Period”), Parent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permitted to maintain cash in an amount up to </w:t>
      </w:r>
      <w:r>
        <w:rPr>
          <w:rFonts w:ascii="Arial" w:cs="Arial" w:eastAsia="Arial" w:hAnsi="Arial"/>
          <w:sz w:val="17"/>
          <w:szCs w:val="17"/>
          <w:b w:val="1"/>
          <w:bCs w:val="1"/>
          <w:color w:val="auto"/>
        </w:rPr>
        <w:t>[***]</w:t>
      </w:r>
      <w:r>
        <w:rPr>
          <w:rFonts w:ascii="Arial" w:cs="Arial" w:eastAsia="Arial" w:hAnsi="Arial"/>
          <w:sz w:val="17"/>
          <w:szCs w:val="17"/>
          <w:color w:val="auto"/>
        </w:rPr>
        <w:t xml:space="preserve"> in an account outside of Bank (the “</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that, the </w:t>
      </w:r>
      <w:r>
        <w:rPr>
          <w:rFonts w:ascii="Arial" w:cs="Arial" w:eastAsia="Arial" w:hAnsi="Arial"/>
          <w:sz w:val="17"/>
          <w:szCs w:val="17"/>
          <w:b w:val="1"/>
          <w:bCs w:val="1"/>
          <w:color w:val="auto"/>
        </w:rPr>
        <w:t>[***]</w:t>
      </w:r>
      <w:r>
        <w:rPr>
          <w:rFonts w:ascii="Arial" w:cs="Arial" w:eastAsia="Arial" w:hAnsi="Arial"/>
          <w:sz w:val="17"/>
          <w:szCs w:val="17"/>
          <w:color w:val="auto"/>
        </w:rPr>
        <w:t xml:space="preserve"> shall not be subject to a control agreement in favor of Bank during the Transition Period.”</w:t>
      </w:r>
    </w:p>
    <w:p>
      <w:pPr>
        <w:spacing w:after="0" w:line="181" w:lineRule="exact"/>
        <w:rPr>
          <w:sz w:val="20"/>
          <w:szCs w:val="20"/>
          <w:color w:val="auto"/>
        </w:rPr>
      </w:pPr>
    </w:p>
    <w:p>
      <w:pPr>
        <w:ind w:left="960"/>
        <w:spacing w:after="0"/>
        <w:tabs>
          <w:tab w:leader="none" w:pos="2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Section 6.8 of the Agreement hereby is amended and restated in its entirety to read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 (b) a </w:t>
      </w:r>
      <w:r>
        <w:rPr>
          <w:rFonts w:ascii="Arial" w:cs="Arial" w:eastAsia="Arial" w:hAnsi="Arial"/>
          <w:sz w:val="17"/>
          <w:szCs w:val="17"/>
          <w:b w:val="1"/>
          <w:bCs w:val="1"/>
          <w:color w:val="auto"/>
        </w:rPr>
        <w:t>[***]</w:t>
      </w:r>
      <w:r>
        <w:rPr>
          <w:rFonts w:ascii="Arial" w:cs="Arial" w:eastAsia="Arial" w:hAnsi="Arial"/>
          <w:sz w:val="17"/>
          <w:szCs w:val="17"/>
          <w:color w:val="auto"/>
        </w:rPr>
        <w:t xml:space="preserve">, by </w:t>
      </w:r>
      <w:r>
        <w:rPr>
          <w:rFonts w:ascii="Arial" w:cs="Arial" w:eastAsia="Arial" w:hAnsi="Arial"/>
          <w:sz w:val="17"/>
          <w:szCs w:val="17"/>
          <w:b w:val="1"/>
          <w:bCs w:val="1"/>
          <w:color w:val="auto"/>
        </w:rPr>
        <w:t>[***]</w:t>
      </w:r>
      <w:r>
        <w:rPr>
          <w:rFonts w:ascii="Arial" w:cs="Arial" w:eastAsia="Arial" w:hAnsi="Arial"/>
          <w:sz w:val="17"/>
          <w:szCs w:val="17"/>
          <w:color w:val="auto"/>
        </w:rPr>
        <w:t xml:space="preserve">, and have it accepted by the FDA (either by the passage of time or formal response) or equivalent competent authority by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w w:val="89"/>
              </w:rPr>
              <w:t>Section 6.13 of the Agreement hereby is amended and restated in its entirety to read as follows:</w:t>
            </w:r>
          </w:p>
        </w:tc>
      </w:tr>
      <w:tr>
        <w:trPr>
          <w:trHeight w:val="432"/>
        </w:trPr>
        <w:tc>
          <w:tcPr>
            <w:tcW w:w="1280" w:type="dxa"/>
            <w:vAlign w:val="bottom"/>
          </w:tcPr>
          <w:p>
            <w:pPr>
              <w:jc w:val="right"/>
              <w:ind w:right="750"/>
              <w:spacing w:after="0"/>
              <w:rPr>
                <w:sz w:val="20"/>
                <w:szCs w:val="20"/>
                <w:color w:val="auto"/>
              </w:rPr>
            </w:pPr>
            <w:r>
              <w:rPr>
                <w:rFonts w:ascii="Arial" w:cs="Arial" w:eastAsia="Arial" w:hAnsi="Arial"/>
                <w:sz w:val="18"/>
                <w:szCs w:val="18"/>
                <w:color w:val="auto"/>
                <w:w w:val="91"/>
              </w:rPr>
              <w:t>“6.13.</w:t>
            </w:r>
          </w:p>
        </w:tc>
        <w:tc>
          <w:tcPr>
            <w:tcW w:w="7820" w:type="dxa"/>
            <w:vAlign w:val="bottom"/>
            <w:gridSpan w:val="5"/>
          </w:tcPr>
          <w:p>
            <w:pPr>
              <w:ind w:left="320"/>
              <w:spacing w:after="0"/>
              <w:rPr>
                <w:sz w:val="20"/>
                <w:szCs w:val="20"/>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tc>
      </w:tr>
      <w:tr>
        <w:trPr>
          <w:trHeight w:val="432"/>
        </w:trPr>
        <w:tc>
          <w:tcPr>
            <w:tcW w:w="12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9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Section 7.14 of the Agreement hereby is omitted in its entirety.</w:t>
            </w:r>
          </w:p>
        </w:tc>
      </w:tr>
      <w:tr>
        <w:trPr>
          <w:trHeight w:val="392"/>
        </w:trPr>
        <w:tc>
          <w:tcPr>
            <w:tcW w:w="128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24"/>
                <w:szCs w:val="24"/>
                <w:color w:val="auto"/>
              </w:rPr>
            </w:pPr>
          </w:p>
        </w:tc>
        <w:tc>
          <w:tcPr>
            <w:tcW w:w="6860" w:type="dxa"/>
            <w:vAlign w:val="bottom"/>
            <w:gridSpan w:val="4"/>
          </w:tcPr>
          <w:p>
            <w:pPr>
              <w:spacing w:after="0"/>
              <w:rPr>
                <w:sz w:val="20"/>
                <w:szCs w:val="20"/>
                <w:color w:val="auto"/>
              </w:rPr>
            </w:pPr>
            <w:r>
              <w:rPr>
                <w:rFonts w:ascii="Arial" w:cs="Arial" w:eastAsia="Arial" w:hAnsi="Arial"/>
                <w:sz w:val="18"/>
                <w:szCs w:val="18"/>
                <w:color w:val="auto"/>
              </w:rPr>
              <w:t>Exhibit D to the Agreement is hereby replaced with Exhibit D attached hereto.</w:t>
            </w:r>
          </w:p>
        </w:tc>
      </w:tr>
      <w:tr>
        <w:trPr>
          <w:trHeight w:val="20"/>
        </w:trPr>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80" w:right="20" w:firstLine="877"/>
        <w:spacing w:after="0" w:line="259" w:lineRule="auto"/>
        <w:rPr>
          <w:sz w:val="20"/>
          <w:szCs w:val="20"/>
          <w:color w:val="auto"/>
        </w:rPr>
      </w:pPr>
      <w:r>
        <w:rPr>
          <w:rFonts w:ascii="Arial" w:cs="Arial" w:eastAsia="Arial" w:hAnsi="Arial"/>
          <w:sz w:val="18"/>
          <w:szCs w:val="18"/>
          <w:color w:val="auto"/>
        </w:rPr>
        <w:t>10. No course of dealing on the part of Bank or its officers, nor any failure or delay in the exercise of any right by Bank, shall operate as a waiver thereof, and any single or partial exercise of any such right shall not preclude any later exercise of any such right. Bank’s failure at any time to require strict performance by Borrower of any provision shall not affect any right of Bank thereafter to demand strict compliance and performance. Any suspension or waiver of a right must be in writing signed by an officer of Bank.</w:t>
      </w:r>
    </w:p>
    <w:p>
      <w:pPr>
        <w:spacing w:after="0" w:line="187" w:lineRule="exact"/>
        <w:rPr>
          <w:sz w:val="20"/>
          <w:szCs w:val="20"/>
          <w:color w:val="auto"/>
        </w:rPr>
      </w:pPr>
    </w:p>
    <w:p>
      <w:pPr>
        <w:jc w:val="both"/>
        <w:ind w:left="80" w:right="20" w:firstLine="877"/>
        <w:spacing w:after="0" w:line="259" w:lineRule="auto"/>
        <w:rPr>
          <w:sz w:val="20"/>
          <w:szCs w:val="20"/>
          <w:color w:val="auto"/>
        </w:rPr>
      </w:pPr>
      <w:r>
        <w:rPr>
          <w:rFonts w:ascii="Arial" w:cs="Arial" w:eastAsia="Arial" w:hAnsi="Arial"/>
          <w:sz w:val="18"/>
          <w:szCs w:val="18"/>
          <w:color w:val="auto"/>
        </w:rPr>
        <w:t>11. 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w:t>
      </w:r>
    </w:p>
    <w:p>
      <w:pPr>
        <w:spacing w:after="0" w:line="187" w:lineRule="exact"/>
        <w:rPr>
          <w:sz w:val="20"/>
          <w:szCs w:val="20"/>
          <w:color w:val="auto"/>
        </w:rPr>
      </w:pPr>
    </w:p>
    <w:p>
      <w:pPr>
        <w:jc w:val="both"/>
        <w:ind w:left="80" w:right="20" w:firstLine="877"/>
        <w:spacing w:after="0" w:line="259" w:lineRule="auto"/>
        <w:rPr>
          <w:sz w:val="20"/>
          <w:szCs w:val="20"/>
          <w:color w:val="auto"/>
        </w:rPr>
      </w:pPr>
      <w:r>
        <w:rPr>
          <w:rFonts w:ascii="Arial" w:cs="Arial" w:eastAsia="Arial" w:hAnsi="Arial"/>
          <w:sz w:val="18"/>
          <w:szCs w:val="18"/>
          <w:color w:val="auto"/>
        </w:rPr>
        <w:t>12. Borrower represents and warrants that the Representations and Warranties contained in the Agreement are true and correct in all material respects as of the date of this Amendment (except to the extent any such representation or warranty is expressly stated to have been made as of a specific date, in which case such representation or warranty shall be true and correct in all material respects as of such date), and that no Event of Default has occurred and is continuing.</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940" w:type="dxa"/>
            <w:vAlign w:val="bottom"/>
          </w:tcPr>
          <w:p>
            <w:pPr>
              <w:jc w:val="right"/>
              <w:ind w:right="730"/>
              <w:spacing w:after="0"/>
              <w:rPr>
                <w:sz w:val="20"/>
                <w:szCs w:val="20"/>
                <w:color w:val="auto"/>
              </w:rPr>
            </w:pPr>
            <w:r>
              <w:rPr>
                <w:rFonts w:ascii="Arial" w:cs="Arial" w:eastAsia="Arial" w:hAnsi="Arial"/>
                <w:sz w:val="18"/>
                <w:szCs w:val="18"/>
                <w:color w:val="auto"/>
              </w:rPr>
              <w:t>13.</w:t>
            </w:r>
          </w:p>
        </w:tc>
        <w:tc>
          <w:tcPr>
            <w:tcW w:w="9500" w:type="dxa"/>
            <w:vAlign w:val="bottom"/>
            <w:gridSpan w:val="2"/>
          </w:tcPr>
          <w:p>
            <w:pPr>
              <w:ind w:left="460"/>
              <w:spacing w:after="0"/>
              <w:rPr>
                <w:sz w:val="20"/>
                <w:szCs w:val="20"/>
                <w:color w:val="auto"/>
              </w:rPr>
            </w:pPr>
            <w:r>
              <w:rPr>
                <w:rFonts w:ascii="Arial" w:cs="Arial" w:eastAsia="Arial" w:hAnsi="Arial"/>
                <w:sz w:val="18"/>
                <w:szCs w:val="18"/>
                <w:color w:val="auto"/>
                <w:w w:val="95"/>
              </w:rPr>
              <w:t>As a condition to the effectiveness of this Amendment, Bank shall have received, in form and substance satisfactory to</w:t>
            </w:r>
          </w:p>
        </w:tc>
      </w:tr>
      <w:tr>
        <w:trPr>
          <w:trHeight w:val="230"/>
        </w:trPr>
        <w:tc>
          <w:tcPr>
            <w:tcW w:w="1940" w:type="dxa"/>
            <w:vAlign w:val="bottom"/>
          </w:tcPr>
          <w:p>
            <w:pPr>
              <w:jc w:val="right"/>
              <w:ind w:right="350"/>
              <w:spacing w:after="0"/>
              <w:rPr>
                <w:sz w:val="20"/>
                <w:szCs w:val="20"/>
                <w:color w:val="auto"/>
              </w:rPr>
            </w:pPr>
            <w:r>
              <w:rPr>
                <w:rFonts w:ascii="Arial" w:cs="Arial" w:eastAsia="Arial" w:hAnsi="Arial"/>
                <w:sz w:val="18"/>
                <w:szCs w:val="18"/>
                <w:color w:val="auto"/>
                <w:w w:val="94"/>
              </w:rPr>
              <w:t>Bank, the following:</w:t>
            </w:r>
          </w:p>
        </w:tc>
        <w:tc>
          <w:tcPr>
            <w:tcW w:w="2200" w:type="dxa"/>
            <w:vAlign w:val="bottom"/>
          </w:tcPr>
          <w:p>
            <w:pPr>
              <w:spacing w:after="0"/>
              <w:rPr>
                <w:sz w:val="20"/>
                <w:szCs w:val="20"/>
                <w:color w:val="auto"/>
              </w:rPr>
            </w:pPr>
          </w:p>
        </w:tc>
        <w:tc>
          <w:tcPr>
            <w:tcW w:w="7300" w:type="dxa"/>
            <w:vAlign w:val="bottom"/>
          </w:tcPr>
          <w:p>
            <w:pPr>
              <w:spacing w:after="0"/>
              <w:rPr>
                <w:sz w:val="20"/>
                <w:szCs w:val="20"/>
                <w:color w:val="auto"/>
              </w:rPr>
            </w:pPr>
          </w:p>
        </w:tc>
      </w:tr>
      <w:tr>
        <w:trPr>
          <w:trHeight w:val="432"/>
        </w:trPr>
        <w:tc>
          <w:tcPr>
            <w:tcW w:w="194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Arial" w:cs="Arial" w:eastAsia="Arial" w:hAnsi="Arial"/>
                <w:sz w:val="18"/>
                <w:szCs w:val="18"/>
                <w:color w:val="auto"/>
              </w:rPr>
              <w:t>(a)</w:t>
            </w:r>
          </w:p>
        </w:tc>
        <w:tc>
          <w:tcPr>
            <w:tcW w:w="7300" w:type="dxa"/>
            <w:vAlign w:val="bottom"/>
          </w:tcPr>
          <w:p>
            <w:pPr>
              <w:ind w:left="1300"/>
              <w:spacing w:after="0"/>
              <w:rPr>
                <w:sz w:val="20"/>
                <w:szCs w:val="20"/>
                <w:color w:val="auto"/>
              </w:rPr>
            </w:pPr>
            <w:r>
              <w:rPr>
                <w:rFonts w:ascii="Arial" w:cs="Arial" w:eastAsia="Arial" w:hAnsi="Arial"/>
                <w:sz w:val="18"/>
                <w:szCs w:val="18"/>
                <w:color w:val="auto"/>
              </w:rPr>
              <w:t>this Amendment, duly executed by Borrower;</w:t>
            </w:r>
          </w:p>
        </w:tc>
      </w:tr>
      <w:tr>
        <w:trPr>
          <w:trHeight w:val="432"/>
        </w:trPr>
        <w:tc>
          <w:tcPr>
            <w:tcW w:w="194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Arial" w:cs="Arial" w:eastAsia="Arial" w:hAnsi="Arial"/>
                <w:sz w:val="18"/>
                <w:szCs w:val="18"/>
                <w:color w:val="auto"/>
              </w:rPr>
              <w:t>(b)</w:t>
            </w:r>
          </w:p>
        </w:tc>
        <w:tc>
          <w:tcPr>
            <w:tcW w:w="7300" w:type="dxa"/>
            <w:vAlign w:val="bottom"/>
          </w:tcPr>
          <w:p>
            <w:pPr>
              <w:ind w:left="1300"/>
              <w:spacing w:after="0"/>
              <w:rPr>
                <w:sz w:val="20"/>
                <w:szCs w:val="20"/>
                <w:color w:val="auto"/>
              </w:rPr>
            </w:pPr>
            <w:r>
              <w:rPr>
                <w:rFonts w:ascii="Arial" w:cs="Arial" w:eastAsia="Arial" w:hAnsi="Arial"/>
                <w:sz w:val="18"/>
                <w:szCs w:val="18"/>
                <w:color w:val="auto"/>
              </w:rPr>
              <w:t>an Amended and Restated Side Letter with respect to the Fee in Lieu;</w:t>
            </w:r>
          </w:p>
        </w:tc>
      </w:tr>
      <w:tr>
        <w:trPr>
          <w:trHeight w:val="432"/>
        </w:trPr>
        <w:tc>
          <w:tcPr>
            <w:tcW w:w="194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Arial" w:cs="Arial" w:eastAsia="Arial" w:hAnsi="Arial"/>
                <w:sz w:val="18"/>
                <w:szCs w:val="18"/>
                <w:color w:val="auto"/>
              </w:rPr>
              <w:t>(c)</w:t>
            </w:r>
          </w:p>
        </w:tc>
        <w:tc>
          <w:tcPr>
            <w:tcW w:w="7300" w:type="dxa"/>
            <w:vAlign w:val="bottom"/>
          </w:tcPr>
          <w:p>
            <w:pPr>
              <w:ind w:left="1300"/>
              <w:spacing w:after="0"/>
              <w:rPr>
                <w:sz w:val="20"/>
                <w:szCs w:val="20"/>
                <w:color w:val="auto"/>
              </w:rPr>
            </w:pPr>
            <w:r>
              <w:rPr>
                <w:rFonts w:ascii="Arial" w:cs="Arial" w:eastAsia="Arial" w:hAnsi="Arial"/>
                <w:sz w:val="18"/>
                <w:szCs w:val="18"/>
                <w:color w:val="auto"/>
              </w:rPr>
              <w:t>a Guaranty, duly executed by Parent;</w:t>
            </w:r>
          </w:p>
        </w:tc>
      </w:tr>
      <w:tr>
        <w:trPr>
          <w:trHeight w:val="432"/>
        </w:trPr>
        <w:tc>
          <w:tcPr>
            <w:tcW w:w="1940" w:type="dxa"/>
            <w:vAlign w:val="bottom"/>
          </w:tcPr>
          <w:p>
            <w:pPr>
              <w:spacing w:after="0"/>
              <w:rPr>
                <w:sz w:val="24"/>
                <w:szCs w:val="24"/>
                <w:color w:val="auto"/>
              </w:rPr>
            </w:pPr>
          </w:p>
        </w:tc>
        <w:tc>
          <w:tcPr>
            <w:tcW w:w="2200" w:type="dxa"/>
            <w:vAlign w:val="bottom"/>
          </w:tcPr>
          <w:p>
            <w:pPr>
              <w:ind w:left="700"/>
              <w:spacing w:after="0"/>
              <w:rPr>
                <w:sz w:val="20"/>
                <w:szCs w:val="20"/>
                <w:color w:val="auto"/>
              </w:rPr>
            </w:pPr>
            <w:r>
              <w:rPr>
                <w:rFonts w:ascii="Arial" w:cs="Arial" w:eastAsia="Arial" w:hAnsi="Arial"/>
                <w:sz w:val="18"/>
                <w:szCs w:val="18"/>
                <w:color w:val="auto"/>
              </w:rPr>
              <w:t>(d)</w:t>
            </w:r>
          </w:p>
        </w:tc>
        <w:tc>
          <w:tcPr>
            <w:tcW w:w="7300" w:type="dxa"/>
            <w:vAlign w:val="bottom"/>
          </w:tcPr>
          <w:p>
            <w:pPr>
              <w:ind w:left="1300"/>
              <w:spacing w:after="0"/>
              <w:rPr>
                <w:sz w:val="20"/>
                <w:szCs w:val="20"/>
                <w:color w:val="auto"/>
              </w:rPr>
            </w:pPr>
            <w:r>
              <w:rPr>
                <w:rFonts w:ascii="Arial" w:cs="Arial" w:eastAsia="Arial" w:hAnsi="Arial"/>
                <w:sz w:val="18"/>
                <w:szCs w:val="18"/>
                <w:color w:val="auto"/>
              </w:rPr>
              <w:t>a Security Agreement, duly executed by Parent;</w:t>
            </w:r>
          </w:p>
        </w:tc>
      </w:tr>
      <w:tr>
        <w:trPr>
          <w:trHeight w:val="594"/>
        </w:trPr>
        <w:tc>
          <w:tcPr>
            <w:tcW w:w="1940" w:type="dxa"/>
            <w:vAlign w:val="bottom"/>
          </w:tcPr>
          <w:p>
            <w:pPr>
              <w:jc w:val="right"/>
              <w:ind w:right="890"/>
              <w:spacing w:after="0"/>
              <w:rPr>
                <w:sz w:val="20"/>
                <w:szCs w:val="20"/>
                <w:color w:val="auto"/>
              </w:rPr>
            </w:pPr>
            <w:r>
              <w:rPr>
                <w:rFonts w:ascii="Arial" w:cs="Arial" w:eastAsia="Arial" w:hAnsi="Arial"/>
                <w:sz w:val="18"/>
                <w:szCs w:val="18"/>
                <w:color w:val="auto"/>
              </w:rPr>
              <w:t>- 3 -</w:t>
            </w:r>
          </w:p>
        </w:tc>
        <w:tc>
          <w:tcPr>
            <w:tcW w:w="220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88"/>
        </w:trPr>
        <w:tc>
          <w:tcPr>
            <w:tcW w:w="194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7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7298055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520"/>
          </w:cols>
          <w:pgMar w:left="160" w:top="337" w:right="219" w:bottom="1440" w:gutter="0" w:footer="0" w:header="0"/>
        </w:sectPr>
      </w:pPr>
    </w:p>
    <w:bookmarkStart w:id="36" w:name="page37"/>
    <w:bookmarkEnd w:id="36"/>
    <w:p>
      <w:pPr>
        <w:jc w:val="both"/>
        <w:ind w:firstLine="2634"/>
        <w:spacing w:after="0" w:line="264" w:lineRule="auto"/>
        <w:rPr>
          <w:sz w:val="20"/>
          <w:szCs w:val="20"/>
          <w:color w:val="auto"/>
        </w:rPr>
      </w:pPr>
      <w:r>
        <w:rPr>
          <w:rFonts w:ascii="Arial" w:cs="Arial" w:eastAsia="Arial" w:hAnsi="Arial"/>
          <w:sz w:val="18"/>
          <w:szCs w:val="18"/>
          <w:color w:val="auto"/>
        </w:rPr>
        <w:t>(e) a Certificate of the Secretary of (i) Borrower with respect to incumbency and resolutions authorizing the execution and delivery of this Amendment and (ii) Parent with respect to incumbency and resolutions authorizing the execution and delivery of the Guaranty.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vMerge w:val="restart"/>
          </w:tcPr>
          <w:p>
            <w:pPr>
              <w:spacing w:after="0"/>
              <w:rPr>
                <w:sz w:val="20"/>
                <w:szCs w:val="20"/>
                <w:color w:val="auto"/>
              </w:rPr>
            </w:pPr>
            <w:r>
              <w:rPr>
                <w:rFonts w:ascii="Arial" w:cs="Arial" w:eastAsia="Arial" w:hAnsi="Arial"/>
                <w:sz w:val="18"/>
                <w:szCs w:val="18"/>
                <w:color w:val="auto"/>
              </w:rPr>
              <w:t xml:space="preserve">amount of </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420" w:type="dxa"/>
            <w:vAlign w:val="bottom"/>
          </w:tcPr>
          <w:p>
            <w:pPr>
              <w:ind w:left="820"/>
              <w:spacing w:after="0"/>
              <w:rPr>
                <w:sz w:val="20"/>
                <w:szCs w:val="20"/>
                <w:color w:val="auto"/>
              </w:rPr>
            </w:pPr>
            <w:r>
              <w:rPr>
                <w:rFonts w:ascii="Arial" w:cs="Arial" w:eastAsia="Arial" w:hAnsi="Arial"/>
                <w:sz w:val="18"/>
                <w:szCs w:val="18"/>
                <w:color w:val="auto"/>
              </w:rPr>
              <w:t>(f)</w:t>
            </w:r>
          </w:p>
        </w:tc>
        <w:tc>
          <w:tcPr>
            <w:tcW w:w="7180" w:type="dxa"/>
            <w:vAlign w:val="bottom"/>
          </w:tcPr>
          <w:p>
            <w:pPr>
              <w:ind w:left="1180"/>
              <w:spacing w:after="0"/>
              <w:rPr>
                <w:sz w:val="20"/>
                <w:szCs w:val="20"/>
                <w:color w:val="auto"/>
              </w:rPr>
            </w:pPr>
            <w:r>
              <w:rPr>
                <w:rFonts w:ascii="Arial" w:cs="Arial" w:eastAsia="Arial" w:hAnsi="Arial"/>
                <w:sz w:val="18"/>
                <w:szCs w:val="18"/>
                <w:color w:val="auto"/>
                <w:w w:val="98"/>
              </w:rPr>
              <w:t>a payment (in addition to and not a substitution for the Final Payment) in the</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820" w:type="dxa"/>
            <w:vAlign w:val="bottom"/>
          </w:tcPr>
          <w:p>
            <w:pPr>
              <w:spacing w:after="0"/>
              <w:rPr>
                <w:sz w:val="24"/>
                <w:szCs w:val="24"/>
                <w:color w:val="auto"/>
              </w:rPr>
            </w:pPr>
          </w:p>
        </w:tc>
        <w:tc>
          <w:tcPr>
            <w:tcW w:w="2420" w:type="dxa"/>
            <w:vAlign w:val="bottom"/>
          </w:tcPr>
          <w:p>
            <w:pPr>
              <w:ind w:left="820"/>
              <w:spacing w:after="0"/>
              <w:rPr>
                <w:sz w:val="20"/>
                <w:szCs w:val="20"/>
                <w:color w:val="auto"/>
              </w:rPr>
            </w:pPr>
            <w:r>
              <w:rPr>
                <w:rFonts w:ascii="Arial" w:cs="Arial" w:eastAsia="Arial" w:hAnsi="Arial"/>
                <w:sz w:val="18"/>
                <w:szCs w:val="18"/>
                <w:color w:val="auto"/>
              </w:rPr>
              <w:t>(g)</w:t>
            </w:r>
          </w:p>
        </w:tc>
        <w:tc>
          <w:tcPr>
            <w:tcW w:w="7180" w:type="dxa"/>
            <w:vAlign w:val="bottom"/>
          </w:tcPr>
          <w:p>
            <w:pPr>
              <w:ind w:left="1200"/>
              <w:spacing w:after="0"/>
              <w:rPr>
                <w:sz w:val="20"/>
                <w:szCs w:val="20"/>
                <w:color w:val="auto"/>
              </w:rPr>
            </w:pPr>
            <w:r>
              <w:rPr>
                <w:rFonts w:ascii="Arial" w:cs="Arial" w:eastAsia="Arial" w:hAnsi="Arial"/>
                <w:sz w:val="18"/>
                <w:szCs w:val="18"/>
                <w:color w:val="auto"/>
                <w:w w:val="97"/>
              </w:rPr>
              <w:t>all reasonable Bank Expenses incurred through the date of this Amendment,</w:t>
            </w:r>
          </w:p>
        </w:tc>
        <w:tc>
          <w:tcPr>
            <w:tcW w:w="0" w:type="dxa"/>
            <w:vAlign w:val="bottom"/>
          </w:tcPr>
          <w:p>
            <w:pPr>
              <w:spacing w:after="0"/>
              <w:rPr>
                <w:sz w:val="1"/>
                <w:szCs w:val="1"/>
                <w:color w:val="auto"/>
              </w:rPr>
            </w:pPr>
          </w:p>
        </w:tc>
      </w:tr>
      <w:tr>
        <w:trPr>
          <w:trHeight w:val="230"/>
        </w:trPr>
        <w:tc>
          <w:tcPr>
            <w:tcW w:w="11420" w:type="dxa"/>
            <w:vAlign w:val="bottom"/>
            <w:gridSpan w:val="3"/>
          </w:tcPr>
          <w:p>
            <w:pPr>
              <w:spacing w:after="0"/>
              <w:rPr>
                <w:sz w:val="20"/>
                <w:szCs w:val="20"/>
                <w:color w:val="auto"/>
              </w:rPr>
            </w:pPr>
            <w:r>
              <w:rPr>
                <w:rFonts w:ascii="Arial" w:cs="Arial" w:eastAsia="Arial" w:hAnsi="Arial"/>
                <w:sz w:val="18"/>
                <w:szCs w:val="18"/>
                <w:color w:val="auto"/>
              </w:rPr>
              <w:t>which, following notice from Bank to Borrower, may be debited from any of Borrower's accounts; and</w:t>
            </w:r>
          </w:p>
        </w:tc>
        <w:tc>
          <w:tcPr>
            <w:tcW w:w="0" w:type="dxa"/>
            <w:vAlign w:val="bottom"/>
          </w:tcPr>
          <w:p>
            <w:pPr>
              <w:spacing w:after="0"/>
              <w:rPr>
                <w:sz w:val="1"/>
                <w:szCs w:val="1"/>
                <w:color w:val="auto"/>
              </w:rPr>
            </w:pPr>
          </w:p>
        </w:tc>
      </w:tr>
      <w:tr>
        <w:trPr>
          <w:trHeight w:val="418"/>
        </w:trPr>
        <w:tc>
          <w:tcPr>
            <w:tcW w:w="1820" w:type="dxa"/>
            <w:vAlign w:val="bottom"/>
          </w:tcPr>
          <w:p>
            <w:pPr>
              <w:spacing w:after="0"/>
              <w:rPr>
                <w:sz w:val="24"/>
                <w:szCs w:val="24"/>
                <w:color w:val="auto"/>
              </w:rPr>
            </w:pPr>
          </w:p>
        </w:tc>
        <w:tc>
          <w:tcPr>
            <w:tcW w:w="2420" w:type="dxa"/>
            <w:vAlign w:val="bottom"/>
          </w:tcPr>
          <w:p>
            <w:pPr>
              <w:ind w:left="820"/>
              <w:spacing w:after="0"/>
              <w:rPr>
                <w:sz w:val="20"/>
                <w:szCs w:val="20"/>
                <w:color w:val="auto"/>
              </w:rPr>
            </w:pPr>
            <w:r>
              <w:rPr>
                <w:rFonts w:ascii="Arial" w:cs="Arial" w:eastAsia="Arial" w:hAnsi="Arial"/>
                <w:sz w:val="18"/>
                <w:szCs w:val="18"/>
                <w:color w:val="auto"/>
              </w:rPr>
              <w:t>(h)</w:t>
            </w:r>
          </w:p>
        </w:tc>
        <w:tc>
          <w:tcPr>
            <w:tcW w:w="7180" w:type="dxa"/>
            <w:vAlign w:val="bottom"/>
          </w:tcPr>
          <w:p>
            <w:pPr>
              <w:ind w:left="1200"/>
              <w:spacing w:after="0"/>
              <w:rPr>
                <w:sz w:val="20"/>
                <w:szCs w:val="20"/>
                <w:color w:val="auto"/>
              </w:rPr>
            </w:pPr>
            <w:r>
              <w:rPr>
                <w:rFonts w:ascii="Arial" w:cs="Arial" w:eastAsia="Arial" w:hAnsi="Arial"/>
                <w:sz w:val="18"/>
                <w:szCs w:val="18"/>
                <w:color w:val="auto"/>
                <w:w w:val="99"/>
              </w:rPr>
              <w:t>such other documents, and completion of such other matters, as Bank may</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reasonably deem necessary or appropriate.</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20" w:type="dxa"/>
            <w:vAlign w:val="bottom"/>
          </w:tcPr>
          <w:p>
            <w:pPr>
              <w:ind w:left="880"/>
              <w:spacing w:after="0"/>
              <w:rPr>
                <w:sz w:val="20"/>
                <w:szCs w:val="20"/>
                <w:color w:val="auto"/>
              </w:rPr>
            </w:pPr>
            <w:r>
              <w:rPr>
                <w:rFonts w:ascii="Arial" w:cs="Arial" w:eastAsia="Arial" w:hAnsi="Arial"/>
                <w:sz w:val="18"/>
                <w:szCs w:val="18"/>
                <w:color w:val="auto"/>
              </w:rPr>
              <w:t>14.</w:t>
            </w:r>
          </w:p>
        </w:tc>
        <w:tc>
          <w:tcPr>
            <w:tcW w:w="9600" w:type="dxa"/>
            <w:vAlign w:val="bottom"/>
            <w:gridSpan w:val="2"/>
          </w:tcPr>
          <w:p>
            <w:pPr>
              <w:ind w:left="580"/>
              <w:spacing w:after="0"/>
              <w:rPr>
                <w:sz w:val="20"/>
                <w:szCs w:val="20"/>
                <w:color w:val="auto"/>
              </w:rPr>
            </w:pPr>
            <w:r>
              <w:rPr>
                <w:rFonts w:ascii="Arial" w:cs="Arial" w:eastAsia="Arial" w:hAnsi="Arial"/>
                <w:sz w:val="18"/>
                <w:szCs w:val="18"/>
                <w:color w:val="auto"/>
                <w:w w:val="92"/>
              </w:rPr>
              <w:t>This Amendment may be executed in two or more counterparts, each of which shall be deemed an original, but all of which</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together shall constitute one instrument.</w:t>
            </w: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of Page Intentionally Left Blank.]</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ARCTURUS THERAPEUTICS, INC.</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Payne</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President and CEO</w:t>
      </w:r>
    </w:p>
    <w:p>
      <w:pPr>
        <w:spacing w:after="0" w:line="225"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WESTERN ALLIANCE BANK, an Arizona corporation</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/s/ Bill Wickline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-10160</wp:posOffset>
            </wp:positionV>
            <wp:extent cx="779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779145" cy="8890"/>
                    </a:xfrm>
                    <a:prstGeom prst="rect">
                      <a:avLst/>
                    </a:prstGeom>
                    <a:noFill/>
                  </pic:spPr>
                </pic:pic>
              </a:graphicData>
            </a:graphic>
          </wp:anchor>
        </w:drawing>
      </w: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Director, Commercial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Third Amendment to Loan and Security Agreement</w:t>
      </w:r>
      <w:r>
        <w:rPr>
          <w:rFonts w:ascii="Arial" w:cs="Arial" w:eastAsia="Arial" w:hAnsi="Arial"/>
          <w:sz w:val="18"/>
          <w:szCs w:val="18"/>
          <w:b w:val="1"/>
          <w:bCs w:val="1"/>
          <w:color w:val="auto"/>
        </w:rPr>
        <w:t>]</w:t>
      </w:r>
    </w:p>
    <w:p>
      <w:pPr>
        <w:sectPr>
          <w:pgSz w:w="11900" w:h="16838" w:orient="portrait"/>
          <w:cols w:equalWidth="0" w:num="1">
            <w:col w:w="9339"/>
          </w:cols>
          <w:pgMar w:left="1120" w:top="341"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Sassine,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9"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September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9"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606"/>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606"/>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6" Type="http://schemas.openxmlformats.org/officeDocument/2006/relationships/image" Target="media/image45.png"/><Relationship Id="rId87" Type="http://schemas.openxmlformats.org/officeDocument/2006/relationships/image" Target="media/image46.png"/><Relationship Id="rId88" Type="http://schemas.openxmlformats.org/officeDocument/2006/relationships/image" Target="media/image47.png"/><Relationship Id="rId89" Type="http://schemas.openxmlformats.org/officeDocument/2006/relationships/image" Target="media/image48.png"/><Relationship Id="rId90" Type="http://schemas.openxmlformats.org/officeDocument/2006/relationships/image" Target="media/image49.png"/><Relationship Id="rId91" Type="http://schemas.openxmlformats.org/officeDocument/2006/relationships/image" Target="media/image50.png"/><Relationship Id="rId92" Type="http://schemas.openxmlformats.org/officeDocument/2006/relationships/image" Target="media/image51.png"/><Relationship Id="rId93"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png"/><Relationship Id="rId48" Type="http://schemas.openxmlformats.org/officeDocument/2006/relationships/hyperlink" Target="http://www.sec.gov/Archives/edgar/data/0001566049/000156459019008092/arct-ex1013_446.htm" TargetMode="External"/><Relationship Id="rId49" Type="http://schemas.openxmlformats.org/officeDocument/2006/relationships/hyperlink" Target="http://www.sec.gov/Archives/edgar/data/0001566049/000119312519077140/d721306ds4.htm" TargetMode="External"/><Relationship Id="rId50" Type="http://schemas.openxmlformats.org/officeDocument/2006/relationships/hyperlink" Target="http://www.sec.gov/Archives/edgar/data/0001768224/000119312519077140/d721306ds4.htm" TargetMode="External"/><Relationship Id="rId51" Type="http://schemas.openxmlformats.org/officeDocument/2006/relationships/hyperlink" Target="http://www.sec.gov/Archives/edgar/data/0001566049/000119380518001024/e618195_ex99-3.htm" TargetMode="External"/><Relationship Id="rId52" Type="http://schemas.openxmlformats.org/officeDocument/2006/relationships/hyperlink" Target="http://www.sec.gov/Archives/edgar/data/0001566049/000119380518001024/e618195_ex99-2.htm" TargetMode="External"/><Relationship Id="rId53" Type="http://schemas.openxmlformats.org/officeDocument/2006/relationships/hyperlink" Target="http://www.sec.gov/Archives/edgar/data/0001566049/000114420417050441/v476068_ex99-2.htm" TargetMode="External"/><Relationship Id="rId54" Type="http://schemas.openxmlformats.org/officeDocument/2006/relationships/hyperlink" Target="http://www.sec.gov/Archives/edgar/data/0001566049/000114420413010022/v335246_ex10-4.htm" TargetMode="External"/><Relationship Id="rId55" Type="http://schemas.openxmlformats.org/officeDocument/2006/relationships/hyperlink" Target="http://www.sec.gov/Archives/edgar/data/0001566049/000114420417023306/v463955_ex4-3.htm" TargetMode="External"/><Relationship Id="rId56" Type="http://schemas.openxmlformats.org/officeDocument/2006/relationships/hyperlink" Target="http://www.sec.gov/Archives/edgar/data/0001566049/000114420417061720/tv480453_ex99-1.htm" TargetMode="External"/><Relationship Id="rId57" Type="http://schemas.openxmlformats.org/officeDocument/2006/relationships/hyperlink" Target="http://www.sec.gov/Archives/edgar/data/0001768224/000119312519173808/d826633d8k12b.htm" TargetMode="External"/><Relationship Id="rId58" Type="http://schemas.openxmlformats.org/officeDocument/2006/relationships/hyperlink" Target="http://www.sec.gov/Archives/edgar/data/1566049/000156459018024268/arct-ex101_7.htm" TargetMode="External"/><Relationship Id="rId59" Type="http://schemas.openxmlformats.org/officeDocument/2006/relationships/hyperlink" Target="http://www.sec.gov/Archives/edgar/data/1566049/000156459018024268/arct-ex102_6.htm" TargetMode="External"/><Relationship Id="rId60" Type="http://schemas.openxmlformats.org/officeDocument/2006/relationships/hyperlink" Target="http://www.sec.gov/Archives/edgar/data/1566049/000156459018023735/arct-ex992_6.htm" TargetMode="External"/><Relationship Id="rId61" Type="http://schemas.openxmlformats.org/officeDocument/2006/relationships/hyperlink" Target="http://www.sec.gov/Archives/edgar/data/1566049/000156459018013460/arct-ex47_880.htm" TargetMode="External"/><Relationship Id="rId62" Type="http://schemas.openxmlformats.org/officeDocument/2006/relationships/hyperlink" Target="http://www.sec.gov/Archives/edgar/data/1566049/000156459018013460/arct-ex48_879.htm" TargetMode="External"/><Relationship Id="rId63" Type="http://schemas.openxmlformats.org/officeDocument/2006/relationships/hyperlink" Target="http://www.sec.gov/Archives/edgar/data/1566049/000156459018013460/arct-ex49_884.htm" TargetMode="External"/><Relationship Id="rId64" Type="http://schemas.openxmlformats.org/officeDocument/2006/relationships/hyperlink" Target="http://www.sec.gov/Archives/edgar/data/1566049/000156459018013460/arct-ex410_883.htm" TargetMode="External"/><Relationship Id="rId67" Type="http://schemas.openxmlformats.org/officeDocument/2006/relationships/hyperlink" Target="http://www.sec.gov/Archives/edgar/data/1566049/000156459018013460/arct-ex411_878.htm" TargetMode="External"/><Relationship Id="rId68" Type="http://schemas.openxmlformats.org/officeDocument/2006/relationships/hyperlink" Target="http://www.sec.gov/Archives/edgar/data/1566049/000156459018013460/arct-ex412_1677.htm" TargetMode="External"/><Relationship Id="rId69" Type="http://schemas.openxmlformats.org/officeDocument/2006/relationships/hyperlink" Target="http://www.sec.gov/Archives/edgar/data/1566049/000156459018013460/arct-ex413_1676.htm" TargetMode="External"/><Relationship Id="rId70" Type="http://schemas.openxmlformats.org/officeDocument/2006/relationships/hyperlink" Target="http://www.sec.gov/Archives/edgar/data/1566049/000156459018016705/arct-ex414_7.htm" TargetMode="External"/><Relationship Id="rId71" Type="http://schemas.openxmlformats.org/officeDocument/2006/relationships/hyperlink" Target="http://www.sec.gov/Archives/edgar/data/1566049/000156459018013460/arct-ex415_876.htm" TargetMode="External"/><Relationship Id="rId72" Type="http://schemas.openxmlformats.org/officeDocument/2006/relationships/hyperlink" Target="http://www.sec.gov/Archives/edgar/data/0001566049/000156459019011220/arct-ex1014_6.htm" TargetMode="External"/><Relationship Id="rId73" Type="http://schemas.openxmlformats.org/officeDocument/2006/relationships/hyperlink" Target="http://www.sec.gov/Archives/edgar/data/0001566049/000156459019008092/arct-ex1015_582.htm" TargetMode="External"/><Relationship Id="rId74" Type="http://schemas.openxmlformats.org/officeDocument/2006/relationships/hyperlink" Target="http://www.sec.gov/Archives/edgar/data/0001768224/000156459019032166/arct-ex1016_165.htm" TargetMode="External"/><Relationship Id="rId75" Type="http://schemas.openxmlformats.org/officeDocument/2006/relationships/hyperlink" Target="http://www.sec.gov/Archives/edgar/data/0001768224/000119312519212082/d776215dex11.htm" TargetMode="External"/><Relationship Id="rId76" Type="http://schemas.openxmlformats.org/officeDocument/2006/relationships/hyperlink" Target="http://www.sec.gov/Archives/edgar/data/0001768224/000119312519212082/d776215dex101.htm" TargetMode="External"/><Relationship Id="rId77" Type="http://schemas.openxmlformats.org/officeDocument/2006/relationships/hyperlink" Target="http://www.sec.gov/Archives/edgar/data/0001768224/000119312519212594/d717626dex101.htm" TargetMode="External"/><Relationship Id="rId78" Type="http://schemas.openxmlformats.org/officeDocument/2006/relationships/hyperlink" Target="http://www.sec.gov/Archives/edgar/data/0001768224/000156459019032166/arct-ex1020_166.htm" TargetMode="External"/><Relationship Id="rId79" Type="http://schemas.openxmlformats.org/officeDocument/2006/relationships/hyperlink" Target="http://www.sec.gov/Archives/edgar/data/0001768224/000156459019032166/arct-ex1021_167.htm" TargetMode="External"/><Relationship Id="rId80" Type="http://schemas.openxmlformats.org/officeDocument/2006/relationships/hyperlink" Target="http://www.sec.gov/Archives/edgar/data/0001566049/000119312519176908/d721252dex41.htm" TargetMode="External"/><Relationship Id="rId81" Type="http://schemas.openxmlformats.org/officeDocument/2006/relationships/hyperlink" Target="http://www.sec.gov/Archives/edgar/data/0001566049/000119312519176908/d721252dex101.htm" TargetMode="External"/><Relationship Id="rId82" Type="http://schemas.openxmlformats.org/officeDocument/2006/relationships/hyperlink" Target="http://www.sec.gov/Archives/edgar/data/0001566049/000119312519176908/d721252dex102.htm" TargetMode="External"/><Relationship Id="rId85" Type="http://schemas.openxmlformats.org/officeDocument/2006/relationships/hyperlink" Target="http://www.sec.gov/Archives/edgar/data/0001768224/000119312519257389/d8075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2019-12-28T02:11:57Z</dcterms:created>
  <dcterms:modified xsi:type="dcterms:W3CDTF">2019-12-28T02:11:57Z</dcterms:modified>
</cp:coreProperties>
</file>