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July 2016</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6" w:right="1440" w:bottom="1440" w:gutter="0" w:footer="0" w:header="0"/>
        </w:sectPr>
      </w:pPr>
    </w:p>
    <w:bookmarkStart w:id="1" w:name="page2"/>
    <w:bookmarkEnd w:id="1"/>
    <w:p>
      <w:pPr>
        <w:ind w:right="600" w:firstLine="648"/>
        <w:spacing w:after="0" w:line="342" w:lineRule="auto"/>
        <w:rPr>
          <w:sz w:val="20"/>
          <w:szCs w:val="20"/>
          <w:color w:val="auto"/>
        </w:rPr>
      </w:pPr>
      <w:r>
        <w:rPr>
          <w:rFonts w:ascii="Arial" w:cs="Arial" w:eastAsia="Arial" w:hAnsi="Arial"/>
          <w:sz w:val="16"/>
          <w:szCs w:val="16"/>
          <w:color w:val="auto"/>
        </w:rPr>
        <w:t>Attached hereto and incorporated by reference herein is the Registrant's press release issued on July 19, 2016, announcing that the European Commission has granted Orphan Drug designation to Metadoxine for the treatment of Fragile X Syndrome within the European Union.</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first paragraph of the press release attached to this Form 6-K of the Registrant is incorporated by reference into the Registration Statements on Form F-3 (File No. 333-209960) and Form S-8 (File No. 333-194875, 333-202394 and 333-209947) of the Registrant, filed with the Securities and Exchange Commission, to be a part thereof from the date on which this report is submitted,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w w:val="99"/>
              </w:rPr>
              <w:t>Exhibit No.</w:t>
            </w:r>
          </w:p>
        </w:tc>
        <w:tc>
          <w:tcPr>
            <w:tcW w:w="1046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99.1</w:t>
            </w:r>
          </w:p>
        </w:tc>
        <w:tc>
          <w:tcPr>
            <w:tcW w:w="10460" w:type="dxa"/>
            <w:vAlign w:val="bottom"/>
          </w:tcPr>
          <w:p>
            <w:pPr>
              <w:ind w:left="80"/>
              <w:spacing w:after="0"/>
              <w:rPr>
                <w:sz w:val="20"/>
                <w:szCs w:val="20"/>
                <w:color w:val="auto"/>
              </w:rPr>
            </w:pPr>
            <w:r>
              <w:rPr>
                <w:rFonts w:ascii="Arial" w:cs="Arial" w:eastAsia="Arial" w:hAnsi="Arial"/>
                <w:sz w:val="18"/>
                <w:szCs w:val="18"/>
                <w:color w:val="auto"/>
                <w:w w:val="93"/>
              </w:rPr>
              <w:t>Press release issued by Alcobra Ltd. on July 19, 2016, announcing that the European Commission has granted Orphan Drug designation to</w:t>
            </w:r>
          </w:p>
        </w:tc>
      </w:tr>
      <w:tr>
        <w:trPr>
          <w:trHeight w:val="230"/>
        </w:trPr>
        <w:tc>
          <w:tcPr>
            <w:tcW w:w="960" w:type="dxa"/>
            <w:vAlign w:val="bottom"/>
          </w:tcPr>
          <w:p>
            <w:pPr>
              <w:spacing w:after="0"/>
              <w:rPr>
                <w:sz w:val="20"/>
                <w:szCs w:val="20"/>
                <w:color w:val="auto"/>
              </w:rPr>
            </w:pPr>
          </w:p>
        </w:tc>
        <w:tc>
          <w:tcPr>
            <w:tcW w:w="10460" w:type="dxa"/>
            <w:vAlign w:val="bottom"/>
          </w:tcPr>
          <w:p>
            <w:pPr>
              <w:ind w:left="80"/>
              <w:spacing w:after="0"/>
              <w:rPr>
                <w:sz w:val="20"/>
                <w:szCs w:val="20"/>
                <w:color w:val="auto"/>
              </w:rPr>
            </w:pPr>
            <w:r>
              <w:rPr>
                <w:rFonts w:ascii="Arial" w:cs="Arial" w:eastAsia="Arial" w:hAnsi="Arial"/>
                <w:sz w:val="18"/>
                <w:szCs w:val="18"/>
                <w:color w:val="auto"/>
              </w:rPr>
              <w:t>Metadoxine for the treatment of Fragile X Syndrome within the European Union.</w:t>
            </w:r>
          </w:p>
        </w:tc>
      </w:tr>
      <w:tr>
        <w:trPr>
          <w:trHeight w:val="891"/>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Tomer Berkovitz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Tomer Berkovitz</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320040</wp:posOffset>
            </wp:positionV>
            <wp:extent cx="1303655" cy="660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U.S. Investor Contacts</w:t>
            </w:r>
          </w:p>
        </w:tc>
        <w:tc>
          <w:tcPr>
            <w:tcW w:w="3860" w:type="dxa"/>
            <w:vAlign w:val="bottom"/>
          </w:tcPr>
          <w:p>
            <w:pPr>
              <w:ind w:left="900"/>
              <w:spacing w:after="0"/>
              <w:rPr>
                <w:sz w:val="20"/>
                <w:szCs w:val="20"/>
                <w:color w:val="auto"/>
              </w:rPr>
            </w:pPr>
            <w:r>
              <w:rPr>
                <w:rFonts w:ascii="Arial" w:cs="Arial" w:eastAsia="Arial" w:hAnsi="Arial"/>
                <w:sz w:val="18"/>
                <w:szCs w:val="18"/>
                <w:b w:val="1"/>
                <w:bCs w:val="1"/>
                <w:color w:val="auto"/>
              </w:rPr>
              <w:t>Media Inquiries</w:t>
            </w:r>
          </w:p>
        </w:tc>
        <w:tc>
          <w:tcPr>
            <w:tcW w:w="3060" w:type="dxa"/>
            <w:vAlign w:val="bottom"/>
          </w:tcPr>
          <w:p>
            <w:pPr>
              <w:ind w:left="920"/>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LifeSci Advisors, LLC</w:t>
            </w:r>
          </w:p>
        </w:tc>
        <w:tc>
          <w:tcPr>
            <w:tcW w:w="3860" w:type="dxa"/>
            <w:vAlign w:val="bottom"/>
          </w:tcPr>
          <w:p>
            <w:pPr>
              <w:ind w:left="900"/>
              <w:spacing w:after="0"/>
              <w:rPr>
                <w:sz w:val="20"/>
                <w:szCs w:val="20"/>
                <w:color w:val="auto"/>
              </w:rPr>
            </w:pPr>
            <w:r>
              <w:rPr>
                <w:rFonts w:ascii="Arial" w:cs="Arial" w:eastAsia="Arial" w:hAnsi="Arial"/>
                <w:sz w:val="18"/>
                <w:szCs w:val="18"/>
                <w:color w:val="auto"/>
              </w:rPr>
              <w:t>Sam Brown, Inc.</w:t>
            </w:r>
          </w:p>
        </w:tc>
        <w:tc>
          <w:tcPr>
            <w:tcW w:w="3060" w:type="dxa"/>
            <w:vAlign w:val="bottom"/>
          </w:tcPr>
          <w:p>
            <w:pPr>
              <w:ind w:left="920"/>
              <w:spacing w:after="0"/>
              <w:rPr>
                <w:sz w:val="20"/>
                <w:szCs w:val="20"/>
                <w:color w:val="auto"/>
              </w:rPr>
            </w:pPr>
            <w:r>
              <w:rPr>
                <w:rFonts w:ascii="Arial" w:cs="Arial" w:eastAsia="Arial" w:hAnsi="Arial"/>
                <w:sz w:val="18"/>
                <w:szCs w:val="18"/>
                <w:color w:val="auto"/>
              </w:rPr>
              <w:t>Alcobra Investor Relations</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Rice</w:t>
            </w:r>
          </w:p>
        </w:tc>
        <w:tc>
          <w:tcPr>
            <w:tcW w:w="3860" w:type="dxa"/>
            <w:vAlign w:val="bottom"/>
          </w:tcPr>
          <w:p>
            <w:pPr>
              <w:ind w:left="900"/>
              <w:spacing w:after="0"/>
              <w:rPr>
                <w:sz w:val="20"/>
                <w:szCs w:val="20"/>
                <w:color w:val="auto"/>
              </w:rPr>
            </w:pPr>
            <w:r>
              <w:rPr>
                <w:rFonts w:ascii="Arial" w:cs="Arial" w:eastAsia="Arial" w:hAnsi="Arial"/>
                <w:sz w:val="18"/>
                <w:szCs w:val="18"/>
                <w:color w:val="auto"/>
              </w:rPr>
              <w:t>Mike Beyer</w:t>
            </w:r>
          </w:p>
        </w:tc>
        <w:tc>
          <w:tcPr>
            <w:tcW w:w="3060" w:type="dxa"/>
            <w:vAlign w:val="bottom"/>
          </w:tcPr>
          <w:p>
            <w:pPr>
              <w:ind w:left="920"/>
              <w:spacing w:after="0"/>
              <w:rPr>
                <w:sz w:val="20"/>
                <w:szCs w:val="20"/>
                <w:color w:val="auto"/>
              </w:rPr>
            </w:pPr>
            <w:r>
              <w:rPr>
                <w:rFonts w:ascii="Arial" w:cs="Arial" w:eastAsia="Arial" w:hAnsi="Arial"/>
                <w:sz w:val="18"/>
                <w:szCs w:val="18"/>
                <w:color w:val="auto"/>
              </w:rPr>
              <w:t>Debbie Kaye</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646-597-6979</w:t>
            </w:r>
          </w:p>
        </w:tc>
        <w:tc>
          <w:tcPr>
            <w:tcW w:w="3860" w:type="dxa"/>
            <w:vAlign w:val="bottom"/>
          </w:tcPr>
          <w:p>
            <w:pPr>
              <w:ind w:left="900"/>
              <w:spacing w:after="0"/>
              <w:rPr>
                <w:sz w:val="20"/>
                <w:szCs w:val="20"/>
                <w:color w:val="auto"/>
              </w:rPr>
            </w:pPr>
            <w:r>
              <w:rPr>
                <w:rFonts w:ascii="Arial" w:cs="Arial" w:eastAsia="Arial" w:hAnsi="Arial"/>
                <w:sz w:val="18"/>
                <w:szCs w:val="18"/>
                <w:color w:val="auto"/>
              </w:rPr>
              <w:t>312-961-2502</w:t>
            </w:r>
          </w:p>
        </w:tc>
        <w:tc>
          <w:tcPr>
            <w:tcW w:w="3060" w:type="dxa"/>
            <w:vAlign w:val="bottom"/>
          </w:tcPr>
          <w:p>
            <w:pPr>
              <w:ind w:left="920"/>
              <w:spacing w:after="0"/>
              <w:rPr>
                <w:sz w:val="20"/>
                <w:szCs w:val="20"/>
                <w:color w:val="auto"/>
              </w:rPr>
            </w:pPr>
            <w:r>
              <w:rPr>
                <w:rFonts w:ascii="Arial" w:cs="Arial" w:eastAsia="Arial" w:hAnsi="Arial"/>
                <w:sz w:val="18"/>
                <w:szCs w:val="18"/>
                <w:color w:val="auto"/>
              </w:rPr>
              <w:t>+972-72 2204661</w:t>
            </w: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0000FF"/>
              </w:rPr>
              <w:t>mrice@lifesciadvisors.com</w:t>
            </w:r>
          </w:p>
        </w:tc>
        <w:tc>
          <w:tcPr>
            <w:tcW w:w="3860" w:type="dxa"/>
            <w:vAlign w:val="bottom"/>
          </w:tcPr>
          <w:p>
            <w:pPr>
              <w:ind w:left="900"/>
              <w:spacing w:after="0"/>
              <w:rPr>
                <w:sz w:val="20"/>
                <w:szCs w:val="20"/>
                <w:color w:val="auto"/>
              </w:rPr>
            </w:pPr>
            <w:r>
              <w:rPr>
                <w:rFonts w:ascii="Arial" w:cs="Arial" w:eastAsia="Arial" w:hAnsi="Arial"/>
                <w:sz w:val="18"/>
                <w:szCs w:val="18"/>
                <w:color w:val="0000FF"/>
              </w:rPr>
              <w:t>mikebeyer@sambrown.com</w:t>
            </w:r>
          </w:p>
        </w:tc>
        <w:tc>
          <w:tcPr>
            <w:tcW w:w="3060" w:type="dxa"/>
            <w:vAlign w:val="bottom"/>
          </w:tcPr>
          <w:p>
            <w:pPr>
              <w:ind w:left="920"/>
              <w:spacing w:after="0"/>
              <w:rPr>
                <w:sz w:val="20"/>
                <w:szCs w:val="20"/>
                <w:color w:val="auto"/>
              </w:rPr>
            </w:pPr>
            <w:r>
              <w:rPr>
                <w:rFonts w:ascii="Arial" w:cs="Arial" w:eastAsia="Arial" w:hAnsi="Arial"/>
                <w:sz w:val="18"/>
                <w:szCs w:val="18"/>
                <w:color w:val="0000FF"/>
                <w:w w:val="89"/>
              </w:rPr>
              <w:t>debbie@alcobra-pharma.com</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Alcobra Granted European Orphan Drug Designation for Metadoxine in Fragile X Syndrome</w:t>
      </w:r>
    </w:p>
    <w:p>
      <w:pPr>
        <w:spacing w:after="0" w:line="200" w:lineRule="exact"/>
        <w:rPr>
          <w:sz w:val="20"/>
          <w:szCs w:val="20"/>
          <w:color w:val="auto"/>
        </w:rPr>
      </w:pPr>
    </w:p>
    <w:p>
      <w:pPr>
        <w:spacing w:after="0" w:line="23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Tel Aviv, Israel – July 19, 2016 – </w:t>
      </w:r>
      <w:r>
        <w:rPr>
          <w:rFonts w:ascii="Arial" w:cs="Arial" w:eastAsia="Arial" w:hAnsi="Arial"/>
          <w:sz w:val="16"/>
          <w:szCs w:val="16"/>
          <w:color w:val="auto"/>
        </w:rPr>
        <w:t>Alcobra Ltd. (NasdaqGM: ADHD), an emerging pharmaceutical company focused on the development of new medications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help patients with cognitive disorders, including Attention Deficit Hyperactivity Disorder (ADHD) and Fragile X Syndrome, today announced that the European Commission (EC) has granted Orphan Drug designation to Metadoxine for the treatment of Fragile X Syndrome within the European Union.</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 Orphan Drug designation is granted to drugs that are intended for the treatment of life threatening or chronically debilitating rare diseases where no satisfactory therapeutic options exist. The designation provides sponsors with development and commercial incentives, including 10 years of market exclusivity, prioritized consultation by the European Medicines Agency on the development of the drug, including clinical studies, and certain exemptions from, or reductions in, regulatory fees.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2013, the U.S. Food and Drug Administration (FDA) granted orphan drug status in the United States to Metadoxine for the treatment of Fragile X Syndrome, and in 2015, the FDA granted Fast Track designation to our proprietary Metadoxine Extended Release (MDX) for Fragile X Syndrome. Fast Track designation is a process designed to facilitate the development and expedite the review of drugs that demonstrate the potential to address unmet medical needs in serious or life-threatening diseases or conditions. Currently, there are no approved medications in the United States or Europe for Fragile X Syndrome.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Fragile X Syndrome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Fragile X Syndrome (FXS) is a genetic condition that causes intellectual disability, behavioral and learning challenges. FXS is the leading known genetic cause of autism, accounting for about 2-6% of cases. FXS represents an unmet medical need and a rare disease, as defined by the U.S. Orphan Drug Act. According to the U.S. National Institutes of Health, approximately one in 4,000 males and one in 8,000 females have FXS.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MDX</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MDX (Metadoxine Extended Release) is a proprietary investigational new drug candidate being developed by Alcobra for the potential treatment of ADHD and Fragile X Syndrome. MDX is not a stimulant and acts as a monoamine-independent modulator of GABA (gamma-aminobutyric acid) transmission. In pre-clinical studies to date, Metadoxine has shown no potential for abuse or addiction. MDX is currently in Phase III development for adults with ADHD, Phase II development for pediatric ADHD, and Phase II development for Fragile X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About Alcobra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Alcobra Ltd. is an emerging pharmaceutical company primarily focused on the development and commercialization of MDX (Metadoxine Extended Release), a proprietary drug candidate, to treat cognitive disorders including ADHD and Fragile X Syndrome. For more information, please visit the Company's website, </w:t>
      </w:r>
      <w:r>
        <w:rPr>
          <w:rFonts w:ascii="Arial" w:cs="Arial" w:eastAsia="Arial" w:hAnsi="Arial"/>
          <w:sz w:val="18"/>
          <w:szCs w:val="18"/>
          <w:b w:val="1"/>
          <w:bCs w:val="1"/>
          <w:i w:val="1"/>
          <w:iCs w:val="1"/>
          <w:color w:val="auto"/>
        </w:rPr>
        <w:t>www.alcobra-pharma.com</w:t>
      </w:r>
      <w:r>
        <w:rPr>
          <w:rFonts w:ascii="Arial" w:cs="Arial" w:eastAsia="Arial" w:hAnsi="Arial"/>
          <w:sz w:val="18"/>
          <w:szCs w:val="18"/>
          <w:color w:val="auto"/>
        </w:rPr>
        <w:t>, the content of which is not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regarding the potential of MDX to treat Fragile X Syndrome or that we will be able to benefit from the incentives granted to orphan drugs. In addition, historic results of scientific research do not guarantee that the conclusions of future research would not suggest different conclusions or that historic results referred to in this press release would not be interpreted differently in light of additional research or otherwise. The forward-looking statements contained or implied in this press release are subject to other risks and uncertainties, including those discussed under the heading "Risk Factors" in Alcobra Ltd.'s Annual Report on Form 20-F for the fiscal year ended December 31, 2015,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2019-12-08T23:35:50Z</dcterms:created>
  <dcterms:modified xsi:type="dcterms:W3CDTF">2019-12-08T23:35:50Z</dcterms:modified>
</cp:coreProperties>
</file>