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28,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5"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001-38942</w:t>
      </w:r>
    </w:p>
    <w:p>
      <w:pPr>
        <w:spacing w:after="0" w:line="27"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64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32-0595345</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680" w:space="720"/>
            <w:col w:w="2680" w:space="720"/>
            <w:col w:w="2440"/>
          </w:cols>
          <w:pgMar w:left="320" w:top="472" w:right="3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10628 Science Center Drive, Suite 250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472"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28, 2020, Arcturus Therapeutics Holdings Inc. (the “Company”) entered into an underwriting agreement (the “Underwriting Agreement”) with Citigroup Global Markets Inc., Guggenheim Securities, LLC, and Barclays Capital Inc., as representatives of the several underwriters identified in Schedule I thereto (the “Underwriters”), in connection with the Company’s previously announced public offering (the “Offering”) of 3,264,151 shares (the “Firm Shares”) of the Company’s common stock, $0.001 par value per share (the “Common Stock”), at a public offering price of $53.00 per share. Under the terms of the Underwriting Agreement, the Company granted the Underwriters an option, exercisable for 30 days, to purchase up to an additional 489,622 shares of Common Stock at the public offering price less underwriting discounts and commissions (the “Option Shares,” and together with the Firm Shares, the “Shares”).</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net proceeds to the Company from the Offering, excluding any exercise by the Underwriters of their option to purchase any of the Option Shares, are expected to be approximately $162 million, after deducting underwriting discounts and commissions and estimated offering expenses payable by the Company.</w:t>
      </w:r>
    </w:p>
    <w:p>
      <w:pPr>
        <w:spacing w:after="0" w:line="18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Offering is being made pursuant to a prospectus supplement dated July 28, 2020 and an accompanying prospectus dated May 8, 2020, pursuant to a Registration Statement (File No. 333-238139) on Form S-3, which was initially filed by the Company with the Securities and Exchange Commission (“SEC”) on May 8, 2020 and declared effective by the SEC on May 21, 2020 under the Securities Act of 1933, as amended.</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and covenants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foregoing summary of the Underwriting Agreement is qualified in its entirety by reference to the Underwriting Agreement attached hereto as Exhibit 1.1 and which is incorporated herein by reference. Dentons US LLP, counsel to the Company, delivered an opinion as to legality of the issuance and sale of the Shares in the Offering, a copy of which is attached hereto as Exhibit 5.1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180"/>
          </w:cols>
          <w:pgMar w:left="320" w:top="693" w:right="399" w:bottom="1440" w:gutter="0" w:footer="0" w:header="0"/>
        </w:sectPr>
      </w:pPr>
    </w:p>
    <w:p>
      <w:pPr>
        <w:spacing w:after="0" w:line="225" w:lineRule="exact"/>
        <w:rPr>
          <w:sz w:val="20"/>
          <w:szCs w:val="20"/>
          <w:color w:val="auto"/>
        </w:rPr>
      </w:pPr>
    </w:p>
    <w:p>
      <w:pPr>
        <w:jc w:val="center"/>
        <w:ind w:right="4180"/>
        <w:spacing w:after="0"/>
        <w:rPr>
          <w:sz w:val="20"/>
          <w:szCs w:val="20"/>
          <w:color w:val="auto"/>
        </w:rPr>
      </w:pPr>
      <w:r>
        <w:rPr>
          <w:rFonts w:ascii="Arial" w:cs="Arial" w:eastAsia="Arial" w:hAnsi="Arial"/>
          <w:sz w:val="16"/>
          <w:szCs w:val="16"/>
          <w:b w:val="1"/>
          <w:bCs w:val="1"/>
          <w:color w:val="auto"/>
        </w:rPr>
        <w:t>Exhibit</w:t>
      </w:r>
    </w:p>
    <w:p>
      <w:pPr>
        <w:spacing w:after="0" w:line="50" w:lineRule="exact"/>
        <w:rPr>
          <w:sz w:val="20"/>
          <w:szCs w:val="20"/>
          <w:color w:val="auto"/>
        </w:rPr>
      </w:pPr>
    </w:p>
    <w:p>
      <w:pPr>
        <w:jc w:val="center"/>
        <w:ind w:right="418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683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480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39370</wp:posOffset>
            </wp:positionV>
            <wp:extent cx="6729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4780" w:space="720"/>
            <w:col w:w="5680"/>
          </w:cols>
          <w:pgMar w:left="320" w:top="693" w:right="399" w:bottom="1440" w:gutter="0" w:footer="0" w:header="0"/>
          <w:type w:val="continuous"/>
        </w:sectPr>
      </w:pPr>
    </w:p>
    <w:p>
      <w:pPr>
        <w:spacing w:after="0" w:line="38" w:lineRule="exact"/>
        <w:rPr>
          <w:sz w:val="20"/>
          <w:szCs w:val="20"/>
          <w:color w:val="auto"/>
        </w:rPr>
      </w:pPr>
    </w:p>
    <w:p>
      <w:pPr>
        <w:ind w:left="640" w:right="160" w:hanging="633"/>
        <w:spacing w:after="0" w:line="258"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4">
        <w:r>
          <w:rPr>
            <w:rFonts w:ascii="Arial" w:cs="Arial" w:eastAsia="Arial" w:hAnsi="Arial"/>
            <w:sz w:val="18"/>
            <w:szCs w:val="18"/>
            <w:u w:val="single" w:color="auto"/>
            <w:color w:val="0000EE"/>
          </w:rPr>
          <w:t>Underwriting Agreement, dated July 28, 2020, by and among Arcturus Therapeutics Holdings Inc., Citigroup Global Markets Inc., Guggenheim</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Securities, LLC, and Barclays Capital Inc.</w:t>
        </w:r>
      </w:hyperlink>
    </w:p>
    <w:p>
      <w:pPr>
        <w:spacing w:after="0" w:line="1"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53">
        <w:r>
          <w:rPr>
            <w:rFonts w:ascii="Arial" w:cs="Arial" w:eastAsia="Arial" w:hAnsi="Arial"/>
            <w:sz w:val="16"/>
            <w:szCs w:val="16"/>
            <w:u w:val="single" w:color="auto"/>
            <w:color w:val="0000EE"/>
          </w:rPr>
          <w:t>Opinion of Dentons US LLP</w:t>
        </w:r>
      </w:hyperlink>
    </w:p>
    <w:p>
      <w:pPr>
        <w:spacing w:after="0" w:line="9"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53">
        <w:r>
          <w:rPr>
            <w:rFonts w:ascii="Arial" w:cs="Arial" w:eastAsia="Arial" w:hAnsi="Arial"/>
            <w:sz w:val="16"/>
            <w:szCs w:val="16"/>
            <w:u w:val="single" w:color="auto"/>
            <w:color w:val="0000EE"/>
          </w:rPr>
          <w:t>Consent of Dentons US LLP (contained in Exhibit 5.1)</w:t>
        </w:r>
      </w:hyperlink>
    </w:p>
    <w:p>
      <w:pPr>
        <w:spacing w:after="0" w:line="9" w:lineRule="exact"/>
        <w:rPr>
          <w:sz w:val="20"/>
          <w:szCs w:val="20"/>
          <w:color w:val="auto"/>
        </w:rPr>
      </w:pPr>
    </w:p>
    <w:p>
      <w:pPr>
        <w:spacing w:after="0"/>
        <w:tabs>
          <w:tab w:leader="none" w:pos="6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5">
        <w:r>
          <w:rPr>
            <w:rFonts w:ascii="Arial" w:cs="Arial" w:eastAsia="Arial" w:hAnsi="Arial"/>
            <w:sz w:val="15"/>
            <w:szCs w:val="15"/>
            <w:u w:val="single" w:color="auto"/>
            <w:color w:val="0000EE"/>
          </w:rPr>
          <w:t>Press Release of the Company dated July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3" w:right="3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2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3,264,151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several Underwriters named 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Guggenheim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Arcturus Therapeutics Holdings Inc., a corporation organized and existing under the laws of the State of Delaware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proposes, subject to the terms and conditions stated herein, to issue and sell to the several underwriters named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3,264,151 shares of its common stock,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The 3,264,151 shares of Common Stock to be sold by the Company are called the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proposes to issue and sell to the several Underwriters up to an additional 489,622 shares (the “</w:t>
      </w:r>
      <w:r>
        <w:rPr>
          <w:rFonts w:ascii="Arial" w:cs="Arial" w:eastAsia="Arial" w:hAnsi="Arial"/>
          <w:sz w:val="17"/>
          <w:szCs w:val="17"/>
          <w:b w:val="1"/>
          <w:bCs w:val="1"/>
          <w:color w:val="auto"/>
        </w:rPr>
        <w:t>Additional Shares</w:t>
      </w:r>
      <w:r>
        <w:rPr>
          <w:rFonts w:ascii="Arial" w:cs="Arial" w:eastAsia="Arial" w:hAnsi="Arial"/>
          <w:sz w:val="17"/>
          <w:szCs w:val="17"/>
          <w:color w:val="auto"/>
        </w:rPr>
        <w:t>”) of Common Stock at the option of the Underwriters as provided in Section 2(c) below. The Firm Shares and any Additional Shares purchased by the Underwriters are referred to herein as the “</w:t>
      </w:r>
      <w:r>
        <w:rPr>
          <w:rFonts w:ascii="Arial" w:cs="Arial" w:eastAsia="Arial" w:hAnsi="Arial"/>
          <w:sz w:val="17"/>
          <w:szCs w:val="17"/>
          <w:b w:val="1"/>
          <w:bCs w:val="1"/>
          <w:color w:val="auto"/>
        </w:rPr>
        <w:t>Shares</w:t>
      </w:r>
      <w:r>
        <w:rPr>
          <w:rFonts w:ascii="Arial" w:cs="Arial" w:eastAsia="Arial" w:hAnsi="Arial"/>
          <w:sz w:val="17"/>
          <w:szCs w:val="17"/>
          <w:color w:val="auto"/>
        </w:rPr>
        <w:t>.” Citigroup Global Markets Inc. (“</w:t>
      </w:r>
      <w:r>
        <w:rPr>
          <w:rFonts w:ascii="Arial" w:cs="Arial" w:eastAsia="Arial" w:hAnsi="Arial"/>
          <w:sz w:val="17"/>
          <w:szCs w:val="17"/>
          <w:b w:val="1"/>
          <w:bCs w:val="1"/>
          <w:color w:val="auto"/>
        </w:rPr>
        <w:t>Citigroup</w:t>
      </w:r>
      <w:r>
        <w:rPr>
          <w:rFonts w:ascii="Arial" w:cs="Arial" w:eastAsia="Arial" w:hAnsi="Arial"/>
          <w:sz w:val="17"/>
          <w:szCs w:val="17"/>
          <w:color w:val="auto"/>
        </w:rPr>
        <w:t>”), Guggenheim Securities, LLC (“</w:t>
      </w:r>
      <w:r>
        <w:rPr>
          <w:rFonts w:ascii="Arial" w:cs="Arial" w:eastAsia="Arial" w:hAnsi="Arial"/>
          <w:sz w:val="17"/>
          <w:szCs w:val="17"/>
          <w:b w:val="1"/>
          <w:bCs w:val="1"/>
          <w:color w:val="auto"/>
        </w:rPr>
        <w:t>Guggenheim</w:t>
      </w:r>
      <w:r>
        <w:rPr>
          <w:rFonts w:ascii="Arial" w:cs="Arial" w:eastAsia="Arial" w:hAnsi="Arial"/>
          <w:sz w:val="17"/>
          <w:szCs w:val="17"/>
          <w:color w:val="auto"/>
        </w:rPr>
        <w:t>”) and Barclays Capital Inc. (“</w:t>
      </w:r>
      <w:r>
        <w:rPr>
          <w:rFonts w:ascii="Arial" w:cs="Arial" w:eastAsia="Arial" w:hAnsi="Arial"/>
          <w:sz w:val="17"/>
          <w:szCs w:val="17"/>
          <w:b w:val="1"/>
          <w:bCs w:val="1"/>
          <w:color w:val="auto"/>
        </w:rPr>
        <w:t>Barclays</w:t>
      </w:r>
      <w:r>
        <w:rPr>
          <w:rFonts w:ascii="Arial" w:cs="Arial" w:eastAsia="Arial" w:hAnsi="Arial"/>
          <w:sz w:val="17"/>
          <w:szCs w:val="17"/>
          <w:color w:val="auto"/>
        </w:rPr>
        <w:t>”) are each acting as representative (the “</w:t>
      </w:r>
      <w:r>
        <w:rPr>
          <w:rFonts w:ascii="Arial" w:cs="Arial" w:eastAsia="Arial" w:hAnsi="Arial"/>
          <w:sz w:val="17"/>
          <w:szCs w:val="17"/>
          <w:b w:val="1"/>
          <w:bCs w:val="1"/>
          <w:color w:val="auto"/>
        </w:rPr>
        <w:t>Representatives</w:t>
      </w:r>
      <w:r>
        <w:rPr>
          <w:rFonts w:ascii="Arial" w:cs="Arial" w:eastAsia="Arial" w:hAnsi="Arial"/>
          <w:sz w:val="17"/>
          <w:szCs w:val="17"/>
          <w:color w:val="auto"/>
        </w:rPr>
        <w:t>”) of the several Underwriters in connection with the offering and sale of the Shares contemplated herein (the “</w:t>
      </w:r>
      <w:r>
        <w:rPr>
          <w:rFonts w:ascii="Arial" w:cs="Arial" w:eastAsia="Arial" w:hAnsi="Arial"/>
          <w:sz w:val="17"/>
          <w:szCs w:val="17"/>
          <w:b w:val="1"/>
          <w:bCs w:val="1"/>
          <w:color w:val="auto"/>
        </w:rPr>
        <w:t>Offering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ind w:left="1300"/>
        <w:spacing w:after="0"/>
        <w:rPr>
          <w:sz w:val="20"/>
          <w:szCs w:val="20"/>
          <w:color w:val="auto"/>
        </w:rPr>
      </w:pPr>
      <w:r>
        <w:rPr>
          <w:rFonts w:ascii="Arial" w:cs="Arial" w:eastAsia="Arial" w:hAnsi="Arial"/>
          <w:sz w:val="18"/>
          <w:szCs w:val="18"/>
          <w:color w:val="auto"/>
        </w:rPr>
        <w:t>As used in this underwriting agreement (the “</w:t>
      </w:r>
      <w:r>
        <w:rPr>
          <w:rFonts w:ascii="Arial" w:cs="Arial" w:eastAsia="Arial" w:hAnsi="Arial"/>
          <w:sz w:val="18"/>
          <w:szCs w:val="18"/>
          <w:b w:val="1"/>
          <w:bCs w:val="1"/>
          <w:color w:val="auto"/>
        </w:rPr>
        <w:t>Agreement</w:t>
      </w:r>
      <w:r>
        <w:rPr>
          <w:rFonts w:ascii="Arial" w:cs="Arial" w:eastAsia="Arial" w:hAnsi="Arial"/>
          <w:sz w:val="18"/>
          <w:szCs w:val="18"/>
          <w:color w:val="auto"/>
        </w:rPr>
        <w:t>”), the following defined terms shall apply:</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registration statement on Form S-3 (File No. 333-238139), including the exhibits, schedules and financial statements and any prospectus supplement relating to the Offering that is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pursuant to Rule 424(b) under the Securities Act of 1933, as amended, and the rules and regulations promulgated thereunder (the “</w:t>
      </w:r>
      <w:r>
        <w:rPr>
          <w:rFonts w:ascii="Arial" w:cs="Arial" w:eastAsia="Arial" w:hAnsi="Arial"/>
          <w:sz w:val="17"/>
          <w:szCs w:val="17"/>
          <w:b w:val="1"/>
          <w:bCs w:val="1"/>
          <w:color w:val="auto"/>
        </w:rPr>
        <w:t>Securities Act</w:t>
      </w:r>
      <w:r>
        <w:rPr>
          <w:rFonts w:ascii="Arial" w:cs="Arial" w:eastAsia="Arial" w:hAnsi="Arial"/>
          <w:sz w:val="17"/>
          <w:szCs w:val="17"/>
          <w:color w:val="auto"/>
        </w:rPr>
        <w:t>”) and deemed part of such registration statement pursuant to Rule 430B under the Securities Act, as amended on each Effective Date (as defined below), and, in the event any post-effective amendment thereto or any registration statement and any amendments thereto filed pursuant to Rule 462(b) under the Securities Act (a “</w:t>
      </w:r>
      <w:r>
        <w:rPr>
          <w:rFonts w:ascii="Arial" w:cs="Arial" w:eastAsia="Arial" w:hAnsi="Arial"/>
          <w:sz w:val="17"/>
          <w:szCs w:val="17"/>
          <w:b w:val="1"/>
          <w:bCs w:val="1"/>
          <w:color w:val="auto"/>
        </w:rPr>
        <w:t>Rule 462(b) Registration Statement</w:t>
      </w:r>
      <w:r>
        <w:rPr>
          <w:rFonts w:ascii="Arial" w:cs="Arial" w:eastAsia="Arial" w:hAnsi="Arial"/>
          <w:sz w:val="17"/>
          <w:szCs w:val="17"/>
          <w:color w:val="auto"/>
        </w:rPr>
        <w:t>”) becomes effective prior to the Closing Date (as defined in Section 2(b) hereof), shall also mean such registration statement as so amended or such Rule 462(b) Registration Statement, as the case may be.</w:t>
      </w:r>
    </w:p>
    <w:p>
      <w:pPr>
        <w:spacing w:after="0" w:line="172"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Effective Date</w:t>
      </w:r>
      <w:r>
        <w:rPr>
          <w:rFonts w:ascii="Arial" w:cs="Arial" w:eastAsia="Arial" w:hAnsi="Arial"/>
          <w:sz w:val="17"/>
          <w:szCs w:val="17"/>
          <w:color w:val="auto"/>
        </w:rPr>
        <w:t>” means, with respect to the Registration Statement, each date and time that such Registration Statement, and any post-effective amendment or amendments thereto or any Rule 462(b) Registration Statement became or becomes effective.</w:t>
      </w:r>
    </w:p>
    <w:p>
      <w:pPr>
        <w:spacing w:after="0" w:line="140"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Base Prospectus</w:t>
      </w:r>
      <w:r>
        <w:rPr>
          <w:rFonts w:ascii="Arial" w:cs="Arial" w:eastAsia="Arial" w:hAnsi="Arial"/>
          <w:sz w:val="18"/>
          <w:szCs w:val="18"/>
          <w:color w:val="auto"/>
        </w:rPr>
        <w:t>” means the base prospectus contained in the Registration Statement at the date and time that this Agreement is executed and delivered by the parties hereto (the “</w:t>
      </w:r>
      <w:r>
        <w:rPr>
          <w:rFonts w:ascii="Arial" w:cs="Arial" w:eastAsia="Arial" w:hAnsi="Arial"/>
          <w:sz w:val="18"/>
          <w:szCs w:val="18"/>
          <w:b w:val="1"/>
          <w:bCs w:val="1"/>
          <w:color w:val="auto"/>
        </w:rPr>
        <w:t>Execution Time</w:t>
      </w:r>
      <w:r>
        <w:rPr>
          <w:rFonts w:ascii="Arial" w:cs="Arial" w:eastAsia="Arial" w:hAnsi="Arial"/>
          <w:sz w:val="18"/>
          <w:szCs w:val="18"/>
          <w:color w:val="auto"/>
        </w:rPr>
        <w: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supplement to the Base Prospectus which is used prior to the filing of the Prospectus (as defined below), together with the Base Prospectus.</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supplement relating to the Shares that is first filed pursuant to Rule 424(b) under the Securities Act after the Execution Time, together with the Base Prospectus.</w:t>
      </w:r>
    </w:p>
    <w:p>
      <w:pPr>
        <w:spacing w:after="0" w:line="16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shall mean (i) the Base Prospectus, (ii) the Preliminary Prospectus used most recently prior to the Applicable Time (as defined below), (iii) any issuer free writing prospectus, as defined in Rule 433 under the Securities Act (an “</w:t>
      </w:r>
      <w:r>
        <w:rPr>
          <w:rFonts w:ascii="Arial" w:cs="Arial" w:eastAsia="Arial" w:hAnsi="Arial"/>
          <w:sz w:val="18"/>
          <w:szCs w:val="18"/>
          <w:b w:val="1"/>
          <w:bCs w:val="1"/>
          <w:color w:val="auto"/>
        </w:rPr>
        <w:t>Issuer Free Writing</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 identified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II</w:t>
      </w:r>
      <w:r>
        <w:rPr>
          <w:rFonts w:ascii="Arial" w:cs="Arial" w:eastAsia="Arial" w:hAnsi="Arial"/>
          <w:sz w:val="18"/>
          <w:szCs w:val="18"/>
          <w:b w:val="1"/>
          <w:bCs w:val="1"/>
          <w:color w:val="auto"/>
        </w:rPr>
        <w:t xml:space="preserve"> </w:t>
      </w:r>
      <w:r>
        <w:rPr>
          <w:rFonts w:ascii="Arial" w:cs="Arial" w:eastAsia="Arial" w:hAnsi="Arial"/>
          <w:sz w:val="18"/>
          <w:szCs w:val="18"/>
          <w:color w:val="auto"/>
        </w:rPr>
        <w:t>hereto, (iv) any other free writing prospectus, as defined in Rule 405 under the Securities Act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 that the parties hereto shall hereafter expressly agree in writing to treat as part of the Pricing Disclosure Package and (v) the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identified in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As used herein, </w:t>
      </w:r>
      <w:r>
        <w:rPr>
          <w:rFonts w:ascii="Arial" w:cs="Arial" w:eastAsia="Arial" w:hAnsi="Arial"/>
          <w:sz w:val="18"/>
          <w:szCs w:val="18"/>
          <w:b w:val="1"/>
          <w:bCs w:val="1"/>
          <w:color w:val="auto"/>
        </w:rPr>
        <w:t>"Applicable Time"</w:t>
      </w:r>
      <w:r>
        <w:rPr>
          <w:rFonts w:ascii="Arial" w:cs="Arial" w:eastAsia="Arial" w:hAnsi="Arial"/>
          <w:sz w:val="18"/>
          <w:szCs w:val="18"/>
          <w:color w:val="auto"/>
        </w:rPr>
        <w:t xml:space="preserve"> is 10:30 p.m. (New York City time) on July 28, 2020.</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b w:val="1"/>
          <w:bCs w:val="1"/>
          <w:color w:val="auto"/>
        </w:rPr>
        <w:t>Road Show</w:t>
      </w:r>
      <w:r>
        <w:rPr>
          <w:rFonts w:ascii="Arial" w:cs="Arial" w:eastAsia="Arial" w:hAnsi="Arial"/>
          <w:sz w:val="16"/>
          <w:szCs w:val="16"/>
          <w:color w:val="auto"/>
        </w:rPr>
        <w:t>” means a “road show” (as defined in Rule 433 under the Securities Act) relating to the offering of the Shares contemplated hereby that is a “written communication” (as defined in Rule 405 under the Securities Act). All references in this Agreement to the Registration Statement, any Preliminary Prospectus, the Base Prospectus and the Prospectus shall include the documents incorporated or deemed to be incorporated by reference therein. All references in this Agreement to financial statements and schedules and other information that are“</w:t>
      </w:r>
      <w:r>
        <w:rPr>
          <w:rFonts w:ascii="Arial" w:cs="Arial" w:eastAsia="Arial" w:hAnsi="Arial"/>
          <w:sz w:val="16"/>
          <w:szCs w:val="16"/>
          <w:b w:val="1"/>
          <w:bCs w:val="1"/>
          <w:color w:val="auto"/>
        </w:rPr>
        <w:t>contained in</w:t>
      </w:r>
      <w:r>
        <w:rPr>
          <w:rFonts w:ascii="Arial" w:cs="Arial" w:eastAsia="Arial" w:hAnsi="Arial"/>
          <w:sz w:val="16"/>
          <w:szCs w:val="16"/>
          <w:color w:val="auto"/>
        </w:rPr>
        <w:t>,” “</w:t>
      </w:r>
      <w:r>
        <w:rPr>
          <w:rFonts w:ascii="Arial" w:cs="Arial" w:eastAsia="Arial" w:hAnsi="Arial"/>
          <w:sz w:val="16"/>
          <w:szCs w:val="16"/>
          <w:b w:val="1"/>
          <w:bCs w:val="1"/>
          <w:color w:val="auto"/>
        </w:rPr>
        <w:t>included in</w:t>
      </w:r>
      <w:r>
        <w:rPr>
          <w:rFonts w:ascii="Arial" w:cs="Arial" w:eastAsia="Arial" w:hAnsi="Arial"/>
          <w:sz w:val="16"/>
          <w:szCs w:val="16"/>
          <w:color w:val="auto"/>
        </w:rPr>
        <w:t>,” “</w:t>
      </w:r>
      <w:r>
        <w:rPr>
          <w:rFonts w:ascii="Arial" w:cs="Arial" w:eastAsia="Arial" w:hAnsi="Arial"/>
          <w:sz w:val="16"/>
          <w:szCs w:val="16"/>
          <w:b w:val="1"/>
          <w:bCs w:val="1"/>
          <w:color w:val="auto"/>
        </w:rPr>
        <w:t>filed with</w:t>
      </w:r>
      <w:r>
        <w:rPr>
          <w:rFonts w:ascii="Arial" w:cs="Arial" w:eastAsia="Arial" w:hAnsi="Arial"/>
          <w:sz w:val="16"/>
          <w:szCs w:val="16"/>
          <w:color w:val="auto"/>
        </w:rPr>
        <w:t>,” “</w:t>
      </w:r>
      <w:r>
        <w:rPr>
          <w:rFonts w:ascii="Arial" w:cs="Arial" w:eastAsia="Arial" w:hAnsi="Arial"/>
          <w:sz w:val="16"/>
          <w:szCs w:val="16"/>
          <w:b w:val="1"/>
          <w:bCs w:val="1"/>
          <w:color w:val="auto"/>
        </w:rPr>
        <w:t>stated in</w:t>
      </w:r>
      <w:r>
        <w:rPr>
          <w:rFonts w:ascii="Arial" w:cs="Arial" w:eastAsia="Arial" w:hAnsi="Arial"/>
          <w:sz w:val="16"/>
          <w:szCs w:val="16"/>
          <w:color w:val="auto"/>
        </w:rPr>
        <w:t>” or “</w:t>
      </w:r>
      <w:r>
        <w:rPr>
          <w:rFonts w:ascii="Arial" w:cs="Arial" w:eastAsia="Arial" w:hAnsi="Arial"/>
          <w:sz w:val="16"/>
          <w:szCs w:val="16"/>
          <w:b w:val="1"/>
          <w:bCs w:val="1"/>
          <w:color w:val="auto"/>
        </w:rPr>
        <w:t>part of</w:t>
      </w:r>
      <w:r>
        <w:rPr>
          <w:rFonts w:ascii="Arial" w:cs="Arial" w:eastAsia="Arial" w:hAnsi="Arial"/>
          <w:sz w:val="16"/>
          <w:szCs w:val="16"/>
          <w:color w:val="auto"/>
        </w:rPr>
        <w:t>” the Registration Statement, the Rule 462(b) Registration Statement, any Preliminary Prospectus, the Pricing Disclosure Package or the Prospectus, and all other references of like import, shall be deemed to mean and include all such financial statements and schedules and other information that is or is deemed to be incorporated by reference in the Registration Statement, the Rule 462(b) Registration Statement, any Preliminary Prospectus, the Base Prospectus, the Pricing Disclosure Package or the Prospectus, as the case may be.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 w:name="page6"/>
    <w:bookmarkEnd w:id="5"/>
    <w:p>
      <w:pPr>
        <w:jc w:val="both"/>
        <w:ind w:firstLine="1296"/>
        <w:spacing w:after="0" w:line="254" w:lineRule="auto"/>
        <w:rPr>
          <w:sz w:val="20"/>
          <w:szCs w:val="20"/>
          <w:color w:val="auto"/>
        </w:rPr>
      </w:pPr>
      <w:r>
        <w:rPr>
          <w:rFonts w:ascii="Arial" w:cs="Arial" w:eastAsia="Arial" w:hAnsi="Arial"/>
          <w:sz w:val="18"/>
          <w:szCs w:val="18"/>
          <w:color w:val="auto"/>
        </w:rPr>
        <w:t>All references in this Agreement to amendments or supplements to the Registration Statement, the Rule 462(b) Registration Statement, any Preliminary Prospectus, the Pricing Disclosure Package or the Prospectus shall be deemed to mean and include the filing of any document under the Securities Exchange Act of 1934, as amended, and the rules and regulations promulgated thereunder (collectively,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that is or is deemed to be incorporated by reference in the Registration Statement, the Rule 462(b) Registration Statement, any Preliminary</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the Pricing Disclosure Package, or the Prospectus, as the case may be. All references in this Agreement to the Registration Statement,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w:t>
      </w:r>
    </w:p>
    <w:p>
      <w:pPr>
        <w:spacing w:after="0" w:line="192" w:lineRule="exact"/>
        <w:rPr>
          <w:sz w:val="20"/>
          <w:szCs w:val="20"/>
          <w:color w:val="auto"/>
        </w:rPr>
      </w:pPr>
    </w:p>
    <w:p>
      <w:pPr>
        <w:jc w:val="both"/>
        <w:ind w:firstLine="1304"/>
        <w:spacing w:after="0" w:line="263" w:lineRule="auto"/>
        <w:tabs>
          <w:tab w:leader="none" w:pos="227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of the Underwriters as of the date hereof, the Applicable Time, the Closing Date (as hereinafter defined) and any Additional Closing Date (as hereinafter defined) that:</w:t>
      </w:r>
    </w:p>
    <w:p>
      <w:pPr>
        <w:spacing w:after="0" w:line="183" w:lineRule="exact"/>
        <w:rPr>
          <w:rFonts w:ascii="Arial" w:cs="Arial" w:eastAsia="Arial" w:hAnsi="Arial"/>
          <w:sz w:val="18"/>
          <w:szCs w:val="18"/>
          <w:color w:val="auto"/>
        </w:rPr>
      </w:pPr>
    </w:p>
    <w:p>
      <w:pPr>
        <w:jc w:val="both"/>
        <w:ind w:firstLine="1952"/>
        <w:spacing w:after="0" w:line="271" w:lineRule="auto"/>
        <w:tabs>
          <w:tab w:leader="none" w:pos="2894"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Registration Statement has been declared effective by the Commission under the Securities Act. The Company has complied, to the Commission’s satisfaction, with all requests of the Commission for additional or supplemental information, if any. No stop order suspending the effectiveness of either Registration Statement is in effect and no proceedings for such purpose have been instituted or are pending or, to the Company’s knowledge, are contemplated or threatened by the Commission. At the time the Registration Statement was originally filed with the Commission, the Company met the then-applicable requirements for use of Form S-3 under the Securities Act, including General Instruction I.B.1 of such Form S-3. The documents incorporated or deemed to be incorporated by reference in the Registration Statement, the Pricing Disclosure Package and the Prospectus, at the time they were or hereafter are filed with the Commission, or became effective under the Exchange Act, as the case may be, complied and will comply in all material respects with the requirements of the Exchange Act.</w:t>
      </w:r>
    </w:p>
    <w:p>
      <w:pPr>
        <w:spacing w:after="0" w:line="178" w:lineRule="exact"/>
        <w:rPr>
          <w:sz w:val="20"/>
          <w:szCs w:val="20"/>
          <w:color w:val="auto"/>
        </w:rPr>
      </w:pPr>
    </w:p>
    <w:p>
      <w:pPr>
        <w:ind w:right="100" w:firstLine="1944"/>
        <w:spacing w:after="0" w:line="277" w:lineRule="auto"/>
        <w:rPr>
          <w:sz w:val="20"/>
          <w:szCs w:val="20"/>
          <w:color w:val="auto"/>
        </w:rPr>
      </w:pPr>
      <w:r>
        <w:rPr>
          <w:rFonts w:ascii="Arial" w:cs="Arial" w:eastAsia="Arial" w:hAnsi="Arial"/>
          <w:sz w:val="18"/>
          <w:szCs w:val="18"/>
          <w:color w:val="auto"/>
        </w:rPr>
        <w:t>The Company is not an “ineligible issuer” (as such term is defined in Rule 405 under the Securities Act) as of the eligibility determination date for purposes of Rules 164 and 433 under the Securities Act with respect to the Offering of the Shares.</w:t>
      </w:r>
    </w:p>
    <w:p>
      <w:pPr>
        <w:spacing w:after="0" w:line="170" w:lineRule="exact"/>
        <w:rPr>
          <w:sz w:val="20"/>
          <w:szCs w:val="20"/>
          <w:color w:val="auto"/>
        </w:rPr>
      </w:pPr>
    </w:p>
    <w:p>
      <w:pPr>
        <w:jc w:val="both"/>
        <w:ind w:firstLine="1952"/>
        <w:spacing w:after="0" w:line="254" w:lineRule="auto"/>
        <w:tabs>
          <w:tab w:leader="none" w:pos="2963"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Registration Statement, any Rule 462(b) Registration Statement and any post-effective amendment thereto, as of the applicable Effective Date, complied and, until such time as the Underwriters are no longer required to deliver a Prospectus in order to confirm sales of the Shares, will comply in all material respects with the Securities Act and the rules and regulations of the Commission thereunder (the “</w:t>
      </w:r>
      <w:r>
        <w:rPr>
          <w:rFonts w:ascii="Arial" w:cs="Arial" w:eastAsia="Arial" w:hAnsi="Arial"/>
          <w:sz w:val="18"/>
          <w:szCs w:val="18"/>
          <w:b w:val="1"/>
          <w:bCs w:val="1"/>
          <w:color w:val="auto"/>
        </w:rPr>
        <w:t>Rules and Regulations</w:t>
      </w:r>
      <w:r>
        <w:rPr>
          <w:rFonts w:ascii="Arial" w:cs="Arial" w:eastAsia="Arial" w:hAnsi="Arial"/>
          <w:sz w:val="18"/>
          <w:szCs w:val="18"/>
          <w:color w:val="auto"/>
        </w:rPr>
        <w:t>”). The Preliminary Prospectus and the Prospectus, at the time each was filed with the Commission, complied in all material respects with the requirements of the Securities Act and the Rules and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 w:name="page7"/>
    <w:bookmarkEnd w:id="6"/>
    <w:p>
      <w:pPr>
        <w:jc w:val="both"/>
        <w:ind w:firstLine="1952"/>
        <w:spacing w:after="0" w:line="270" w:lineRule="auto"/>
        <w:tabs>
          <w:tab w:leader="none" w:pos="316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Registration Statement, when it became effective, did not contain and, as amended or supplemented, if applicable, will not contain, as of the date of such amendment or supplement, an untrue statement of a material fact or omitted or will omit to state a material fact required to be stated therein or necessary to make the statements therein not misleading; provided, however, that this representation and warranty shall not apply to any information contained in or omitted from the Registration Statement or any amendment thereto in reliance upon and in conformity with information furnished in writing to the Company by or on behalf of any Underwriter through the Representatives specifically for use therein. The parties hereto agree that such information provided by or on behalf of any Underwriter through the Representatives consists solely of the material referred to in Section 19 hereof. Each “forward-looking statement” (within the meaning of Section 27A of the Securities Act or Section 21E of the Exchange Act) contained or incorporated by reference in the Registration Statement, the Preliminary Prospectus or the Prospectus has been made or reaffirmed with a reasonable basis and has been disclosed in good faith.</w:t>
      </w:r>
    </w:p>
    <w:p>
      <w:pPr>
        <w:spacing w:after="0" w:line="180" w:lineRule="exact"/>
        <w:rPr>
          <w:rFonts w:ascii="Arial" w:cs="Arial" w:eastAsia="Arial" w:hAnsi="Arial"/>
          <w:sz w:val="17"/>
          <w:szCs w:val="17"/>
          <w:color w:val="auto"/>
        </w:rPr>
      </w:pPr>
    </w:p>
    <w:p>
      <w:pPr>
        <w:jc w:val="both"/>
        <w:ind w:firstLine="1952"/>
        <w:spacing w:after="0" w:line="269" w:lineRule="auto"/>
        <w:tabs>
          <w:tab w:leader="none" w:pos="28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Disclosure Package, as of the Applicable Time, did not contain an untrue statement of a material fact or omit to state a material fact necessary in order to make the statements therein, in the light of the circumstances under which they were made, not misleading. The Prospectus will not, as of its date, as of the Closing Date or as of any Additional Closing Date, contain an untrue statement of a material fact or omit to state a material fact necessary in order to make the statements therein, in the light of the circumstances under which they were made, not misleading. Each Issuer Free Writing Prospectus complies in all material respects with the applicable provisions of the Securities Act and the Rules and Regulations, and does not conflict with the information contained in the Registration Statement, the Pricing Disclosure Package or the Prospectus. No representation and warranty is made in this Section 1(d) with respect to any information contained in or omitted from the Pricing Disclosure Package, the Prospectus or any Issuer Free Writing Prospectus in reliance upon and in conformity with information furnished in writing to the Company by or on behalf of any Underwriter through the Representatives specifically for use therein. The parties hereto agree that such information provided by or on behalf of any Underwriter through the Representatives consists solely of the material referred to in Section 19 hereof.</w:t>
      </w:r>
    </w:p>
    <w:p>
      <w:pPr>
        <w:spacing w:after="0" w:line="185" w:lineRule="exact"/>
        <w:rPr>
          <w:rFonts w:ascii="Arial" w:cs="Arial" w:eastAsia="Arial" w:hAnsi="Arial"/>
          <w:sz w:val="17"/>
          <w:szCs w:val="17"/>
          <w:color w:val="auto"/>
        </w:rPr>
      </w:pPr>
    </w:p>
    <w:p>
      <w:pPr>
        <w:jc w:val="both"/>
        <w:ind w:firstLine="1952"/>
        <w:spacing w:after="0" w:line="270" w:lineRule="auto"/>
        <w:tabs>
          <w:tab w:leader="none" w:pos="2926"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Each Issuer Free Writing Prospectus conformed or will conform in all material respects to the requirements of the Securities Act and the Rules and Regulations on the date of first use, and the Company has complied with the requirements of Rule 433 under the Securities Act with respect to each Issuer Free Writing Prospectus including, without limitation, all prospectus delivery, filing, record retention and legending requirements applicable to any such Issuer Free Writing Prospectus. The Company has not (i) distributed any offering material in connection with the Offering other than any Preliminary Prospectus, the Prospectus, and any Issuer Free Writing Prospectus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or (ii) filed, referred to, approved, used or authorized the use of any “free writing prospectus” as defined in Rule 405 under the Securities Act with respect to the Offering or the Shares, except for any Issuer Free Writing Prospectus set forth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and any electronic road show previously approved by the Representatives. The Company has retained in accordance with the Securities Act and the Rules and Regulations all Issuer Free Writing Prospectuses that were not required to be filed pursuant to the Securities Act and the Rules and Regulations.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 w:name="page8"/>
    <w:bookmarkEnd w:id="7"/>
    <w:p>
      <w:pPr>
        <w:jc w:val="both"/>
        <w:ind w:firstLine="1952"/>
        <w:spacing w:after="0" w:line="273" w:lineRule="auto"/>
        <w:tabs>
          <w:tab w:leader="none" w:pos="2857" w:val="left"/>
        </w:tabs>
        <w:numPr>
          <w:ilvl w:val="0"/>
          <w:numId w:val="5"/>
        </w:numPr>
        <w:rPr>
          <w:rFonts w:ascii="Arial" w:cs="Arial" w:eastAsia="Arial" w:hAnsi="Arial"/>
          <w:sz w:val="17"/>
          <w:szCs w:val="17"/>
          <w:color w:val="auto"/>
        </w:rPr>
      </w:pPr>
      <w:r>
        <w:rPr>
          <w:rFonts w:ascii="Arial" w:cs="Arial" w:eastAsia="Arial" w:hAnsi="Arial"/>
          <w:sz w:val="17"/>
          <w:szCs w:val="17"/>
          <w:color w:val="auto"/>
        </w:rPr>
        <w:t>Ernst &amp; Young LLP, which has expressed its opinion with respect to the financial statements (which term as used in this Agreement includes the related notes thereto) filed with the Commission as a part of the Registration Statement, the Pricing Disclosure Package or the Prospectus, is (i) an independent registered public accounting firm as required by the Securities Act, the Exchange Act,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77" w:lineRule="exact"/>
        <w:rPr>
          <w:rFonts w:ascii="Arial" w:cs="Arial" w:eastAsia="Arial" w:hAnsi="Arial"/>
          <w:sz w:val="17"/>
          <w:szCs w:val="17"/>
          <w:color w:val="auto"/>
        </w:rPr>
      </w:pPr>
    </w:p>
    <w:p>
      <w:pPr>
        <w:jc w:val="both"/>
        <w:ind w:firstLine="1952"/>
        <w:spacing w:after="0" w:line="268" w:lineRule="auto"/>
        <w:tabs>
          <w:tab w:leader="none" w:pos="308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Subsequent to the respective dates as of which information is given in the Registration Statement, the Pricing Disclosure Package or the Prospectus, except as disclosed therein, (i) the Company has not declared or paid any dividends, or made any other distribution of any kind, on or in respect of its capital stock, (ii) there has not been any material change in the capital stock or long-term or short-term debt of the Company or any of its subsidiaries listed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(each, a “</w:t>
      </w:r>
      <w:r>
        <w:rPr>
          <w:rFonts w:ascii="Arial" w:cs="Arial" w:eastAsia="Arial" w:hAnsi="Arial"/>
          <w:sz w:val="17"/>
          <w:szCs w:val="17"/>
          <w:b w:val="1"/>
          <w:bCs w:val="1"/>
          <w:color w:val="auto"/>
        </w:rPr>
        <w:t>Subsidiary</w:t>
      </w:r>
      <w:r>
        <w:rPr>
          <w:rFonts w:ascii="Arial" w:cs="Arial" w:eastAsia="Arial" w:hAnsi="Arial"/>
          <w:sz w:val="17"/>
          <w:szCs w:val="17"/>
          <w:color w:val="auto"/>
        </w:rPr>
        <w:t>” and, collectively, the “</w:t>
      </w:r>
      <w:r>
        <w:rPr>
          <w:rFonts w:ascii="Arial" w:cs="Arial" w:eastAsia="Arial" w:hAnsi="Arial"/>
          <w:sz w:val="17"/>
          <w:szCs w:val="17"/>
          <w:b w:val="1"/>
          <w:bCs w:val="1"/>
          <w:color w:val="auto"/>
        </w:rPr>
        <w:t>Subsidiaries</w:t>
      </w:r>
      <w:r>
        <w:rPr>
          <w:rFonts w:ascii="Arial" w:cs="Arial" w:eastAsia="Arial" w:hAnsi="Arial"/>
          <w:sz w:val="17"/>
          <w:szCs w:val="17"/>
          <w:color w:val="auto"/>
        </w:rPr>
        <w:t>”), (iii) there have been no transactions entered into by the Company or any of its Subsidiaries, other than in the ordinary course of business, which are material with respect to the Company and its Subsidiaries, taken as a whole, (iv) neither the Company nor any Subsidiary has sustained any material loss or interference with its business or properties from fire, explosion, flood, earthquake, hurricane, accident or other calamity, whether or not covered by insurance, or from any labor dispute or any legal or governmental proceeding, and (v) there has not been any material adverse change in or affecting the business, management, condition (financial or otherwise), results of operations, stockholders’ equity, properties or prospects of the Company and the Subsidiaries, taken as a whole (a “</w:t>
      </w:r>
      <w:r>
        <w:rPr>
          <w:rFonts w:ascii="Arial" w:cs="Arial" w:eastAsia="Arial" w:hAnsi="Arial"/>
          <w:sz w:val="17"/>
          <w:szCs w:val="17"/>
          <w:b w:val="1"/>
          <w:bCs w:val="1"/>
          <w:color w:val="auto"/>
        </w:rPr>
        <w:t>Material Adverse Change</w:t>
      </w:r>
      <w:r>
        <w:rPr>
          <w:rFonts w:ascii="Arial" w:cs="Arial" w:eastAsia="Arial" w:hAnsi="Arial"/>
          <w:sz w:val="17"/>
          <w:szCs w:val="17"/>
          <w:color w:val="auto"/>
        </w:rPr>
        <w:t>”). Since the date of the latest balance sheet included, or incorporated by reference, in the Registration Statement, the Pricing Disclosure Package or the Prospectus, neither the Company nor any Subsidiary has incurred or undertaken any liabilities or obligations, whether direct or indirect, liquidated or contingent, matured or unmatured, or entered into any transactions, including any acquisition or disposition of any business or asset, which are material to the Company and the Subsidiaries, taken as a whole, except for liabilities, obligations and transactions which are disclosed in the Registration Statement, the Pricing Disclosure Package and the Prospectus.</w:t>
      </w:r>
    </w:p>
    <w:p>
      <w:pPr>
        <w:spacing w:after="0" w:line="184" w:lineRule="exact"/>
        <w:rPr>
          <w:rFonts w:ascii="Arial" w:cs="Arial" w:eastAsia="Arial" w:hAnsi="Arial"/>
          <w:sz w:val="17"/>
          <w:szCs w:val="17"/>
          <w:color w:val="auto"/>
        </w:rPr>
      </w:pPr>
    </w:p>
    <w:p>
      <w:pPr>
        <w:jc w:val="both"/>
        <w:ind w:firstLine="1952"/>
        <w:spacing w:after="0" w:line="289" w:lineRule="auto"/>
        <w:tabs>
          <w:tab w:leader="none" w:pos="282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Pricing Disclosure Package and the Prospectus, and all of the issued and outstanding shares of capital stock of the Company are fully paid and non-assessable and have been duly authorized and validly issued, in compliance with all applicable state, federal and foreign securities laws and not in violation of or subject to any preemptive or similar right that entitles any person to acquire from the Company or any Subsidiary any Common Stock or other security of the Company or any security convertible into, or exercisable or exchangeable for, Common Stock or any other such security of the Company (any “</w:t>
      </w:r>
      <w:r>
        <w:rPr>
          <w:rFonts w:ascii="Arial" w:cs="Arial" w:eastAsia="Arial" w:hAnsi="Arial"/>
          <w:sz w:val="16"/>
          <w:szCs w:val="16"/>
          <w:b w:val="1"/>
          <w:bCs w:val="1"/>
          <w:color w:val="auto"/>
        </w:rPr>
        <w:t>Relevant Security</w:t>
      </w:r>
      <w:r>
        <w:rPr>
          <w:rFonts w:ascii="Arial" w:cs="Arial" w:eastAsia="Arial" w:hAnsi="Arial"/>
          <w:sz w:val="16"/>
          <w:szCs w:val="16"/>
          <w:color w:val="auto"/>
        </w:rPr>
        <w:t>”), except for such rights as may have been fully satisfied or waived prior to the effectiveness of the Registration Statement. All of the issued shares of capital stock of or other ownership interests in each Subsidiary owned, directly or indirectly, by the Company have been duly authorized and validly issued and are fully paid and non-assessable and are owned directly or indirectly by the Company free and clear of any lien, charge, mortgage, pledge, security interest, claim, equity, trust or other encumbrance, preferential arrangement, defect or restriction of any kind whatsoever (any “</w:t>
      </w:r>
      <w:r>
        <w:rPr>
          <w:rFonts w:ascii="Arial" w:cs="Arial" w:eastAsia="Arial" w:hAnsi="Arial"/>
          <w:sz w:val="16"/>
          <w:szCs w:val="16"/>
          <w:b w:val="1"/>
          <w:bCs w:val="1"/>
          <w:color w:val="auto"/>
        </w:rPr>
        <w:t>Lien</w:t>
      </w:r>
      <w:r>
        <w:rPr>
          <w:rFonts w:ascii="Arial" w:cs="Arial" w:eastAsia="Arial" w:hAnsi="Arial"/>
          <w:sz w:val="16"/>
          <w:szCs w:val="16"/>
          <w:color w:val="auto"/>
        </w:rPr>
        <w: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 w:name="page9"/>
    <w:bookmarkEnd w:id="8"/>
    <w:p>
      <w:pPr>
        <w:jc w:val="both"/>
        <w:ind w:left="-20" w:firstLine="1952"/>
        <w:spacing w:after="0" w:line="289" w:lineRule="auto"/>
        <w:tabs>
          <w:tab w:leader="none" w:pos="288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Shares to be delivered on the Closing Date and any Additional Closing Date, if any, have been duly authorized and, when issued and delivered in accordance with this Agreement, will be validly issued, fully paid and non-assessable, will have been issued in compliance with all applicable state, federal and foreign securities laws and will not have been issued in violation of or subject to any preemptive or similar right that entitles any person to acquire any Relevant Security from the Company. The Common Stock and the Shares conform to the descriptions thereof contained in the Registration Statement, the Pricing Disclosure Package and the Prospectus. Except as disclosed in the Registration Statement, the Pricing Disclosure Package and the Prospectus, the Company has no outstanding warrants, options to purchase, or any preemptive rights or other rights to subscribe for or to purchase, or any contracts or commitments to issue or sell, any Relevant Security. No holder of any Relevant Security has any rights to require registration under the Securities Act of any Relevant Security in connection with the offer and sale of the Shares contemplated hereby, except for any such rights that have either been fully complied with by the Company or effectively waived by the holders thereof.</w:t>
      </w:r>
    </w:p>
    <w:p>
      <w:pPr>
        <w:spacing w:after="0" w:line="166" w:lineRule="exact"/>
        <w:rPr>
          <w:rFonts w:ascii="Arial" w:cs="Arial" w:eastAsia="Arial" w:hAnsi="Arial"/>
          <w:sz w:val="16"/>
          <w:szCs w:val="16"/>
          <w:color w:val="auto"/>
        </w:rPr>
      </w:pPr>
    </w:p>
    <w:p>
      <w:pPr>
        <w:jc w:val="both"/>
        <w:ind w:left="-20" w:firstLine="1952"/>
        <w:spacing w:after="0" w:line="268" w:lineRule="auto"/>
        <w:tabs>
          <w:tab w:leader="none" w:pos="308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and each Subsidiary has been duly organized and validly exists as a corporation, partnership or limited liability company (as the case may be) in good standing under the laws of its jurisdiction of organization (to the extent such good standing concept exists in such jurisdiction) and has corporate, partnership or limited liability company power and authority (as the case may be) to own or lease its property and conduct its business as described in the Registration Statement, the Pricing Disclosure Package and the Prospectus. The Company and each Subsidiary is qualified to do business and is in good standing as a foreign corporation, partnership or limited liability company (as the case may be) in each jurisdiction (to the extent such good standing concept exists in such jurisdiction) in which the character or location of its properties (owned, leased or licensed) or the nature or conduct of its business makes such qualification necessary, except for those failures to be so qualified or in good standing which (individually and in the aggregate) would not reasonably be expected to have a material adverse effect on (i) the business, management, condition (financial or otherwise), results of operations, stockholders’ equity, properties or prospects of the Company and the Subsidiaries, taken as a whole; or (ii) the ability of the Company to consummate the Offering or any other transaction contemplated by this Agreement or the Registration Statement, the Pricing Disclosure Package and the Prospectus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The certificate or articles of incorporation, by-laws, partnership agreement, limited liability company agreement or other constitutive and organizational documents (as the case may be) of the Company and each Subsidiary comply with the requirements of applicable law and are in full force and effect. The Subsidiaries are the only “subsidiaries” of the Company (within the meaning of Rule 405 under the Securities Act.)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06" w:right="339" w:bottom="1440" w:gutter="0" w:footer="0" w:header="0"/>
        </w:sectPr>
      </w:pPr>
    </w:p>
    <w:bookmarkStart w:id="9" w:name="page10"/>
    <w:bookmarkEnd w:id="9"/>
    <w:p>
      <w:pPr>
        <w:jc w:val="both"/>
        <w:ind w:firstLine="1952"/>
        <w:spacing w:after="0" w:line="271" w:lineRule="auto"/>
        <w:tabs>
          <w:tab w:leader="none" w:pos="3017" w:val="left"/>
        </w:tabs>
        <w:numPr>
          <w:ilvl w:val="0"/>
          <w:numId w:val="7"/>
        </w:numPr>
        <w:rPr>
          <w:rFonts w:ascii="Arial" w:cs="Arial" w:eastAsia="Arial" w:hAnsi="Arial"/>
          <w:sz w:val="17"/>
          <w:szCs w:val="17"/>
          <w:color w:val="auto"/>
        </w:rPr>
      </w:pPr>
      <w:r>
        <w:rPr>
          <w:rFonts w:ascii="Arial" w:cs="Arial" w:eastAsia="Arial" w:hAnsi="Arial"/>
          <w:sz w:val="17"/>
          <w:szCs w:val="17"/>
          <w:color w:val="auto"/>
        </w:rPr>
        <w:t>Neither the Company nor any Subsidiary (i) is in violation of its certificate or articles of incorporation, by-laws, certificate of formation, limited liability company agreement, partnership agreement or other organizational documents, (ii) is in default under, and no event has occurred which, with notice or lapse of time or both, would constitute a default under or result in the creation or imposition of any Lien upon any property or assets of the Company or any Subsidiary pursuant to, any indenture, mortgage, deed of trust, note, lease, loan agreement or other agreement or instrument to which it is a party or by which it is bound or to which any of its property or assets is subject, or (iii) is in violation of any statute, law, rule, regulation, ordinance, directive, judgment, writ, decree or order of any court or judicial, regulatory or other legal or governmental agency or body, foreign or domestic, having jurisdiction over the Company or any Subsidiary except (in the case clauses (ii) and (iii) above) for violations or defaults that would not (individually or in the aggregate) reasonably be expected to have a Material Adverse Effect.</w:t>
      </w:r>
    </w:p>
    <w:p>
      <w:pPr>
        <w:spacing w:after="0" w:line="178" w:lineRule="exact"/>
        <w:rPr>
          <w:rFonts w:ascii="Arial" w:cs="Arial" w:eastAsia="Arial" w:hAnsi="Arial"/>
          <w:sz w:val="17"/>
          <w:szCs w:val="17"/>
          <w:color w:val="auto"/>
        </w:rPr>
      </w:pPr>
    </w:p>
    <w:p>
      <w:pPr>
        <w:jc w:val="both"/>
        <w:ind w:firstLine="1952"/>
        <w:spacing w:after="0" w:line="291" w:lineRule="auto"/>
        <w:tabs>
          <w:tab w:leader="none" w:pos="3189"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of the Company and each Subsidiary has all requisite power and authority, and all necessary consents, approvals, authorizations, orders, registrations, qualifications, licenses, filings and permits of, with and from all judicial, regulatory and other legal or governmental agencies and bodies and all third parties, foreign and domestic (collectively, the “</w:t>
      </w:r>
      <w:r>
        <w:rPr>
          <w:rFonts w:ascii="Arial" w:cs="Arial" w:eastAsia="Arial" w:hAnsi="Arial"/>
          <w:sz w:val="16"/>
          <w:szCs w:val="16"/>
          <w:b w:val="1"/>
          <w:bCs w:val="1"/>
          <w:color w:val="auto"/>
        </w:rPr>
        <w:t>Consents</w:t>
      </w:r>
      <w:r>
        <w:rPr>
          <w:rFonts w:ascii="Arial" w:cs="Arial" w:eastAsia="Arial" w:hAnsi="Arial"/>
          <w:sz w:val="16"/>
          <w:szCs w:val="16"/>
          <w:color w:val="auto"/>
        </w:rPr>
        <w:t>”), to own, lease and operate its properties and conduct its business as it is now being conducted and as disclosed in the Registration Statement, the Pricing Disclosure Package and the Prospectus, and each such Consent is valid and in full force and effect, except in each case as would not reasonably be expected to have a Material Adverse Effect. Neither the Company nor any Subsidiary has received notice of any investigation or proceedings which, if decided adversely to the Company or any such Subsidiary, would reasonably be expected to result in the revocation of, or imposition of a materially burdensome restriction on, any such Consent.</w:t>
      </w:r>
    </w:p>
    <w:p>
      <w:pPr>
        <w:spacing w:after="0" w:line="166" w:lineRule="exact"/>
        <w:rPr>
          <w:rFonts w:ascii="Arial" w:cs="Arial" w:eastAsia="Arial" w:hAnsi="Arial"/>
          <w:sz w:val="16"/>
          <w:szCs w:val="16"/>
          <w:color w:val="auto"/>
        </w:rPr>
      </w:pPr>
    </w:p>
    <w:p>
      <w:pPr>
        <w:ind w:left="2800" w:hanging="848"/>
        <w:spacing w:after="0"/>
        <w:tabs>
          <w:tab w:leader="none" w:pos="2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w:t>
      </w:r>
    </w:p>
    <w:p>
      <w:pPr>
        <w:spacing w:after="0" w:line="225" w:lineRule="exact"/>
        <w:rPr>
          <w:rFonts w:ascii="Arial" w:cs="Arial" w:eastAsia="Arial" w:hAnsi="Arial"/>
          <w:sz w:val="18"/>
          <w:szCs w:val="18"/>
          <w:color w:val="auto"/>
        </w:rPr>
      </w:pPr>
    </w:p>
    <w:p>
      <w:pPr>
        <w:jc w:val="both"/>
        <w:ind w:firstLine="1952"/>
        <w:spacing w:after="0" w:line="287" w:lineRule="auto"/>
        <w:tabs>
          <w:tab w:leader="none" w:pos="295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issuance and sale of the Shares (including the use of proceeds from the sale of the Shares as described in the Registration Statement, the Pricing Disclosure Package and the Prospectus), the compliance by the Company with this Agreement and the consummation of the transactions contemplated hereby and by the Registration Statement, the Pricing Disclosure Package and the Prospectus do not and will not (i) conflict with or result in a breach or violation of any of the terms and provisions of, or constitute a default (or an event which with notice or lapse of time, or both, would constitute a default) under, or result in the creation or imposition of any Lien upon any property or assets of the Company or any Subsidiary pursuant to, any indenture, mortgage, deed of trust, note, lease, loan agreement or other agreement, instrument, franchise, license or permit to which the Company or any Subsidiary is a party or by which the Company or any Subsidiary or their respective properties, operations or assets may be bound, (ii) violate or conflict with any provision of the certificate or articles of incorporation, by-laws, certificate of formation, limited liability company agreement, partnership agreement or other organizational documents (as the case may be) of the Company or any Subsidiary, or (iii) violate or conflict with any statute, law, rule, regulation, ordinance, directive, judgment, writ, decree or order of any court or judicial, regulatory, administrative or other legal or governmental agency or body (including, without limitation, the United States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domestic or foreign, having jurisdiction over the Company or any Subsidiary, except (in the case of clauses (i) and (iii) above) as would not reasonably be expected to have a Material Adverse Effect.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0" w:name="page11"/>
    <w:bookmarkEnd w:id="10"/>
    <w:p>
      <w:pPr>
        <w:jc w:val="both"/>
        <w:ind w:firstLine="1952"/>
        <w:spacing w:after="0" w:line="255" w:lineRule="auto"/>
        <w:tabs>
          <w:tab w:leader="none" w:pos="2936"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Consent is required for the execution, delivery and performance by the Company of this Agreement, the issue and sale of the Shares (including the use of proceeds from the sale of the Shares as described in the Registration Statement, the Pricing Disclosure Package and the Prospectus) and the consummation by the Company of the transactions contemplated hereby and by the Registration Statement, the Pricing Disclosure Package and the Prospectus, except the registration under the Securities Act of the Shares, such Consents as may be required by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in regards to the listing of the Shares and under applicable state securities or blue sky laws and such other Consents as have been obtained.</w:t>
      </w:r>
    </w:p>
    <w:p>
      <w:pPr>
        <w:spacing w:after="0" w:line="192" w:lineRule="exact"/>
        <w:rPr>
          <w:rFonts w:ascii="Arial" w:cs="Arial" w:eastAsia="Arial" w:hAnsi="Arial"/>
          <w:sz w:val="18"/>
          <w:szCs w:val="18"/>
          <w:color w:val="auto"/>
        </w:rPr>
      </w:pPr>
    </w:p>
    <w:p>
      <w:pPr>
        <w:jc w:val="both"/>
        <w:ind w:firstLine="1952"/>
        <w:spacing w:after="0" w:line="255" w:lineRule="auto"/>
        <w:tabs>
          <w:tab w:leader="none" w:pos="289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is no judicial, regulatory, arbitral or other legal or governmental proceeding or other litigation or arbitration, domestic or foreign, pending to which the Company or any Subsidiary is a party or of which any property, operations or assets of the Company or any Subsidiary is the subject which, individually or in the aggregate, if determined adversely to the Company or any Subsidiary, would reasonably be expected to have a Material Adverse Effect; to the Company’s knowledge, no such proceeding, litigation or arbitration is threatened or contemplated; and the defense of all such proceedings, litigation and arbitration against or involving the Company or any Subsidiary would not reasonably be expected to have a Material Adverse Effect.</w:t>
      </w:r>
    </w:p>
    <w:p>
      <w:pPr>
        <w:spacing w:after="0" w:line="192" w:lineRule="exact"/>
        <w:rPr>
          <w:rFonts w:ascii="Arial" w:cs="Arial" w:eastAsia="Arial" w:hAnsi="Arial"/>
          <w:sz w:val="18"/>
          <w:szCs w:val="18"/>
          <w:color w:val="auto"/>
        </w:rPr>
      </w:pPr>
    </w:p>
    <w:p>
      <w:pPr>
        <w:jc w:val="both"/>
        <w:ind w:firstLine="1952"/>
        <w:spacing w:after="0" w:line="285" w:lineRule="auto"/>
        <w:tabs>
          <w:tab w:leader="none" w:pos="304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financial statements, including the notes thereto, and the supporting schedules included or incorporated by reference in the Registration Statement, the Pricing Disclosure Package and the Prospectus present fairly in all material respects the consolidated financial position as of the dates indicated and the cash flows and results of operations for the periods specified of the Company and its consolidated Subsidiaries; said financial statements have been prepared in conformity with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and the supporting schedules, if any, included in the Registration Statement, the Pricing Disclosure Package and the Prospectus present fairly in all material respects in accordance with GAAP the information required to be stated therein. No other historical or pro forma financial statements or supporting schedules are required to be included in the Registration Statement, the Pricing Disclosure Package or the Prospectus by the Securities Act, the Exchange Act or the Rules and Regulations. The other financial and statistical information included or incorporated by reference in the Registration Statement, the Pricing Disclosure Package and the Prospectus present fairly in all material respects the information included therein and have been prepared on a basis consistent with that of the financial statements that are included or incorporated by reference in the Registration Statement, the Pricing Disclosure Package and the Prospectus and the books and records of the respective entities presented therein. All disclosures contained in the Registration Statement, the Pricing Disclosure Package and the Prospectus, or incorporated by reference therein, regarding “non-GAAP financial measures” (as such term is defined by the rules and regulations of the Commission) comply with Regulation G of the Exchange Act and Item 10 of Regulation S-K of the Securities Act, to the extent applicable. The interactive data in eXtensible Business Reporting Language included or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1" w:name="page12"/>
    <w:bookmarkEnd w:id="11"/>
    <w:p>
      <w:pPr>
        <w:jc w:val="both"/>
        <w:ind w:firstLine="1952"/>
        <w:spacing w:after="0" w:line="263" w:lineRule="auto"/>
        <w:tabs>
          <w:tab w:leader="none" w:pos="3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statistical, industry-related and market-related data included in the Registration Statement, the Pricing Disclosure Package and the Prospectus are based on or derived from sources which the Company reasonably and in good faith believes are reliable and accurate, and such data agree with the sources from which they are derived.</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9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submitted a Listing of Additional Shares notification to Nasdaq. The Company has not received an oral or written notification from Nasdaq or any court or any other federal, state, local or foreign governmental or regulatory authority having jurisdiction over the Company or any of its Subsidiaries or any of their properties or assets (“</w:t>
      </w:r>
      <w:r>
        <w:rPr>
          <w:rFonts w:ascii="Arial" w:cs="Arial" w:eastAsia="Arial" w:hAnsi="Arial"/>
          <w:sz w:val="18"/>
          <w:szCs w:val="18"/>
          <w:b w:val="1"/>
          <w:bCs w:val="1"/>
          <w:color w:val="auto"/>
        </w:rPr>
        <w:t>Governmental Authority</w:t>
      </w:r>
      <w:r>
        <w:rPr>
          <w:rFonts w:ascii="Arial" w:cs="Arial" w:eastAsia="Arial" w:hAnsi="Arial"/>
          <w:sz w:val="18"/>
          <w:szCs w:val="18"/>
          <w:color w:val="auto"/>
        </w:rPr>
        <w:t>”) of any inquiry or investigation or other action that would cause the Shares to stop being quoted on Nasdaq.</w:t>
      </w:r>
    </w:p>
    <w:p>
      <w:pPr>
        <w:spacing w:after="0" w:line="186" w:lineRule="exact"/>
        <w:rPr>
          <w:rFonts w:ascii="Arial" w:cs="Arial" w:eastAsia="Arial" w:hAnsi="Arial"/>
          <w:sz w:val="18"/>
          <w:szCs w:val="18"/>
          <w:color w:val="auto"/>
        </w:rPr>
      </w:pPr>
    </w:p>
    <w:p>
      <w:pPr>
        <w:ind w:firstLine="1952"/>
        <w:spacing w:after="0" w:line="342" w:lineRule="auto"/>
        <w:tabs>
          <w:tab w:leader="none" w:pos="297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There are no contracts or documents which are required to be described in the Registration Statement, the Pricing Disclosure Package or the Prospectus or to be filed as exhibits to the Registration Statement which have not been so described and filed as required.</w:t>
      </w:r>
    </w:p>
    <w:p>
      <w:pPr>
        <w:spacing w:after="0" w:line="123" w:lineRule="exact"/>
        <w:rPr>
          <w:rFonts w:ascii="Arial" w:cs="Arial" w:eastAsia="Arial" w:hAnsi="Arial"/>
          <w:sz w:val="16"/>
          <w:szCs w:val="16"/>
          <w:color w:val="auto"/>
        </w:rPr>
      </w:pPr>
    </w:p>
    <w:p>
      <w:pPr>
        <w:jc w:val="both"/>
        <w:ind w:firstLine="1952"/>
        <w:spacing w:after="0" w:line="291" w:lineRule="auto"/>
        <w:tabs>
          <w:tab w:leader="none" w:pos="288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its Subsidiaries maintain a system of internal accounting and other controls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accounting for assets is compared with existing assets at reasonable intervals and appropriate action is taken with respect to any differences and (v) the interactive data in eXtensible Business Reporting Language included or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66" w:lineRule="exact"/>
        <w:rPr>
          <w:rFonts w:ascii="Arial" w:cs="Arial" w:eastAsia="Arial" w:hAnsi="Arial"/>
          <w:sz w:val="16"/>
          <w:szCs w:val="16"/>
          <w:color w:val="auto"/>
        </w:rPr>
      </w:pPr>
    </w:p>
    <w:p>
      <w:pPr>
        <w:jc w:val="both"/>
        <w:ind w:firstLine="1952"/>
        <w:spacing w:after="0" w:line="291" w:lineRule="auto"/>
        <w:tabs>
          <w:tab w:leader="none" w:pos="290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GAAP. The Company’s internal control over financial reporting is effective and the Company is not aware of any material weaknesses in its internal control over financial reporting. Since the date of the latest audited financial statements included or incorporated by reference in the Pricing Disclosure Package, there has been no change in the Company’s internal control over financial reporting that has materially affected, or is reasonably likely to materially affect, the Company’s internal control over financial reporting.</w:t>
      </w:r>
    </w:p>
    <w:p>
      <w:pPr>
        <w:spacing w:after="0" w:line="166" w:lineRule="exact"/>
        <w:rPr>
          <w:rFonts w:ascii="Arial" w:cs="Arial" w:eastAsia="Arial" w:hAnsi="Arial"/>
          <w:sz w:val="16"/>
          <w:szCs w:val="16"/>
          <w:color w:val="auto"/>
        </w:rPr>
      </w:pPr>
    </w:p>
    <w:p>
      <w:pPr>
        <w:jc w:val="both"/>
        <w:ind w:firstLine="1952"/>
        <w:spacing w:after="0" w:line="259" w:lineRule="auto"/>
        <w:tabs>
          <w:tab w:leader="none" w:pos="292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2" w:name="page13"/>
    <w:bookmarkEnd w:id="12"/>
    <w:p>
      <w:pPr>
        <w:jc w:val="both"/>
        <w:ind w:firstLine="1952"/>
        <w:spacing w:after="0" w:line="311" w:lineRule="auto"/>
        <w:tabs>
          <w:tab w:leader="none" w:pos="28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Arial" w:cs="Arial" w:eastAsia="Arial" w:hAnsi="Arial"/>
          <w:sz w:val="16"/>
          <w:szCs w:val="16"/>
          <w:b w:val="1"/>
          <w:bCs w:val="1"/>
          <w:color w:val="auto"/>
        </w:rPr>
        <w:t>Sarbanes-Oxley Act</w:t>
      </w:r>
      <w:r>
        <w:rPr>
          <w:rFonts w:ascii="Arial" w:cs="Arial" w:eastAsia="Arial" w:hAnsi="Arial"/>
          <w:sz w:val="16"/>
          <w:szCs w:val="16"/>
          <w:color w:val="auto"/>
        </w:rPr>
        <w:t>”), including Section 402 related to loans and Sections 302 and 906 related to certifications.</w:t>
      </w:r>
    </w:p>
    <w:p>
      <w:pPr>
        <w:spacing w:after="0" w:line="148" w:lineRule="exact"/>
        <w:rPr>
          <w:rFonts w:ascii="Arial" w:cs="Arial" w:eastAsia="Arial" w:hAnsi="Arial"/>
          <w:sz w:val="16"/>
          <w:szCs w:val="16"/>
          <w:color w:val="auto"/>
        </w:rPr>
      </w:pPr>
    </w:p>
    <w:p>
      <w:pPr>
        <w:jc w:val="both"/>
        <w:ind w:firstLine="1952"/>
        <w:spacing w:after="0" w:line="257" w:lineRule="auto"/>
        <w:tabs>
          <w:tab w:leader="none" w:pos="28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of Common Stock are registered pursuant to Section 12(b) or 12(g) of the Exchange Act and are listed on the Nasdaq Global Market, and the Company has taken no action designed to, or likely to have the effect of, terminating the registration of the shares of Common Stock under the Exchange Act or delisting the shares of Common Stock from the Nasdaq Global Market, nor has the Company received any notification that the Commission or Nasdaq is contemplating terminating such registration or listing. The Company is in compliance with all applicable listing requirements of Nasdaq.</w:t>
      </w:r>
    </w:p>
    <w:p>
      <w:pPr>
        <w:spacing w:after="0" w:line="187" w:lineRule="exact"/>
        <w:rPr>
          <w:rFonts w:ascii="Arial" w:cs="Arial" w:eastAsia="Arial" w:hAnsi="Arial"/>
          <w:sz w:val="18"/>
          <w:szCs w:val="18"/>
          <w:color w:val="auto"/>
        </w:rPr>
      </w:pPr>
    </w:p>
    <w:p>
      <w:pPr>
        <w:jc w:val="both"/>
        <w:ind w:firstLine="1952"/>
        <w:spacing w:after="0" w:line="254" w:lineRule="auto"/>
        <w:tabs>
          <w:tab w:leader="none" w:pos="29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Company’s knowledge, no relationship, direct or indirect, exists between or among any of the Company or any affiliate of the Company, on the one hand, and any director, officer, shareholder, customer or supplier of the Company or any affiliate of the Company, on the other hand, which is required by the Securities Act or the Exchange Act to be described in the Registration Statement or the Prospectus that is not so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The Company has not, in violation of the Sarbanes-Oxley Act, directly or indirectly, including through any affiliate of the Company, extended or maintained credit, arranged for the extension of credit, or renewed an extension of credit, in the form of a personal loan to or for any director or executive officer of the Company.</w:t>
      </w:r>
    </w:p>
    <w:p>
      <w:pPr>
        <w:spacing w:after="0" w:line="192" w:lineRule="exact"/>
        <w:rPr>
          <w:sz w:val="20"/>
          <w:szCs w:val="20"/>
          <w:color w:val="auto"/>
        </w:rPr>
      </w:pPr>
    </w:p>
    <w:p>
      <w:pPr>
        <w:jc w:val="both"/>
        <w:ind w:firstLine="1952"/>
        <w:spacing w:after="0" w:line="259" w:lineRule="auto"/>
        <w:tabs>
          <w:tab w:leader="none" w:pos="28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of its affiliates (within the meaning of Rule 144 under the Securities Act) has taken, directly or indirectly, any action which constitutes or is designed to cause or result in, or which would reasonably be expected to constitute, cause or result in, the stabilization or manipulation of the price of any security to facilitate the sale or resale of the Shares or to result in a violation of Regulation M under the Exchange Act.</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7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of its affiliates (within the meaning of Rule 144 under the Securities Act) has, prior to the date hereof, made any offer or sale of any securities which could be “integrated” (within the meaning of the Securities Act and the Rules and Regulations) with the offer and sale of the Shares pursuant to the Registration Statement.</w:t>
      </w:r>
    </w:p>
    <w:p>
      <w:pPr>
        <w:spacing w:after="0" w:line="183" w:lineRule="exact"/>
        <w:rPr>
          <w:rFonts w:ascii="Arial" w:cs="Arial" w:eastAsia="Arial" w:hAnsi="Arial"/>
          <w:sz w:val="18"/>
          <w:szCs w:val="18"/>
          <w:color w:val="auto"/>
        </w:rPr>
      </w:pPr>
    </w:p>
    <w:p>
      <w:pPr>
        <w:jc w:val="both"/>
        <w:ind w:firstLine="1952"/>
        <w:spacing w:after="0" w:line="293" w:lineRule="auto"/>
        <w:tabs>
          <w:tab w:leader="none" w:pos="283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of the information provided to the Underwriters or to counsel for the Underwriters by the Company, its officers and directors and to the Company’s knowledge the holders of any securities (debt or equity) or options to acquire any securities of the Company in connection with the offering of the Shares is true, complete and correct in all material respects and compliant with Financial Industry Regulatory Authority, Inc.’s (“</w:t>
      </w:r>
      <w:r>
        <w:rPr>
          <w:rFonts w:ascii="Arial" w:cs="Arial" w:eastAsia="Arial" w:hAnsi="Arial"/>
          <w:sz w:val="16"/>
          <w:szCs w:val="16"/>
          <w:b w:val="1"/>
          <w:bCs w:val="1"/>
          <w:color w:val="auto"/>
        </w:rPr>
        <w:t>FINRA</w:t>
      </w:r>
      <w:r>
        <w:rPr>
          <w:rFonts w:ascii="Arial" w:cs="Arial" w:eastAsia="Arial" w:hAnsi="Arial"/>
          <w:sz w:val="16"/>
          <w:szCs w:val="16"/>
          <w:color w:val="auto"/>
        </w:rPr>
        <w:t>”) rules and any letters, filings or other supplemental information provided to FINRA pursuant to FINRA Rules or NASD Conduct Rules is true, complete and correct in all material respects. In accordance with FINRA Conduct Rule 5110(b)(7)(C)(i), the Shares have been registered with the Commission on Form S-3 under the Securities Act pursuant to the standards for such Form S-3 in effect prior to October 21, 1992.</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3" w:name="page14"/>
    <w:bookmarkEnd w:id="13"/>
    <w:p>
      <w:pPr>
        <w:jc w:val="both"/>
        <w:ind w:firstLine="1952"/>
        <w:spacing w:after="0" w:line="296" w:lineRule="auto"/>
        <w:tabs>
          <w:tab w:leader="none" w:pos="279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statements set forth in the Pricing Disclosure Package and Prospectus under the caption “Description of Capital Stock We May Offer”, insofar as it purports to constitute a summary of the terms of the Common Stock, are accurate and complete in all material respects. The statements set forth in the Company’s Annual Report on Form 10-K for the year ended December 31, 2019 under the caption “Business—Product Approval and Government Regulation” and “Risk Factors” and as set forth in the Pricing Disclosure Package and the Prospectus under the caption “Risk Factors”, insofar as they purport to describe the provisions of the laws and documents referred to therein, are accurate and complete in all material respects.</w:t>
      </w:r>
    </w:p>
    <w:p>
      <w:pPr>
        <w:spacing w:after="0" w:line="161" w:lineRule="exact"/>
        <w:rPr>
          <w:rFonts w:ascii="Arial" w:cs="Arial" w:eastAsia="Arial" w:hAnsi="Arial"/>
          <w:sz w:val="16"/>
          <w:szCs w:val="16"/>
          <w:color w:val="auto"/>
        </w:rPr>
      </w:pPr>
    </w:p>
    <w:p>
      <w:pPr>
        <w:jc w:val="both"/>
        <w:ind w:firstLine="1952"/>
        <w:spacing w:after="0" w:line="259" w:lineRule="auto"/>
        <w:tabs>
          <w:tab w:leader="none" w:pos="28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not and, at all times up to and including consummation of the transactions contemplated by this Agreement, and after giving effect to application of the net proceeds of the Offering as described in the Pricing Disclosure Package and the Prospectus, will not be, required to register as an “investment company” under the Investment Company Act of 1940, as amended, and is not and will not be an entity “controlled” by an “investment company” within the meaning of such act.</w:t>
      </w:r>
    </w:p>
    <w:p>
      <w:pPr>
        <w:spacing w:after="0" w:line="186" w:lineRule="exact"/>
        <w:rPr>
          <w:rFonts w:ascii="Arial" w:cs="Arial" w:eastAsia="Arial" w:hAnsi="Arial"/>
          <w:sz w:val="18"/>
          <w:szCs w:val="18"/>
          <w:color w:val="auto"/>
        </w:rPr>
      </w:pPr>
    </w:p>
    <w:p>
      <w:pPr>
        <w:jc w:val="both"/>
        <w:ind w:firstLine="1952"/>
        <w:spacing w:after="0" w:line="296" w:lineRule="auto"/>
        <w:tabs>
          <w:tab w:leader="none" w:pos="30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Pricing Disclosure Package and the Prospectus, there are no contracts, agreements or understandings between the Company and any person that would give rise to a valid claim against the Company or any Underwriter for a brokerage commission, finder’s fee or other like payment in connection with the transactions contemplated by this Agreement or, to the Company’s knowledge, any arrangements, agreements, understandings, payments or issuance with respect to the Company or any of its officers, directors, shareholders, partners, employees, Subsidiaries or affiliates that may affect the Underwriters’ compensation as determined by FINRA Rule 5110.</w:t>
      </w:r>
    </w:p>
    <w:p>
      <w:pPr>
        <w:spacing w:after="0" w:line="161" w:lineRule="exact"/>
        <w:rPr>
          <w:rFonts w:ascii="Arial" w:cs="Arial" w:eastAsia="Arial" w:hAnsi="Arial"/>
          <w:sz w:val="16"/>
          <w:szCs w:val="16"/>
          <w:color w:val="auto"/>
        </w:rPr>
      </w:pPr>
    </w:p>
    <w:p>
      <w:pPr>
        <w:jc w:val="both"/>
        <w:ind w:firstLine="1952"/>
        <w:spacing w:after="0" w:line="288" w:lineRule="auto"/>
        <w:tabs>
          <w:tab w:leader="none" w:pos="28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each Subsidiary owns or leases all such properties as are necessary to the conduct of its business as presently operated and as proposed to be operated as described in the Registration Statement, the Pricing Disclosure Package and the Prospectus. The Company and the Subsidiaries have good and marketable title in fee simple to all real property and good and marketable title to all personal property owned by them, in each case free and clear of any and all Liens except such as are described in the Registration Statement, the Pricing Disclosure Package and the Prospectus or such as do not (individually or in the aggregate) materially affect the value of such property or materially interfere with the use made or proposed to be made of such property by the Company and the Subsidiaries; and any real property and buildings held under lease or sublease by the Company and the Subsidiaries are held by them under valid, subsisting and enforceable leases with such exceptions as are not material to, and do not materially interfere with, the use made and proposed to be made of such property and buildings by the Company and the Subsidiaries. Neither the Company nor any Subsidiary has received any notice of any claim adverse to its ownership of any real or personal property or of any claim against the continued possession of any real property, whether owned or held under lease or sublease by the Company or any Subsidiary.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4" w:name="page15"/>
    <w:bookmarkEnd w:id="14"/>
    <w:p>
      <w:pPr>
        <w:jc w:val="both"/>
        <w:ind w:firstLine="1952"/>
        <w:spacing w:after="0" w:line="283" w:lineRule="auto"/>
        <w:tabs>
          <w:tab w:leader="none" w:pos="2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each Subsidiary: (i) owns or possesses valid and adequate rights to use any and all patents and patent applications; trademarks, service marks, domain names, social media accounts and identifiers, trade names, brand names, trademark registrations, service mark registrations, and all goodwill arising from the foregoing; rights of publicity; copyrights, works of authorship, software, data, databases, systems, and technology; licenses, formulae, customer lists, know-how, trade secrets and other unpatented and/or unpatentable proprietary or confidential information, systems or procedures; and all other intellectual, industrial, or proprietary property or 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used in or necessary for the conduct of their respective businesses as presently conducted and as described as proposed to be conducted in the Registration Statement, the Pricing Disclosure Package and the Prospectus (collectively, the “</w:t>
      </w:r>
      <w:r>
        <w:rPr>
          <w:rFonts w:ascii="Arial" w:cs="Arial" w:eastAsia="Arial" w:hAnsi="Arial"/>
          <w:sz w:val="16"/>
          <w:szCs w:val="16"/>
          <w:b w:val="1"/>
          <w:bCs w:val="1"/>
          <w:color w:val="auto"/>
        </w:rPr>
        <w:t>Company Intellectual Property</w:t>
      </w:r>
      <w:r>
        <w:rPr>
          <w:rFonts w:ascii="Arial" w:cs="Arial" w:eastAsia="Arial" w:hAnsi="Arial"/>
          <w:sz w:val="16"/>
          <w:szCs w:val="16"/>
          <w:color w:val="auto"/>
        </w:rPr>
        <w:t>”), and none of the foregoing will be adversely affected by the consummation of the transactions contemplated hereby; and (ii) except as described in the Registration Statement, the Pricing Disclosure Package and the Prospectus, exclusively own free and clear of all Liens all right, title, and interest in and to all Intellectual Property described in the Pricing Disclosure Package and the Prospectus as being owned by them or that is otherwise purported to be owned by them (collectively, the “</w:t>
      </w:r>
      <w:r>
        <w:rPr>
          <w:rFonts w:ascii="Arial" w:cs="Arial" w:eastAsia="Arial" w:hAnsi="Arial"/>
          <w:sz w:val="16"/>
          <w:szCs w:val="16"/>
          <w:b w:val="1"/>
          <w:bCs w:val="1"/>
          <w:color w:val="auto"/>
        </w:rPr>
        <w:t>Owned Intellectual</w:t>
      </w:r>
      <w:r>
        <w:rPr>
          <w:rFonts w:ascii="Arial" w:cs="Arial" w:eastAsia="Arial" w:hAnsi="Arial"/>
          <w:sz w:val="16"/>
          <w:szCs w:val="16"/>
          <w:color w:val="auto"/>
        </w:rPr>
        <w:t xml:space="preserve"> </w:t>
      </w:r>
      <w:r>
        <w:rPr>
          <w:rFonts w:ascii="Arial" w:cs="Arial" w:eastAsia="Arial" w:hAnsi="Arial"/>
          <w:sz w:val="16"/>
          <w:szCs w:val="16"/>
          <w:b w:val="1"/>
          <w:bCs w:val="1"/>
          <w:color w:val="auto"/>
        </w:rPr>
        <w:t>Property</w:t>
      </w:r>
      <w:r>
        <w:rPr>
          <w:rFonts w:ascii="Arial" w:cs="Arial" w:eastAsia="Arial" w:hAnsi="Arial"/>
          <w:sz w:val="16"/>
          <w:szCs w:val="16"/>
          <w:color w:val="auto"/>
        </w:rPr>
        <w:t>”). All material registrations and applications for Owned Intellectual Property are subsisting, unexpired and have not been abandoned in any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jurisdiction. The Company and the Subsidiaries have not received any notice of any claim of infringement, misappropriation or violation of the Intellectual Property rights of others that would, individually or in the aggregate, reasonably be expected to have a Material Adverse Effect. The Company and Subsidiaries have taken reasonable measures consistent with industry standards to protect the confidentiality of their material trade secrets and confidential or proprietary information (including the source code for all material proprietary software). No such material trade secrets or information (including source code) has ever been disclosed or released to any third party (except pursuant to reasonable confidentiality obligations) and, to the Company’s knowledge, no event has occurred, and no circumstances or conditions exist (including the execution of this Agreement or the consummation of the transactions contemplated hereby) that (with or without notice or lapse of time, or both) will, or would reasonably be expected to, result in the disclosure or release thereof to a third party. To the Company’s knowledge, all such trade secrets and information (including source code) which has not been patented is and has been kept confidential. Except as disclosed in the Registration Statement, the Pricing Disclosure Package and the Prospectus, neither the Company nor any Subsidiary has granted, licensed or assigned to any other person or entity any right to manufacture, have manufactured, assemble, offer to sell, or sell the current products and services of the Company and its Subsidiaries or those products and services described in the Registration Statement, the Pricing Disclosure Package and the Prospectus. There is and has been no infringement, misappropriation, or other violation (i) by the Company or any Subsidiary (including by the operation of its respective business or its products or services) of any Intellectual Property rights of any third party or (ii) by third parties of any Owned Intellectual Property, except, in each case, as would not reasonably be expected to have a Material Adverse Effect. There is no pending or, to the Company’s knowledge, threatened action, suit, proceeding, or claim either (x) challenging (A) the Company’s or any Subsidiary’s rights in or to any Company Intellectual Property or (B) the validity, enforceability, scope, ownership, or use of any Owned Intellectual Property, or (y) alleging any infringement, misappropriation, or other violation by the Company or any Subsidiary of any patent, trademark, copyright, trade secret or other Intellectual Property right of any third party, and in each case of (x) and (y), the Company is unaware of any fact which would form a reasonable basis for any such claim. None of the Company’s or any Subsidiary’s material proprietary software contains, incorporates, includes or is linked to, derived from, embedded with or distributed with any “copyleft” or similar software in any manner that would require that any source code for such material proprietary software to be disclosed, licensed, or distributed to others.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5" w:name="page16"/>
    <w:bookmarkEnd w:id="15"/>
    <w:p>
      <w:pPr>
        <w:jc w:val="both"/>
        <w:ind w:firstLine="1952"/>
        <w:spacing w:after="0" w:line="287" w:lineRule="auto"/>
        <w:tabs>
          <w:tab w:leader="none" w:pos="29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and to the best of the Company’s knowledge, are free and clear of all material bugs, errors, defects, viruses, worms, Trojan horses, time bombs, malware or other similar flaws, harmful programs or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67" w:lineRule="exact"/>
        <w:rPr>
          <w:rFonts w:ascii="Arial" w:cs="Arial" w:eastAsia="Arial" w:hAnsi="Arial"/>
          <w:sz w:val="16"/>
          <w:szCs w:val="16"/>
          <w:color w:val="auto"/>
        </w:rPr>
      </w:pPr>
    </w:p>
    <w:p>
      <w:pPr>
        <w:jc w:val="both"/>
        <w:ind w:firstLine="1952"/>
        <w:spacing w:after="0" w:line="301" w:lineRule="auto"/>
        <w:tabs>
          <w:tab w:leader="none" w:pos="28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nor its Subsidiaries have been notified in writing, or have been required by applicable Law or a Governmental Authority to notify in writing, any person of any Personal Data or security-related incident. Neither the Company nor its Subsidiaries have received any notice of any claims, investigations, or alleged violations of Law with respect to Personal Data. To the best of the Company’s knowledge, no person has commenced any proceedings relating to the Company or its Subsidiaries’ information privacy or data security practices.</w:t>
      </w:r>
    </w:p>
    <w:p>
      <w:pPr>
        <w:spacing w:after="0" w:line="157" w:lineRule="exact"/>
        <w:rPr>
          <w:rFonts w:ascii="Arial" w:cs="Arial" w:eastAsia="Arial" w:hAnsi="Arial"/>
          <w:sz w:val="16"/>
          <w:szCs w:val="16"/>
          <w:color w:val="auto"/>
        </w:rPr>
      </w:pPr>
    </w:p>
    <w:p>
      <w:pPr>
        <w:jc w:val="both"/>
        <w:ind w:firstLine="1952"/>
        <w:spacing w:after="0" w:line="273" w:lineRule="auto"/>
        <w:tabs>
          <w:tab w:leader="none" w:pos="284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There has been no loss, damage, or unauthorized access, disclosure, use, or breach of security of any Company or Subsidiary information in their possession, custody, or control, or otherwise held or processed on their behalf that would reasonably be expected to have a Material Adverse Effect. The Company and its Subsidiaries have implemented, and required of their third party vendors, adequate policies and commercially reasonable security controls regarding the collection, use, disclosure, retention, confidentiality, integrity, and availability of personal and business sensitive information in their possession, custody, or control, or held or processed on their behalf, and regarding the integrity and availability of the information technology the Company and its Subsidiaries own, operate, or outsource.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6" w:name="page17"/>
    <w:bookmarkEnd w:id="16"/>
    <w:p>
      <w:pPr>
        <w:jc w:val="both"/>
        <w:ind w:firstLine="1952"/>
        <w:spacing w:after="0" w:line="272" w:lineRule="auto"/>
        <w:tabs>
          <w:tab w:leader="none" w:pos="29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and the Subsidiaries maintain insurance in such amounts and covering such risks as the Company reasonably considers adequate for the conduct of its business and the value of its properties and as is customary for companies engaged in similar businesses in similar industries, all of which insurance is in full force and effect, except where the failure to maintain such insurance would not reasonably be expected to have a Material Adverse Effect. There are no material claims by the Company or any Subsidiary under any such policy or instrument as to which any insurance company is denying liability or defending under a reservation of rights clause. The Company reasonably believes that it will be able to renew its existing insurance as and when such coverage expires or will be able to obtain replacement insurance adequate for the conduct of the business and the value of its properties at a cost that would not have a Material Adverse Effect.</w:t>
      </w:r>
    </w:p>
    <w:p>
      <w:pPr>
        <w:spacing w:after="0" w:line="177" w:lineRule="exact"/>
        <w:rPr>
          <w:rFonts w:ascii="Arial" w:cs="Arial" w:eastAsia="Arial" w:hAnsi="Arial"/>
          <w:sz w:val="17"/>
          <w:szCs w:val="17"/>
          <w:color w:val="auto"/>
        </w:rPr>
      </w:pPr>
    </w:p>
    <w:p>
      <w:pPr>
        <w:jc w:val="both"/>
        <w:ind w:firstLine="1952"/>
        <w:spacing w:after="0" w:line="287" w:lineRule="auto"/>
        <w:tabs>
          <w:tab w:leader="none" w:pos="27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a Material Adverse Effect, each of the Company and each Subsidiary has accurately prepared and timely filed all federal, state, foreign and other tax returns that are required to be filed by it or has been granted extensions thereof and has paid or made provision for the payment of all taxes, assessments, governmental or other similar charges, including without limitation, all sales and use taxes and all taxes which the Company or any Subsidiary is obligated to withhold from amounts owing to employees, creditors and third parties, with respect to the periods covered by such tax returns (whether or not such amounts are shown as due on any tax return). Except as would not reasonably be expected to result in a Material Adverse Effect, no deficiency assessment with respect to a proposed adjustment of the Company’s or any Subsidiary’ federal, state, local or foreign taxes is pending or, to the Company’s knowledge, threatened. The accruals and reserves on the books and records of the Company and the Subsidiaries in respect of tax liabilities for any taxable period not finally determined are adequate to meet any assessments and related liabilities for any such period and, since December 31, 2018, the Company and the Subsidiaries have not incurred any liability for taxes other than in the ordinary course of its business, except as would not reasonably be expected to result in a Material Adverse Effect. There is no tax lien, whether imposed by any federal, state, foreign or other taxing authority, outstanding against the assets, properties or business of the Company or any Subsidiary, other than any such tax lien arising automatically under applicable law with respect to taxes not yet due and payable or being contested in good faith.</w:t>
      </w:r>
    </w:p>
    <w:p>
      <w:pPr>
        <w:spacing w:after="0" w:line="167" w:lineRule="exact"/>
        <w:rPr>
          <w:rFonts w:ascii="Arial" w:cs="Arial" w:eastAsia="Arial" w:hAnsi="Arial"/>
          <w:sz w:val="16"/>
          <w:szCs w:val="16"/>
          <w:color w:val="auto"/>
        </w:rPr>
      </w:pPr>
    </w:p>
    <w:p>
      <w:pPr>
        <w:jc w:val="both"/>
        <w:ind w:firstLine="1952"/>
        <w:spacing w:after="0" w:line="259" w:lineRule="auto"/>
        <w:tabs>
          <w:tab w:leader="none" w:pos="27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labor disturbance by the employees of the Company or any Subsidiary exists or, to the Company’s knowledge, is imminent and the Company is not aware of any existing or imminent labor disturbances by the employees of any of its or any Subsidiary’s principal suppliers, manufacturers’, customers or contractors, which, in either case (individually or in the aggregate), would reasonably be expected to have a Material Adverse Effect.</w:t>
      </w:r>
    </w:p>
    <w:p>
      <w:pPr>
        <w:spacing w:after="0" w:line="186" w:lineRule="exact"/>
        <w:rPr>
          <w:rFonts w:ascii="Arial" w:cs="Arial" w:eastAsia="Arial" w:hAnsi="Arial"/>
          <w:sz w:val="18"/>
          <w:szCs w:val="18"/>
          <w:color w:val="auto"/>
        </w:rPr>
      </w:pPr>
    </w:p>
    <w:p>
      <w:pPr>
        <w:jc w:val="both"/>
        <w:ind w:firstLine="1952"/>
        <w:spacing w:after="0" w:line="268" w:lineRule="auto"/>
        <w:tabs>
          <w:tab w:leader="none" w:pos="280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Except as would not, individually or in the aggregate, reasonably be expected to have a Material Adverse Effect, each “employee benefit plan” (within the meaning of Section 3(3) of the Employee Retirement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would have any liability (each a “</w:t>
      </w:r>
      <w:r>
        <w:rPr>
          <w:rFonts w:ascii="Arial" w:cs="Arial" w:eastAsia="Arial" w:hAnsi="Arial"/>
          <w:sz w:val="17"/>
          <w:szCs w:val="17"/>
          <w:b w:val="1"/>
          <w:bCs w:val="1"/>
          <w:color w:val="auto"/>
        </w:rPr>
        <w:t>Plan</w:t>
      </w:r>
      <w:r>
        <w:rPr>
          <w:rFonts w:ascii="Arial" w:cs="Arial" w:eastAsia="Arial" w:hAnsi="Arial"/>
          <w:sz w:val="17"/>
          <w:szCs w:val="17"/>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7" w:name="page18"/>
    <w:bookmarkEnd w:id="17"/>
    <w:p>
      <w:pPr>
        <w:jc w:val="both"/>
        <w:ind w:firstLine="1952"/>
        <w:spacing w:after="0" w:line="285" w:lineRule="auto"/>
        <w:tabs>
          <w:tab w:leader="none" w:pos="30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has been no storage, generation, transportation, handling, use, treatment, disposal, discharge, emission, contamination, release or other activity involving any kind of hazardous, toxic or other wastes, pollutants, contaminants, petroleum products or other hazardous or toxic substances, chemicals or materials (“</w:t>
      </w:r>
      <w:r>
        <w:rPr>
          <w:rFonts w:ascii="Arial" w:cs="Arial" w:eastAsia="Arial" w:hAnsi="Arial"/>
          <w:sz w:val="16"/>
          <w:szCs w:val="16"/>
          <w:b w:val="1"/>
          <w:bCs w:val="1"/>
          <w:color w:val="auto"/>
        </w:rPr>
        <w:t>Hazardous Substances</w:t>
      </w:r>
      <w:r>
        <w:rPr>
          <w:rFonts w:ascii="Arial" w:cs="Arial" w:eastAsia="Arial" w:hAnsi="Arial"/>
          <w:sz w:val="16"/>
          <w:szCs w:val="16"/>
          <w:color w:val="auto"/>
        </w:rPr>
        <w:t>”) by, due to, on behalf of, or caused by the Company or any Subsidiary (or, to the Company’s knowledge, any other entity for whose acts or omissions the Company is or may be liable) upon any property now or previously owned, operated, used or leased by the Company or any Subsidiary, or upon any other property, which would be a violation of or give rise to any liability under any applicable law, rule, regulation, order, judgment, decree or permit, common law provision or other legally binding standard relating to pollution or protection of human health and the environment (“</w:t>
      </w:r>
      <w:r>
        <w:rPr>
          <w:rFonts w:ascii="Arial" w:cs="Arial" w:eastAsia="Arial" w:hAnsi="Arial"/>
          <w:sz w:val="16"/>
          <w:szCs w:val="16"/>
          <w:b w:val="1"/>
          <w:bCs w:val="1"/>
          <w:color w:val="auto"/>
        </w:rPr>
        <w:t>Environmental Law</w:t>
      </w:r>
      <w:r>
        <w:rPr>
          <w:rFonts w:ascii="Arial" w:cs="Arial" w:eastAsia="Arial" w:hAnsi="Arial"/>
          <w:sz w:val="16"/>
          <w:szCs w:val="16"/>
          <w:color w:val="auto"/>
        </w:rPr>
        <w:t>”), except for violations and liabilities which, individually or in the aggregate, would not reasonably be expected to have a Material Adverse Effect. There has been no disposal, discharge, emission contamination or other release of any kind at, onto or from any such property or into the environment surrounding any such property of any Hazardous Substances with respect to which the Company or any Subsidiary has knowledge, except as would not, individually or in the aggregate, reasonably be expected to have a Material Adverse Effect. Neither the Company nor any Subsidiary has agreed to assume, undertake or provide indemnification for any liability of any other person under any Environmental Law, including any obligation for cleanup or remedial action, except as would not, individually or in the aggregate, reasonably be expected to have a Material Adverse Effect. There is no pending or, to the Company’s knowledge, threatened administrative, regulatory or judicial action, claim or notice of noncompliance or violation, investigation or proceedings relating to any Environmental Law against the Company or any Subsidiary, except in each case which, individually or in the aggregate, would not reasonably be expected to have a Material Adverse Effect. No property of the Company or any Subsidiary is subject to any Lien under any Environmental Law. Neither the Company nor any Subsidiary is subject to any order, decree, agreement or other individualized legal requirement related to any Environmental Law.</w:t>
      </w:r>
    </w:p>
    <w:p>
      <w:pPr>
        <w:spacing w:after="0" w:line="173" w:lineRule="exact"/>
        <w:rPr>
          <w:rFonts w:ascii="Arial" w:cs="Arial" w:eastAsia="Arial" w:hAnsi="Arial"/>
          <w:sz w:val="16"/>
          <w:szCs w:val="16"/>
          <w:color w:val="auto"/>
        </w:rPr>
      </w:pPr>
    </w:p>
    <w:p>
      <w:pPr>
        <w:jc w:val="both"/>
        <w:ind w:firstLine="1952"/>
        <w:spacing w:after="0" w:line="284" w:lineRule="auto"/>
        <w:tabs>
          <w:tab w:leader="none" w:pos="2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and the Subsidiaries (i) are in compliance with all statutes, rules and regulations applicable to the testing, development, manufacture, packaging, processing, use, distribution, marketing, labeling, promotion, sale, offer for sale, storage, import, export or disposal of any product under development, manufactured or distributed by the Company or the Subsidiaries (“</w:t>
      </w:r>
      <w:r>
        <w:rPr>
          <w:rFonts w:ascii="Arial" w:cs="Arial" w:eastAsia="Arial" w:hAnsi="Arial"/>
          <w:sz w:val="16"/>
          <w:szCs w:val="16"/>
          <w:b w:val="1"/>
          <w:bCs w:val="1"/>
          <w:color w:val="auto"/>
        </w:rPr>
        <w:t>Applicable Laws</w:t>
      </w:r>
      <w:r>
        <w:rPr>
          <w:rFonts w:ascii="Arial" w:cs="Arial" w:eastAsia="Arial" w:hAnsi="Arial"/>
          <w:sz w:val="16"/>
          <w:szCs w:val="16"/>
          <w:color w:val="auto"/>
        </w:rPr>
        <w:t>”) except where such noncompliance would not reasonably be expected to have a Material Adverse Effect, (ii) have not received any Form 483 from the FDA, notice of adverse finding, warning letter, or other written correspondence or notice from the FDA, the European Medicines Agency (the “</w:t>
      </w:r>
      <w:r>
        <w:rPr>
          <w:rFonts w:ascii="Arial" w:cs="Arial" w:eastAsia="Arial" w:hAnsi="Arial"/>
          <w:sz w:val="16"/>
          <w:szCs w:val="16"/>
          <w:b w:val="1"/>
          <w:bCs w:val="1"/>
          <w:color w:val="auto"/>
        </w:rPr>
        <w:t>EMA</w:t>
      </w:r>
      <w:r>
        <w:rPr>
          <w:rFonts w:ascii="Arial" w:cs="Arial" w:eastAsia="Arial" w:hAnsi="Arial"/>
          <w:sz w:val="16"/>
          <w:szCs w:val="16"/>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such Applicable Laws (“</w:t>
      </w:r>
      <w:r>
        <w:rPr>
          <w:rFonts w:ascii="Arial" w:cs="Arial" w:eastAsia="Arial" w:hAnsi="Arial"/>
          <w:sz w:val="16"/>
          <w:szCs w:val="16"/>
          <w:b w:val="1"/>
          <w:bCs w:val="1"/>
          <w:color w:val="auto"/>
        </w:rPr>
        <w:t>Authorizations</w:t>
      </w:r>
      <w:r>
        <w:rPr>
          <w:rFonts w:ascii="Arial" w:cs="Arial" w:eastAsia="Arial" w:hAnsi="Arial"/>
          <w:sz w:val="16"/>
          <w:szCs w:val="16"/>
          <w:color w:val="auto"/>
        </w:rPr>
        <w:t>”), that would, individually or in the aggregate, result in a Material Adverse Effect; (iii) possess all Authorizations and such Authorizations are valid and in full force and effect and neither the Company nor the Subsidiaries is in violation of any term of any such Authorizations except where such nonpossession, failure or noncompliance would not reasonably be expected to have a Material Adverse Effect; (iv) have not received written notice of any claim, action, suit, proceeding, hearing, enforcement, investigation, arbitration or other action from the FDA, the EMA, or any other federal, state, local or foreign governmental or regulatory authority or third party alleging that any Company product, operation or activity is in violation of any Applicable Laws or Authorizations except where such noncompliance would not reasonably be expected to have a Material Adverse Effect, and has no knowledge that the FDA, the EMA, or any other federal, state, local or foreign governmental or regulatory authority or third party is considering any such claim, litigation, arbitration, action, suit, investigation or proceeding against the Company; (v) have not received written notice that the FDA, EMA, or any other federal, state, local or foreign governmental or regulatory authority has taken, is taking or intends to take action to limit, suspend, modify or revoke any Authorizations that would reasonably be expected to have a Material Adverse Effect and has no knowledge that the FDA, EMA, or any other federal, state, local or foreign governmental or regulatory authority is considering such action; and (vi) have filed, obtained, maintained or submitted all reports, documents, forms, notices, applications, records, claims, submissions and supplements or amendments as required by any Applicable Laws or Authorizations, except whether the failure to file, obtain, maintain or submit such reports, documents, forms, notices, applications, records, claims, submissions and supplements or amendments would not result in a Material Adverse Effect, and that all such reports, documents, forms, notices, applications, records, claims, submissions and supplements or amendments were complete and correct on the date filed (or were corrected or supplemented by a subsequent submission) except such incompletions and incorrections as would not reasonably be expected to result in a Material Adverse Effect.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8" w:name="page19"/>
    <w:bookmarkEnd w:id="18"/>
    <w:p>
      <w:pPr>
        <w:jc w:val="both"/>
        <w:ind w:firstLine="1952"/>
        <w:spacing w:after="0" w:line="283" w:lineRule="auto"/>
        <w:tabs>
          <w:tab w:leader="none" w:pos="309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Company’s and each of its Subsidiaries’ business practices have been structured in a manner reasonably designed to comply with the state, federal and foreign Health Care Laws applicable to the Company and its Subsidiaries respective businesses, and the Company and its Subsidiaries are in compliance with Health Care Laws, except where the failure to do so would not reasonably be expected to have a Material Adverse Effect. The Company and its Subsidiaries have not engaged in activities which to its knowledge are cause for false claims liability, civil penalties, or mandatory or permissive exclusion from Medicare, Medicaid, or any other state health care program or federal health care program. For purposes of this Agreement, “</w:t>
      </w:r>
      <w:r>
        <w:rPr>
          <w:rFonts w:ascii="Arial" w:cs="Arial" w:eastAsia="Arial" w:hAnsi="Arial"/>
          <w:sz w:val="16"/>
          <w:szCs w:val="16"/>
          <w:b w:val="1"/>
          <w:bCs w:val="1"/>
          <w:color w:val="auto"/>
        </w:rPr>
        <w:t>Health Care Laws</w:t>
      </w:r>
      <w:r>
        <w:rPr>
          <w:rFonts w:ascii="Arial" w:cs="Arial" w:eastAsia="Arial" w:hAnsi="Arial"/>
          <w:sz w:val="16"/>
          <w:szCs w:val="16"/>
          <w:color w:val="auto"/>
        </w:rPr>
        <w:t>” means the: (i) the Federal Food, Drug, and Cosmetic Act (21 U.S.C. § 301 et seq.) and the regulations promulgated thereunder; (ii) all applicable federal, state, local and all applicable foreign health care related fraud and abuse laws, including, without limitation, the U.S. Anti-Kickback Statute (42 U.S.C. Section 1320a-7b(b)), the U.S. civil False Claims Act (31 U.S.C. Section 3729 et seq.), the federal criminal false claims law (42 U.S.C. § 1320a-7b(a)), the federal civil monetary penalties law (42 U.S.C. § 1320a-7a), the Stark Law (42 U.S.C. §1395nn), 18 U.S.C. Sections 286 and 287,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Section 1320d et seq.), the exclusion laws (42 U.S.C. §1320a-7), the statutes and regulations government healthcare programs, including the European Union General Data Protection Regulation (EU 2016 679), Medicare, Title XVIII of the Social Security Act, and Medicaid, Title XIX of the Social Security Act, and the regulations promulgated pursuant to such statutes; (iii) the U.S. federal Prescription Drug Marketing Act of 1987, as amended, and the regulations promulgated thereunder; (iv) the U.S. Controlled Substances Act; (v) the Clinical Laboratory Improvement Act; and (vi) the Standards for Privacy of Individually Identifiable Health Information (the “</w:t>
      </w:r>
      <w:r>
        <w:rPr>
          <w:rFonts w:ascii="Arial" w:cs="Arial" w:eastAsia="Arial" w:hAnsi="Arial"/>
          <w:sz w:val="16"/>
          <w:szCs w:val="16"/>
          <w:b w:val="1"/>
          <w:bCs w:val="1"/>
          <w:color w:val="auto"/>
        </w:rPr>
        <w:t>Privacy Rule</w:t>
      </w:r>
      <w:r>
        <w:rPr>
          <w:rFonts w:ascii="Arial" w:cs="Arial" w:eastAsia="Arial" w:hAnsi="Arial"/>
          <w:sz w:val="16"/>
          <w:szCs w:val="16"/>
          <w:color w:val="auto"/>
        </w:rPr>
        <w:t>”),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Neither the Company nor its Subsidiaries have received written notice of any claim, action, suit, proceeding, hearing, enforcement, investigation, arbitration or other material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its Subsidiaries are a party to any corporate integrity agreements, monitoring agreements, consent decrees, plans of correction, settlement orders, or similar agreements with or imposed by any governmental or regulatory authority. Additionally, neither the Company, its Subsidiaries nor any of their respective employees, officers or directors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9" w:name="page20"/>
    <w:bookmarkEnd w:id="19"/>
    <w:p>
      <w:pPr>
        <w:jc w:val="both"/>
        <w:ind w:left="-20" w:firstLine="1952"/>
        <w:spacing w:after="0" w:line="269" w:lineRule="auto"/>
        <w:tabs>
          <w:tab w:leader="none" w:pos="281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animal and other preclinical studies and clinical trials currently being conducted by the Company or on behalf of the Company are, to the Company’s knowledge, being conducted in all material respects in compliance with all Applicable Laws and in accordance with experimental protocols, procedures and controls generally used by qualified experts in the preclinical study and clinical trials of new drugs and biologics as applied to comparable products to those being developed by the Company, and, except as set forth in the Registration Statement and the Prospectus, the Company has no knowledge of any other clinical trials or preclinical studies, the results of which reasonably call into question the clinical trial or preclinical study results described or referred to in the Registration Statement and the Prospectus when viewed in the context in which such results are described, except such results as would not reasonably be expected to result in a Material Adverse Effect; and the Company has not received any written notices or correspondence from the FDA, the EMA, or any other domestic or foreign governmental agency requiring the termination or suspension of any preclinical studies or clinical trials conducted by or on behalf of the Company that are described in the Registration Statement and the Prospectus or the results of which are referred to in the Registration Statement and the Prospectus.</w:t>
      </w:r>
    </w:p>
    <w:p>
      <w:pPr>
        <w:spacing w:after="0" w:line="185" w:lineRule="exact"/>
        <w:rPr>
          <w:rFonts w:ascii="Arial" w:cs="Arial" w:eastAsia="Arial" w:hAnsi="Arial"/>
          <w:sz w:val="17"/>
          <w:szCs w:val="17"/>
          <w:color w:val="auto"/>
        </w:rPr>
      </w:pPr>
    </w:p>
    <w:p>
      <w:pPr>
        <w:jc w:val="both"/>
        <w:ind w:left="-20" w:firstLine="1952"/>
        <w:spacing w:after="0" w:line="259" w:lineRule="auto"/>
        <w:tabs>
          <w:tab w:leader="none" w:pos="3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established and administers a compliance program applicable to the Company, to assist the Company and the directors, officers and employees of the Company in complying with applicable regulatory guidelines (including, without limitation, those administered by the FDA, the EMA, and any other foreign, federal, state or local governmental or regulatory authority performing functions similar to those performed by the FDA or EMA).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06" w:right="339" w:bottom="1440" w:gutter="0" w:footer="0" w:header="0"/>
        </w:sectPr>
      </w:pPr>
    </w:p>
    <w:bookmarkStart w:id="20" w:name="page21"/>
    <w:bookmarkEnd w:id="20"/>
    <w:p>
      <w:pPr>
        <w:jc w:val="both"/>
        <w:ind w:firstLine="1952"/>
        <w:spacing w:after="0" w:line="269" w:lineRule="auto"/>
        <w:tabs>
          <w:tab w:leader="none" w:pos="2905"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Company’s knowledge, any director, officer, agent, employee, affiliate or other person acting on behalf of the Company or any of its Subsidiaries, has (i) made any unlawful contribution, gift, entertainment or other unlawful expense relating to political activity; (ii) made any direct or indirect unlawful payment to any domestic governmental official, “foreign official” (as defined in the U.S. Foreign Corrupt Practices Act of 1977, as amended, and the rules and regulations thereunder (collectively, the “</w:t>
      </w:r>
      <w:r>
        <w:rPr>
          <w:rFonts w:ascii="Arial" w:cs="Arial" w:eastAsia="Arial" w:hAnsi="Arial"/>
          <w:sz w:val="17"/>
          <w:szCs w:val="17"/>
          <w:b w:val="1"/>
          <w:bCs w:val="1"/>
          <w:color w:val="auto"/>
        </w:rPr>
        <w:t>FCPA</w:t>
      </w:r>
      <w:r>
        <w:rPr>
          <w:rFonts w:ascii="Arial" w:cs="Arial" w:eastAsia="Arial" w:hAnsi="Arial"/>
          <w:sz w:val="17"/>
          <w:szCs w:val="17"/>
          <w:color w:val="auto"/>
        </w:rPr>
        <w:t>”)) or employee; (iii) violated or is in violation of any provision of the FCPA, UK Bribery Act, or any applicable non-U.S. anti-bribery statute or regulation or any locally applicable corruption laws; (iv) made any bribe, rebate, payoff, influence payment, kickback or other unlawful payment; or (v) received notice of any investigation, proceeding or inquiry by any governmental agency, authority or body regarding any of the matters in clauses (i)-(iv) above; and the Company and its Subsidiaries and, to the Company’s knowledge,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85" w:lineRule="exact"/>
        <w:rPr>
          <w:rFonts w:ascii="Arial" w:cs="Arial" w:eastAsia="Arial" w:hAnsi="Arial"/>
          <w:sz w:val="17"/>
          <w:szCs w:val="17"/>
          <w:color w:val="auto"/>
        </w:rPr>
      </w:pPr>
    </w:p>
    <w:p>
      <w:pPr>
        <w:jc w:val="both"/>
        <w:ind w:firstLine="1952"/>
        <w:spacing w:after="0" w:line="271" w:lineRule="auto"/>
        <w:tabs>
          <w:tab w:leader="none" w:pos="287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(Title III of Pub. L. 107-56 (signed into law October 26, 2001)) (the “</w:t>
      </w:r>
      <w:r>
        <w:rPr>
          <w:rFonts w:ascii="Arial" w:cs="Arial" w:eastAsia="Arial" w:hAnsi="Arial"/>
          <w:sz w:val="17"/>
          <w:szCs w:val="17"/>
          <w:b w:val="1"/>
          <w:bCs w:val="1"/>
          <w:color w:val="auto"/>
        </w:rPr>
        <w:t>USA Patriot Act</w:t>
      </w:r>
      <w:r>
        <w:rPr>
          <w:rFonts w:ascii="Arial" w:cs="Arial" w:eastAsia="Arial" w:hAnsi="Arial"/>
          <w:sz w:val="17"/>
          <w:szCs w:val="17"/>
          <w:color w:val="auto"/>
        </w:rPr>
        <w:t>”), and those of the Currency and Foreign Transactions Reporting Act of 1970, as amended, and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Company’s knowledge, threatened.</w:t>
      </w:r>
    </w:p>
    <w:p>
      <w:pPr>
        <w:spacing w:after="0" w:line="178" w:lineRule="exact"/>
        <w:rPr>
          <w:rFonts w:ascii="Arial" w:cs="Arial" w:eastAsia="Arial" w:hAnsi="Arial"/>
          <w:sz w:val="17"/>
          <w:szCs w:val="17"/>
          <w:color w:val="auto"/>
        </w:rPr>
      </w:pPr>
    </w:p>
    <w:p>
      <w:pPr>
        <w:jc w:val="both"/>
        <w:ind w:firstLine="1952"/>
        <w:spacing w:after="0" w:line="285" w:lineRule="auto"/>
        <w:tabs>
          <w:tab w:leader="none" w:pos="26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None of the Company, any of its Subsidiaries, any officer or director of either the Company or its Subsidiaries nor, to the best knowledge of the Company, any agent, employee, affiliate or other person acting on behalf of the Company or any of its Subsidiaries is or, in the past five years, has been (A) engaged in any services (including financial services), transfers of goods, software, or technology, or any other business activity related to (i) Cuba, Iran, North Korea, Sudan, Syria or the Crimea region of Ukraine claimed by Russia (“</w:t>
      </w:r>
      <w:r>
        <w:rPr>
          <w:rFonts w:ascii="Arial" w:cs="Arial" w:eastAsia="Arial" w:hAnsi="Arial"/>
          <w:sz w:val="16"/>
          <w:szCs w:val="16"/>
          <w:b w:val="1"/>
          <w:bCs w:val="1"/>
          <w:color w:val="auto"/>
        </w:rPr>
        <w:t>Sanctioned Countries</w:t>
      </w:r>
      <w:r>
        <w:rPr>
          <w:rFonts w:ascii="Arial" w:cs="Arial" w:eastAsia="Arial" w:hAnsi="Arial"/>
          <w:sz w:val="16"/>
          <w:szCs w:val="16"/>
          <w:color w:val="auto"/>
        </w:rPr>
        <w:t>”), (ii) the government of any Sanctioned Country, (iii) any person, entity or organization located in, resident in, formed under the laws of, or owned or controlled by the government of, any Sanctioned Country, or (iv) any person, entity or organization made subject or target of any sanctions administered or enforced by the United States Government (including the US Department of Treasury, Office of Foreign Assets Control and the US Department of State), including, without limitation, the list of Specially Designated Nationals (“</w:t>
      </w:r>
      <w:r>
        <w:rPr>
          <w:rFonts w:ascii="Arial" w:cs="Arial" w:eastAsia="Arial" w:hAnsi="Arial"/>
          <w:sz w:val="16"/>
          <w:szCs w:val="16"/>
          <w:b w:val="1"/>
          <w:bCs w:val="1"/>
          <w:color w:val="auto"/>
        </w:rPr>
        <w:t>SDN List</w:t>
      </w:r>
      <w:r>
        <w:rPr>
          <w:rFonts w:ascii="Arial" w:cs="Arial" w:eastAsia="Arial" w:hAnsi="Arial"/>
          <w:sz w:val="16"/>
          <w:szCs w:val="16"/>
          <w:color w:val="auto"/>
        </w:rPr>
        <w:t>”) of the Office of Foreign Assets Control of the U.S. Treasury Department (“</w:t>
      </w:r>
      <w:r>
        <w:rPr>
          <w:rFonts w:ascii="Arial" w:cs="Arial" w:eastAsia="Arial" w:hAnsi="Arial"/>
          <w:sz w:val="16"/>
          <w:szCs w:val="16"/>
          <w:b w:val="1"/>
          <w:bCs w:val="1"/>
          <w:color w:val="auto"/>
        </w:rPr>
        <w:t>OFAC</w:t>
      </w:r>
      <w:r>
        <w:rPr>
          <w:rFonts w:ascii="Arial" w:cs="Arial" w:eastAsia="Arial" w:hAnsi="Arial"/>
          <w:sz w:val="16"/>
          <w:szCs w:val="16"/>
          <w:color w:val="auto"/>
        </w:rPr>
        <w:t>”), or by the United Nations Security Council, the European Union, Her Majesty’s Treasury,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and the Company will not directly or indirectly use the proceeds of this offering, or lend, contribute or otherwise make available such proceeds to any of its subsidiaries,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 (B) engaged in any transfers of goods, technologies or services (including financial services) that may assist the governments of Sanctioned Countries or facilitate money laundering or other activities proscribed by United States laws, rules or regulations; (C) is a person, entity or organization currently the subject of any Sanctions; or (D) located, organized or resident in any Sanctioned Country.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1" w:name="page22"/>
    <w:bookmarkEnd w:id="21"/>
    <w:p>
      <w:pPr>
        <w:jc w:val="both"/>
        <w:ind w:firstLine="1952"/>
        <w:spacing w:after="0" w:line="257" w:lineRule="auto"/>
        <w:tabs>
          <w:tab w:leader="none" w:pos="2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(i) has not alone engaged in any Testing-the-Waters Communication, and (ii) has not authorized anyone to engage in Testing-the-Waters Communications. The Company has not distributed any Written Testing-the-Waters Communications. “Testing-the-Waters Communication” means any oral or written communication with potential investors undertaken in reliance on Section 5(d) of the Securities Act. ”Written Testing-the-Waters Communication” means any Testing-the-Waters Communication that is a written communication within the meaning of Rule 405 under the Securities Act.</w:t>
      </w:r>
    </w:p>
    <w:p>
      <w:pPr>
        <w:spacing w:after="0" w:line="187" w:lineRule="exact"/>
        <w:rPr>
          <w:rFonts w:ascii="Arial" w:cs="Arial" w:eastAsia="Arial" w:hAnsi="Arial"/>
          <w:sz w:val="18"/>
          <w:szCs w:val="18"/>
          <w:color w:val="auto"/>
        </w:rPr>
      </w:pPr>
    </w:p>
    <w:p>
      <w:pPr>
        <w:ind w:left="2820" w:hanging="868"/>
        <w:spacing w:after="0"/>
        <w:tabs>
          <w:tab w:leader="none" w:pos="28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Pricing Disclosure Package and the Prospectus, the Company</w:t>
      </w:r>
    </w:p>
    <w:p>
      <w:pPr>
        <w:spacing w:after="0" w:line="46" w:lineRule="exact"/>
        <w:rPr>
          <w:rFonts w:ascii="Arial" w:cs="Arial" w:eastAsia="Arial" w:hAnsi="Arial"/>
          <w:sz w:val="16"/>
          <w:szCs w:val="16"/>
          <w:color w:val="auto"/>
        </w:rPr>
      </w:pPr>
    </w:p>
    <w:p>
      <w:pPr>
        <w:ind w:firstLine="8"/>
        <w:spacing w:after="0" w:line="260" w:lineRule="auto"/>
        <w:tabs>
          <w:tab w:leader="none" w:pos="2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have any material lending or other relationship with any bank or lending affiliate of any Underwriter and (ii) does not intend to use any of the proceeds from the sale of the Shares to repay any outstanding debt owed to any affiliate of any Underwriter.</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certificate signed by or on behalf of the Company and delivered to the Representatives or to counsel for the Underwriters shall be deemed to be a representation and warranty by the Company to each Underwriter as to the matters covered thereby.</w:t>
      </w:r>
    </w:p>
    <w:p>
      <w:pPr>
        <w:spacing w:after="0" w:line="170" w:lineRule="exact"/>
        <w:rPr>
          <w:sz w:val="20"/>
          <w:szCs w:val="20"/>
          <w:color w:val="auto"/>
        </w:rPr>
      </w:pPr>
    </w:p>
    <w:p>
      <w:pPr>
        <w:ind w:left="2020" w:hanging="716"/>
        <w:spacing w:after="0"/>
        <w:tabs>
          <w:tab w:leader="none" w:pos="20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Purchase, Sale and Delivery of the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96" w:lineRule="auto"/>
        <w:tabs>
          <w:tab w:leader="none" w:pos="2845"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On the basis of the representations, warranties, covenants and agreements herein contained, and subject to the terms and conditions herein set forth, the Company agrees to sell to each Underwriter and each Underwriter, severally and not jointly, agrees to purchase from the Company, at a purchase price per share of $49.82, the number of Firm Shares set forth opposite their respective names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together with any additional number of Shares which such Underwriter may become obligated to purchase pursuant to the provisions of Section 10 hereof, subject, however, to such adjustments to eliminate fractional shares as the Representatives in their sole discretion shall make.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2" w:name="page23"/>
    <w:bookmarkEnd w:id="22"/>
    <w:p>
      <w:pPr>
        <w:jc w:val="both"/>
        <w:ind w:firstLine="1952"/>
        <w:spacing w:after="0" w:line="292" w:lineRule="auto"/>
        <w:tabs>
          <w:tab w:leader="none" w:pos="28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closing of the issuance of the Firm Shares shall be held at the office of Goodwin Procter LLP (“</w:t>
      </w:r>
      <w:r>
        <w:rPr>
          <w:rFonts w:ascii="Arial" w:cs="Arial" w:eastAsia="Arial" w:hAnsi="Arial"/>
          <w:sz w:val="16"/>
          <w:szCs w:val="16"/>
          <w:b w:val="1"/>
          <w:bCs w:val="1"/>
          <w:color w:val="auto"/>
        </w:rPr>
        <w:t>Underwriters’</w:t>
      </w:r>
      <w:r>
        <w:rPr>
          <w:rFonts w:ascii="Arial" w:cs="Arial" w:eastAsia="Arial" w:hAnsi="Arial"/>
          <w:sz w:val="16"/>
          <w:szCs w:val="16"/>
          <w:color w:val="auto"/>
        </w:rPr>
        <w:t xml:space="preserve"> </w:t>
      </w:r>
      <w:r>
        <w:rPr>
          <w:rFonts w:ascii="Arial" w:cs="Arial" w:eastAsia="Arial" w:hAnsi="Arial"/>
          <w:sz w:val="16"/>
          <w:szCs w:val="16"/>
          <w:b w:val="1"/>
          <w:bCs w:val="1"/>
          <w:color w:val="auto"/>
        </w:rPr>
        <w:t>Counsel</w:t>
      </w:r>
      <w:r>
        <w:rPr>
          <w:rFonts w:ascii="Arial" w:cs="Arial" w:eastAsia="Arial" w:hAnsi="Arial"/>
          <w:sz w:val="16"/>
          <w:szCs w:val="16"/>
          <w:color w:val="auto"/>
        </w:rPr>
        <w:t>”), or at such other place as shall be agreed upon by the Representatives and the Company, at 10:00 a.m. (New York City time), on July 31, 2020,</w:t>
      </w:r>
      <w:r>
        <w:rPr>
          <w:rFonts w:ascii="Arial" w:cs="Arial" w:eastAsia="Arial" w:hAnsi="Arial"/>
          <w:sz w:val="16"/>
          <w:szCs w:val="16"/>
          <w:b w:val="1"/>
          <w:bCs w:val="1"/>
          <w:color w:val="auto"/>
        </w:rPr>
        <w:t xml:space="preserve"> </w:t>
      </w:r>
      <w:r>
        <w:rPr>
          <w:rFonts w:ascii="Arial" w:cs="Arial" w:eastAsia="Arial" w:hAnsi="Arial"/>
          <w:sz w:val="16"/>
          <w:szCs w:val="16"/>
          <w:color w:val="auto"/>
        </w:rPr>
        <w:t>or such other time and date as the Representatives and the Company may agree upon in writing (such time and date of payment and delivery being herein called the “</w:t>
      </w:r>
      <w:r>
        <w:rPr>
          <w:rFonts w:ascii="Arial" w:cs="Arial" w:eastAsia="Arial" w:hAnsi="Arial"/>
          <w:sz w:val="16"/>
          <w:szCs w:val="16"/>
          <w:b w:val="1"/>
          <w:bCs w:val="1"/>
          <w:color w:val="auto"/>
        </w:rPr>
        <w:t>Closing Date</w:t>
      </w:r>
      <w:r>
        <w:rPr>
          <w:rFonts w:ascii="Arial" w:cs="Arial" w:eastAsia="Arial" w:hAnsi="Arial"/>
          <w:sz w:val="16"/>
          <w:szCs w:val="16"/>
          <w:color w:val="auto"/>
        </w:rPr>
        <w:t>”). Payment of the purchase price for the Firm Shares shall be made by wire transfer in same day funds to the accounts specified by the Company upon delivery of the Firm Shares to the Representatives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respective accounts of the several Underwriters. The Firm Shares shall be registered in such name or names and shall be in such denominations as the Representatives may request in writing not later than the business day immediately prior to the Closing Date.</w:t>
      </w:r>
    </w:p>
    <w:p>
      <w:pPr>
        <w:spacing w:after="0" w:line="165" w:lineRule="exact"/>
        <w:rPr>
          <w:rFonts w:ascii="Arial" w:cs="Arial" w:eastAsia="Arial" w:hAnsi="Arial"/>
          <w:sz w:val="16"/>
          <w:szCs w:val="16"/>
          <w:color w:val="auto"/>
        </w:rPr>
      </w:pPr>
    </w:p>
    <w:p>
      <w:pPr>
        <w:jc w:val="both"/>
        <w:ind w:firstLine="1952"/>
        <w:spacing w:after="0" w:line="268" w:lineRule="auto"/>
        <w:tabs>
          <w:tab w:leader="none" w:pos="2859"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addition, the Company hereby grants to the Underwriters the option to purchase up to 489,622 Additional Shares at the same purchase price per share to be paid by the Underwriters for the Firm Shares as set forth in Section 2(a) above. This option may be exercised at any time and from time to time, in whole or in part on one or more occasions, on or before the thirtieth day following the date of the Prospectus, by written notice from the Representatives to the Company. Such notice shall set forth the aggregate number of Additional Shares as to which the option is being exercised and the date and time, as reasonably determined by the Representatives, when the Additional Shares are to be delivered (any such date and time being herein sometimes referred to as an “</w:t>
      </w:r>
      <w:r>
        <w:rPr>
          <w:rFonts w:ascii="Arial" w:cs="Arial" w:eastAsia="Arial" w:hAnsi="Arial"/>
          <w:sz w:val="17"/>
          <w:szCs w:val="17"/>
          <w:b w:val="1"/>
          <w:bCs w:val="1"/>
          <w:color w:val="auto"/>
        </w:rPr>
        <w:t>Additional Closing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Additional Closing Date shall occur earlier than the Closing Date or earlier than the second full business day after the date on which the option shall have been exercised nor later than the eighth full business day after the date on which the option shall have been exercised. On the basis of the representations, warranties, covenants and agreements herein contained, but subject to the terms and conditions herein set forth, upon any exercise of the option as to all or any portion of the Additional Shares, each Underwriter, acting severally and not jointly, agrees to purchase from the Company the number of Additional Shares that bears the same proportion of the total number of Additional Shares then being purchased as the number of Firm Shares set forth opposite the name of such Underwriter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(or such number increased as set forth in Section 10 hereof) bears to the total number of Firm Shares that the Underwriters have agreed to purchase hereunder, subject, however, to such adjustments to eliminate fractional shares as the Representatives in their sole discretion shall make. In the event that the Underwriters exercise less than their full option to purchase Additional Shares, the number of Additional Shares to be sold by the Company shall be, as nearly as practicable, in the same proportion as the maximum number of Additional Shares to be sold by the Company and the number of Additional Shares to be sold.</w:t>
      </w:r>
    </w:p>
    <w:p>
      <w:pPr>
        <w:spacing w:after="0" w:line="179" w:lineRule="exact"/>
        <w:rPr>
          <w:rFonts w:ascii="Arial" w:cs="Arial" w:eastAsia="Arial" w:hAnsi="Arial"/>
          <w:sz w:val="17"/>
          <w:szCs w:val="17"/>
          <w:color w:val="auto"/>
        </w:rPr>
      </w:pPr>
    </w:p>
    <w:p>
      <w:pPr>
        <w:jc w:val="both"/>
        <w:ind w:firstLine="1952"/>
        <w:spacing w:after="0" w:line="293" w:lineRule="auto"/>
        <w:tabs>
          <w:tab w:leader="none" w:pos="28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closing of the issuance of the Additional Shares shall be held at the office of Underwriters’ Counsel, or at such other place as shall be agreed upon by the Representatives and the Company, at 10:00 a.m. (New York City time), on any Additional Closing Date, or such other time as shall be agreed upon by the Representatives and the Company. Payment of the purchase price for the Additional Shares shall be made by wire transfer in same day funds to the account specified by the Company upon delivery of the Additional Shares to the Representatives through the facilities of DTC for the respective accounts of the several Underwriters. The Additional Shares shall be registered in such name or names and shall be in such denominations as the Representatives may request in writing not later than the business day immediately prior to the Closing Date.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3" w:name="page24"/>
    <w:bookmarkEnd w:id="23"/>
    <w:p>
      <w:pPr>
        <w:ind w:firstLine="1304"/>
        <w:spacing w:after="0" w:line="277" w:lineRule="auto"/>
        <w:tabs>
          <w:tab w:leader="none" w:pos="213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Offering</w:t>
      </w:r>
      <w:r>
        <w:rPr>
          <w:rFonts w:ascii="Arial" w:cs="Arial" w:eastAsia="Arial" w:hAnsi="Arial"/>
          <w:sz w:val="18"/>
          <w:szCs w:val="18"/>
          <w:color w:val="auto"/>
        </w:rPr>
        <w:t>. Upon authorization of the release of the Firm Shares by the Representatives, the Underwriters propose to offer the Shares for sale to the public upon the terms and conditions set forth in the Prospectus.</w:t>
      </w:r>
    </w:p>
    <w:p>
      <w:pPr>
        <w:spacing w:after="0" w:line="170" w:lineRule="exact"/>
        <w:rPr>
          <w:rFonts w:ascii="Arial" w:cs="Arial" w:eastAsia="Arial" w:hAnsi="Arial"/>
          <w:sz w:val="18"/>
          <w:szCs w:val="18"/>
          <w:color w:val="auto"/>
        </w:rPr>
      </w:pPr>
    </w:p>
    <w:p>
      <w:pPr>
        <w:ind w:firstLine="1304"/>
        <w:spacing w:after="0" w:line="277" w:lineRule="auto"/>
        <w:tabs>
          <w:tab w:leader="none" w:pos="2043"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In addition to the other covenants and agreements of the Company contained herein, the Company further covenants and agrees with each of the Underwriters that:</w:t>
      </w:r>
    </w:p>
    <w:p>
      <w:pPr>
        <w:spacing w:after="0" w:line="170" w:lineRule="exact"/>
        <w:rPr>
          <w:rFonts w:ascii="Arial" w:cs="Arial" w:eastAsia="Arial" w:hAnsi="Arial"/>
          <w:sz w:val="18"/>
          <w:szCs w:val="18"/>
          <w:color w:val="auto"/>
        </w:rPr>
      </w:pPr>
    </w:p>
    <w:p>
      <w:pPr>
        <w:jc w:val="both"/>
        <w:ind w:firstLine="1952"/>
        <w:spacing w:after="0" w:line="285" w:lineRule="auto"/>
        <w:tabs>
          <w:tab w:leader="none" w:pos="3034" w:val="left"/>
        </w:tabs>
        <w:numPr>
          <w:ilvl w:val="2"/>
          <w:numId w:val="24"/>
        </w:numPr>
        <w:rPr>
          <w:rFonts w:ascii="Arial" w:cs="Arial" w:eastAsia="Arial" w:hAnsi="Arial"/>
          <w:sz w:val="16"/>
          <w:szCs w:val="16"/>
          <w:color w:val="auto"/>
        </w:rPr>
      </w:pPr>
      <w:r>
        <w:rPr>
          <w:rFonts w:ascii="Arial" w:cs="Arial" w:eastAsia="Arial" w:hAnsi="Arial"/>
          <w:sz w:val="16"/>
          <w:szCs w:val="16"/>
          <w:color w:val="auto"/>
        </w:rPr>
        <w:t>The Company shall prepare the Prospectus in a form approved by the Representatives and file such Prospectus pursuant to, and within the time period specified in, Rule 424(b) and Rule 430B under the Securities Act; prior to the last date on which an Additional Closing Date, if any, may occur, the Company shall file no further amendment to the Registration Statement or amendment or supplement to the Prospectus to which the Representatives shall object in writing after being furnished in advance a copy thereof and given a reasonable opportunity to review and comment thereon; the Company shall notify the Representatives promptly (and, if requested by any of the Representatives, confirm such notice in writing)</w:t>
      </w:r>
    </w:p>
    <w:p>
      <w:pPr>
        <w:spacing w:after="0" w:line="1" w:lineRule="exact"/>
        <w:rPr>
          <w:rFonts w:ascii="Arial" w:cs="Arial" w:eastAsia="Arial" w:hAnsi="Arial"/>
          <w:sz w:val="16"/>
          <w:szCs w:val="16"/>
          <w:color w:val="auto"/>
        </w:rPr>
      </w:pPr>
    </w:p>
    <w:p>
      <w:pPr>
        <w:jc w:val="both"/>
        <w:ind w:firstLine="8"/>
        <w:spacing w:after="0" w:line="281" w:lineRule="auto"/>
        <w:tabs>
          <w:tab w:leader="none" w:pos="24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when the Registration Statement and any amendments thereto become effective, (ii) of any request by the Commission for any amendment of or supplement to the Registration Statement or the Prospectus, including any document incorporated by reference therein or for any additional information,</w:t>
      </w:r>
    </w:p>
    <w:p>
      <w:pPr>
        <w:spacing w:after="0" w:line="1" w:lineRule="exact"/>
        <w:rPr>
          <w:rFonts w:ascii="Arial" w:cs="Arial" w:eastAsia="Arial" w:hAnsi="Arial"/>
          <w:sz w:val="16"/>
          <w:szCs w:val="16"/>
          <w:color w:val="auto"/>
        </w:rPr>
      </w:pPr>
    </w:p>
    <w:p>
      <w:pPr>
        <w:jc w:val="both"/>
        <w:ind w:firstLine="8"/>
        <w:spacing w:after="0" w:line="251"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the Company’s intention to file, or prepare any supplement or amendment to, the Registration Statement, any Preliminary Prospectus, the Prospectus or any Issuer Free Writing Prospectus, (iv) of the mailing or the delivery to the Commission for filing of any amendment of or supplement to the Registration Statement or the Prospectus, including but not limited to Rule 462(b) under the Securities Act, (v) of the issuance by the Commission of any stop order suspending the effectiveness of the Registration Statement or any post-effective amendment thereto, or suspending the use of any Preliminary Prospectus, the Prospectus or any Issuer Free Writing Prospectus or, in each case, of the initiation or threatening of any proceedings therefore, (vi) of the receipt of any comments from the Commission, and (vii) of the receipt by the Company of any notification with respect to the suspension of the qualification of the Shares for sale in any jurisdiction or the initiation or threatening of any proceeding for that purpose. If the Commission shall propose or enter a stop order at any time, the Company will make every reasonable effort to prevent the issuance of any such stop order and, if issued, to obtain the lifting of such order as soon as possible.</w:t>
      </w:r>
    </w:p>
    <w:p>
      <w:pPr>
        <w:spacing w:after="0" w:line="197" w:lineRule="exact"/>
        <w:rPr>
          <w:rFonts w:ascii="Arial" w:cs="Arial" w:eastAsia="Arial" w:hAnsi="Arial"/>
          <w:sz w:val="18"/>
          <w:szCs w:val="18"/>
          <w:color w:val="auto"/>
        </w:rPr>
      </w:pPr>
    </w:p>
    <w:p>
      <w:pPr>
        <w:jc w:val="both"/>
        <w:ind w:firstLine="1952"/>
        <w:spacing w:after="0" w:line="287" w:lineRule="auto"/>
        <w:tabs>
          <w:tab w:leader="none" w:pos="2828" w:val="left"/>
        </w:tabs>
        <w:numPr>
          <w:ilvl w:val="2"/>
          <w:numId w:val="26"/>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Shares (or, in lieu thereof, the notice referred to in Rule 173(a) under the Securities Act) is required to be delivered under the Securities Act, any event shall have occurred as a result of which the Pricing Disclosure Package (prior to the availability of the Prospectus) or the Prospectus as then amended or supplemented would, in the judgment of the Underwriters or the Company, include an untrue statement of a material fact or omit to state any material fact necessary in order to make the statements therein, in the light of the circumstances existing at the time of delivery of such Pricing Disclosure Package or Prospectus (or, in lieu thereof, the notice referred to in Rule 173(a) under the Securities Act) to the purchaser, not misleading, or if to comply with the Securities Act, the Exchange Act or the Rules and Regulations it shall be necessary at any time to amend or supplement the Pricing Disclosure Package, the Prospectus or the Registration Statement, or to file any document incorporated by reference in the Registration Statement or the Prospectus or in any amendment thereof or supplement thereto, the Company will notify the Representatives promptly and prepare and file with the Commission an appropriate amendment, supplement or document (in form and substance satisfactory to the Representatives) that will correct such statement or omission or effect such compliance, and will use its best efforts to have any amendment to the Registration Statement declared effective as soon as possible.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4" w:name="page25"/>
    <w:bookmarkEnd w:id="24"/>
    <w:p>
      <w:pPr>
        <w:jc w:val="both"/>
        <w:ind w:firstLine="1952"/>
        <w:spacing w:after="0" w:line="269" w:lineRule="auto"/>
        <w:tabs>
          <w:tab w:leader="none" w:pos="2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The Company will not, without the prior consent of the Representatives, (i) make any offer relating to the Shares that would constitute a “free writing prospectus” as defined in Rule 405 under the Securities Act, except for any Issuer Free Writing Prospectus set forth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and any electronic road show previously approved by the Representatives, or (ii) file, refer to, approve, use or authorize the use of any “free writing prospectus” as defined in Rule 405 under the Securities Act with respect to the Offering or the Shares. If at any time any event shall have occurred as a result of which any Issuer Free Writing Prospectus as then amended or supplemented would, in the judgment of the Underwriters or the Company, conflict with the information in the Registration Statement, the Pricing Disclosure Package or the Prospectus as then amended or supplemented or would, in the judgment of the Underwriters or the Company, include an untrue statement of a material fact or omit to state any material necessary in order to make the statements therein, in the light of the circumstances existing at the time of delivery to the purchaser, not misleading, or if to comply with the Securities Act or the Rules and Regulations it shall be necessary at any time to amend or supplement any Issuer Free Writing Prospectus, the Company will notify the Representatives promptly and, if requested by any of the Representatives, prepare and furnish without charge to each Underwriter an appropriate amendment or supplement (in form and substance satisfactory to the Representatives) that will correct such statement, omission or conflict or effect such compliance.</w:t>
      </w:r>
    </w:p>
    <w:p>
      <w:pPr>
        <w:spacing w:after="0" w:line="178" w:lineRule="exact"/>
        <w:rPr>
          <w:rFonts w:ascii="Arial" w:cs="Arial" w:eastAsia="Arial" w:hAnsi="Arial"/>
          <w:sz w:val="17"/>
          <w:szCs w:val="17"/>
          <w:color w:val="auto"/>
        </w:rPr>
      </w:pPr>
    </w:p>
    <w:p>
      <w:pPr>
        <w:jc w:val="both"/>
        <w:ind w:firstLine="1952"/>
        <w:spacing w:after="0" w:line="263" w:lineRule="auto"/>
        <w:tabs>
          <w:tab w:leader="none" w:pos="29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433 with respect to each Issuer Free Writing Prospectus including, without limitation, all prospectus delivery, filing, record retention and legending requirements applicable to each such Issuer Free Writing Prospectus.</w:t>
      </w:r>
    </w:p>
    <w:p>
      <w:pPr>
        <w:spacing w:after="0" w:line="183" w:lineRule="exact"/>
        <w:rPr>
          <w:rFonts w:ascii="Arial" w:cs="Arial" w:eastAsia="Arial" w:hAnsi="Arial"/>
          <w:sz w:val="18"/>
          <w:szCs w:val="18"/>
          <w:color w:val="auto"/>
        </w:rPr>
      </w:pPr>
    </w:p>
    <w:p>
      <w:pPr>
        <w:jc w:val="both"/>
        <w:ind w:firstLine="1952"/>
        <w:spacing w:after="0" w:line="271" w:lineRule="auto"/>
        <w:tabs>
          <w:tab w:leader="none" w:pos="28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At the request of any of the Representatives, the Company will promptly deliver to each of the Representatives and Underwriters’ Counsel a signed copy of the Registration Statement, as initially filed and all amendments thereto, including all consents and exhibits filed therewith. At the request of any of the Representatives, the Company will promptly deliver to each of the Underwriters such number of copies of any Preliminary Prospectus, the Prospectus, the Registration Statement, all amendments of and supplements to such documents, if any, and all documents incorporated by reference in the Registration Statement and Prospectus or any amendment thereof or supplement thereto, as any of the Representatives may reasonably request. Prior to 3:00 p.m. (New York City time), on the business day next succeeding the date of this Agreement and from time to time thereafter, at the request of any of the Representatives, the Company will furnish the Underwriters with copies of the Prospectus in New York City in such quantities as the Representatives may reasonably request.</w:t>
      </w:r>
    </w:p>
    <w:p>
      <w:pPr>
        <w:spacing w:after="0" w:line="178" w:lineRule="exact"/>
        <w:rPr>
          <w:rFonts w:ascii="Arial" w:cs="Arial" w:eastAsia="Arial" w:hAnsi="Arial"/>
          <w:sz w:val="17"/>
          <w:szCs w:val="17"/>
          <w:color w:val="auto"/>
        </w:rPr>
      </w:pPr>
    </w:p>
    <w:p>
      <w:pPr>
        <w:jc w:val="both"/>
        <w:ind w:firstLine="1952"/>
        <w:spacing w:after="0" w:line="257" w:lineRule="auto"/>
        <w:tabs>
          <w:tab w:leader="none" w:pos="289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will use its reasonable best efforts, in cooperation with the Representatives, to qualify the Shares for offering and sale under the securities laws relating to the offering or sale of the Shares of such jurisdictions, domestic or foreign, as any of the Representative may reasonably request, and to maintain such qualification in effect for so long as required for the distribution thereof; except that in no event shall the Company be obligated in connection therewith (i) to qualify as a foreign corporation, (ii) to execute a general consent to service of process or (iii) subject itself to taxation in any jurisdiction where it is not otherwise so subject.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5" w:name="page26"/>
    <w:bookmarkEnd w:id="25"/>
    <w:p>
      <w:pPr>
        <w:jc w:val="both"/>
        <w:ind w:firstLine="1952"/>
        <w:spacing w:after="0" w:line="259" w:lineRule="auto"/>
        <w:tabs>
          <w:tab w:leader="none" w:pos="28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make generally available to its security holders and to the Representatives as soon as practicable an earnings statement of the Company and the Subsidiaries (which need not be audited) covering a period of at least twelve months beginning with the first fiscal quarter of the Company commencing after the date of this Agreement that will satisfy the provisions of Section 11(a) of the Securities Act and the Rules and Regulations (including, at the option of the Company, Rule 158).</w:t>
      </w:r>
    </w:p>
    <w:p>
      <w:pPr>
        <w:spacing w:after="0" w:line="182" w:lineRule="exact"/>
        <w:rPr>
          <w:rFonts w:ascii="Arial" w:cs="Arial" w:eastAsia="Arial" w:hAnsi="Arial"/>
          <w:sz w:val="18"/>
          <w:szCs w:val="18"/>
          <w:color w:val="auto"/>
        </w:rPr>
      </w:pPr>
    </w:p>
    <w:p>
      <w:pPr>
        <w:jc w:val="both"/>
        <w:ind w:firstLine="1952"/>
        <w:spacing w:after="0" w:line="284" w:lineRule="auto"/>
        <w:tabs>
          <w:tab w:leader="none" w:pos="3022"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period of 90 days from the date of the Prospectus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without the prior written consent of Citigroup and Guggenheim, the Company (i) will not, directly or indirectly, issue, offer, sell, agree to issue, offer or sell, solicit offers to purchase, grant any call option, warrant or other right to purchase, purchase any put option or other right to sell, pledge, borrow or otherwise dispose of any shares of Common Stock or any securities convertible into or exercisable or exchangeable for Common Stock, or make any public announcement of any of the foregoing, (ii) will not establish or increase any “put equivalent position” or liquidate or decrease any “call equivalent position” (in each case within the meaning of Section 16 of the Exchange Act and the rules and regulations thereunder) with respect to any shares of Common Stock or any securities convertible into or exercisable or exchangeable for Common Stock, and (iii) will not otherwise enter into any swap, derivative or other transaction or arrangement that transfers to another, in whole or in part, any economic consequence of ownership of any shares of Common Stock or any securities convertible into or exercisable or exchangeable for Common Stock, whether or not such transaction is to be settled by delivery of any shares of Common Stock, securities convertible into or exercisable or exchangeable for Common Stock, other securities, cash or other consideration, other than (A) the Shares to be sold hereunder, (B) upon the exercise of an option or warrant, the vesting of restricted stock units, performance stock units or deferred stock units or the conversion or exchange of a security outstanding on the date hereof as referred to in the Registration Statement, the Pricing Disclosure Package and the Prospectus, (C) pursuant to the stock-based compensation plans of the Company and the Subsidiaries as referred to in the Registration Statement (including the Company’s 2020 Employee Stock Purchase Plan), the Pricing Disclosure Package and the Prospectus, (D) pursuant to an inducement award permitted to be issued without shareholder approval by Nasdaq rules, and (E) shares of Common Stock or other securities issued to a third party in connection with a bona fide commercial relationship (including joint ventures, marketing or distribution arrangements, collaboration agreements or intellectual property license agreements) or any bona fide acquisition of assets of not less than a majority or controlling portion of the equity of another entity, provided that (x) any such issuance is not primarily for the purpose of raising capital; (y) the aggregate number of shares of Common Stock that the Company may sell or issue or agree to sell or issue shall not exceed 5% of the total number of shares of Common Stock issued and outstanding as of the date of this Agreement and (z) each recipient of shares of Common Stock or securities convertible into or exercisable for Common Stock shall execute a lock-up agreement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The Company has obtained an undertaking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of each of its executive officers, directors and stockholders listed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IV</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not to engage in any of the aforementioned</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on their own behalf. The Company will not file a registration statement under the Securities Act in connection with any transaction by the Company or any person that is prohibited pursuant to the foregoing, except for registration statements on Form S-8 or any successor form thereto relating to stock based compensation and employee benefit plans.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6" w:name="page27"/>
    <w:bookmarkEnd w:id="26"/>
    <w:p>
      <w:pPr>
        <w:jc w:val="both"/>
        <w:ind w:firstLine="1952"/>
        <w:spacing w:after="0" w:line="273" w:lineRule="auto"/>
        <w:tabs>
          <w:tab w:leader="none" w:pos="3094" w:val="left"/>
        </w:tabs>
        <w:numPr>
          <w:ilvl w:val="0"/>
          <w:numId w:val="29"/>
        </w:numPr>
        <w:rPr>
          <w:rFonts w:ascii="Arial" w:cs="Arial" w:eastAsia="Arial" w:hAnsi="Arial"/>
          <w:sz w:val="17"/>
          <w:szCs w:val="17"/>
          <w:color w:val="auto"/>
        </w:rPr>
      </w:pPr>
      <w:r>
        <w:rPr>
          <w:rFonts w:ascii="Arial" w:cs="Arial" w:eastAsia="Arial" w:hAnsi="Arial"/>
          <w:sz w:val="17"/>
          <w:szCs w:val="17"/>
          <w:color w:val="auto"/>
        </w:rPr>
        <w:t>During the period of two years from the latest Effective Date of the Registration Statement, the Company will furnish to the Representatives copies of all reports or other communications (financial or other) furnished to security holders or from time to time published or publicly disseminated by the Company, and will deliver to the Representatives as soon as they are available, copies of any reports, financial statements and proxy or information statements furnished to or filed with the Commission or any national securities exchange on which any class of securities of the Company is listed; provided, that the Company will be deemed to have furnished such reports, other communications, financial statements and proxy or information statements to the Representatives to the extent they are filed on EDGAR.</w:t>
      </w:r>
    </w:p>
    <w:p>
      <w:pPr>
        <w:spacing w:after="0" w:line="177" w:lineRule="exact"/>
        <w:rPr>
          <w:rFonts w:ascii="Arial" w:cs="Arial" w:eastAsia="Arial" w:hAnsi="Arial"/>
          <w:sz w:val="17"/>
          <w:szCs w:val="17"/>
          <w:color w:val="auto"/>
        </w:rPr>
      </w:pPr>
    </w:p>
    <w:p>
      <w:pPr>
        <w:jc w:val="both"/>
        <w:ind w:firstLine="1952"/>
        <w:spacing w:after="0" w:line="286" w:lineRule="auto"/>
        <w:tabs>
          <w:tab w:leader="none" w:pos="293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will use its best efforts to list the Shares on the Nasdaq Global Market and to maintain the listing of the Common Stock (including the Shares) on the Nasdaq Global Market (or another Nasdaq market) following the issuance of the Shares pursuant to this Agreement provided; however that this covenant shall not prevent a sale, merger or similar transaction involving the Company.</w:t>
      </w:r>
    </w:p>
    <w:p>
      <w:pPr>
        <w:spacing w:after="0" w:line="165" w:lineRule="exact"/>
        <w:rPr>
          <w:rFonts w:ascii="Arial" w:cs="Arial" w:eastAsia="Arial" w:hAnsi="Arial"/>
          <w:sz w:val="17"/>
          <w:szCs w:val="17"/>
          <w:color w:val="auto"/>
        </w:rPr>
      </w:pPr>
    </w:p>
    <w:p>
      <w:pPr>
        <w:ind w:right="20" w:firstLine="1952"/>
        <w:spacing w:after="0" w:line="277" w:lineRule="auto"/>
        <w:tabs>
          <w:tab w:leader="none" w:pos="31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will apply the net proceeds from the sale of the Shares as set forth under the caption “Use of Proceeds” in the Pricing Disclosure Package and the Prospectus.</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9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during the period when a prospectus (or, in lieu thereof, the notice referred to in Rule 173(a) under the Securities Act) is required to be delivered under the Securities Act in connection with the offer or sale of the Shares, will file all reports and other documents required to be filed by the Company with the Commission pursuant to Section 13(a), 13(c), 14 or 15(d) of the Exchange Act and the Rules and Regulations within the time periods required thereby.</w:t>
      </w:r>
    </w:p>
    <w:p>
      <w:pPr>
        <w:spacing w:after="0" w:line="186" w:lineRule="exact"/>
        <w:rPr>
          <w:rFonts w:ascii="Arial" w:cs="Arial" w:eastAsia="Arial" w:hAnsi="Arial"/>
          <w:sz w:val="18"/>
          <w:szCs w:val="18"/>
          <w:color w:val="auto"/>
        </w:rPr>
      </w:pPr>
    </w:p>
    <w:p>
      <w:pPr>
        <w:jc w:val="both"/>
        <w:ind w:firstLine="1952"/>
        <w:spacing w:after="0" w:line="259" w:lineRule="auto"/>
        <w:tabs>
          <w:tab w:leader="none" w:pos="29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Company elects to rely upon Rule 462(b) under the Securities Act, the Company shall file a Rule 462(b) Registration Statement with the Commission in compliance with Rule 462(b) by 10:00 p.m. (New York City time), on the date of this Agreement, and the Company shall at the time of filing either pay to the Commission the filing fee for the Rule 462(b) Registration Statement or give irrevocable instructions for the payment of such fee pursuant to Rule 111(b) under the Securities Act.</w:t>
      </w:r>
    </w:p>
    <w:p>
      <w:pPr>
        <w:spacing w:after="0" w:line="186" w:lineRule="exact"/>
        <w:rPr>
          <w:rFonts w:ascii="Arial" w:cs="Arial" w:eastAsia="Arial" w:hAnsi="Arial"/>
          <w:sz w:val="18"/>
          <w:szCs w:val="18"/>
          <w:color w:val="auto"/>
        </w:rPr>
      </w:pPr>
    </w:p>
    <w:p>
      <w:pPr>
        <w:jc w:val="both"/>
        <w:ind w:firstLine="1952"/>
        <w:spacing w:after="0" w:line="259" w:lineRule="auto"/>
        <w:tabs>
          <w:tab w:leader="none" w:pos="29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will not take, and will cause its affiliates (within the meaning of Rule 144 under the Securities Act) not to take, directly or indirectly, any action which constitutes or is designed to cause or result in, or which would reasonably be expected to constitute, cause or result in, the stabilization or manipulation of the price of any security to facilitate the sale or resale of the Shares or to result in a violation of Regulation M under the Exchange Act.</w:t>
      </w:r>
    </w:p>
    <w:p>
      <w:pPr>
        <w:spacing w:after="0" w:line="186" w:lineRule="exact"/>
        <w:rPr>
          <w:rFonts w:ascii="Arial" w:cs="Arial" w:eastAsia="Arial" w:hAnsi="Arial"/>
          <w:sz w:val="18"/>
          <w:szCs w:val="18"/>
          <w:color w:val="auto"/>
        </w:rPr>
      </w:pPr>
    </w:p>
    <w:p>
      <w:pPr>
        <w:ind w:firstLine="1952"/>
        <w:spacing w:after="0" w:line="308" w:lineRule="auto"/>
        <w:tabs>
          <w:tab w:leader="none" w:pos="286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will do and perform all things required or necessary to be done and performed under this Agreement by it prior to each Closing Date, and to satisfy all conditions precedent to the Underwriters’ obligations hereunder to purchase the Shares.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7" w:name="page28"/>
    <w:bookmarkEnd w:id="27"/>
    <w:p>
      <w:pPr>
        <w:jc w:val="both"/>
        <w:ind w:firstLine="1304"/>
        <w:spacing w:after="0" w:line="259" w:lineRule="auto"/>
        <w:tabs>
          <w:tab w:leader="none" w:pos="209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Covenant of the Underwriters</w:t>
      </w:r>
      <w:r>
        <w:rPr>
          <w:rFonts w:ascii="Arial" w:cs="Arial" w:eastAsia="Arial" w:hAnsi="Arial"/>
          <w:sz w:val="18"/>
          <w:szCs w:val="18"/>
          <w:color w:val="auto"/>
        </w:rPr>
        <w:t>. Each Underwriter, severally and not jointly, covenants and agrees with the Company that such Underwriter will not use or refer to any “free writing prospectus” (as defined in Rule 405 under the Securities Act) without the prior written consent of the Company if such Underwriter’s use of or reference to such “free writing prospectus” would require the Company to file with the Commission any “issuer information” (as defined in Rule 433 under the Securities Act).</w:t>
      </w:r>
    </w:p>
    <w:p>
      <w:pPr>
        <w:spacing w:after="0" w:line="186" w:lineRule="exact"/>
        <w:rPr>
          <w:rFonts w:ascii="Arial" w:cs="Arial" w:eastAsia="Arial" w:hAnsi="Arial"/>
          <w:sz w:val="18"/>
          <w:szCs w:val="18"/>
          <w:color w:val="auto"/>
        </w:rPr>
      </w:pPr>
    </w:p>
    <w:p>
      <w:pPr>
        <w:jc w:val="both"/>
        <w:ind w:firstLine="1304"/>
        <w:spacing w:after="0" w:line="285" w:lineRule="auto"/>
        <w:tabs>
          <w:tab w:leader="none" w:pos="210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Whether or not the transactions contemplated by this Agreement, the Registration Statement and the Prospectus are consummated or this Agreement is terminated, (provided, however, the Company shall have no obligation to reimburse any defaulting Underwriter pursuant to Section 10 herewith), the Company hereby agrees to pay all costs and expenses incident to the performance of its obligations hereunder, including the following: (i) all expenses in connection with the preparation, printing and filing of the Registration Statement, any Preliminary Prospectus, any Issuer Free Writing Prospectus, the Prospectus and any and all amendments and supplements thereto and the mailing and delivering of copies thereof to the Underwriters and dealers; (ii) the fees, disbursements and expenses of the Company’s counsel and accountants in connection with the registration of the Shares under the Securities Act and the Offering; (iii) the cost of producing this Agreement and any agreement among Underwriters, blue sky survey, closing documents and other instruments, agreements or documents (including any compilations thereof) in connection with the Offering; (iv) all expenses in connection with the qualification of the Shares for offering and sale under state or foreign securities or blue sky laws as provided in Section 4(f) hereof, including the fees and disbursements of counsel for the Underwriters in connection with such qualification or offering and in connection with any blue sky survey; (v) all fees and expenses in connection with listing the Shares on the Nasdaq Global Market; (vi) the costs and expenses of the Company relating to investor presentations on any Road Show undertaken in connection with the marketing of the Shares, including without limitation, expenses associated with the production and distribution (including electronic) of Road Show slides and graphics, fees and expenses of any consultants engaged in connection with the Road Show presentations, travel and lodging expenses of the representatives and officers of the Company in connection with the Road Show; (vii) any stock transfer taxes incurred in connection with this Agreement or the Offering and (viii) the fees and expenses incident to the performance of the obligations of the Representatives (including reasonable and documented fees and expenses of Underwriters’ Counsel); in an amount not to exceed $75,000 in the aggregate. The Company also will pay or cause to be paid: (x) the cost of preparing stock certificates representing the Shares; (y) the cost and charges of any transfer agent or registrar for the Shares; and (z) all other costs and expenses incident to the performance of its obligations hereunder which are not otherwise specifically provided for in this Section 6.</w:t>
      </w:r>
    </w:p>
    <w:p>
      <w:pPr>
        <w:spacing w:after="0" w:line="168" w:lineRule="exact"/>
        <w:rPr>
          <w:rFonts w:ascii="Arial" w:cs="Arial" w:eastAsia="Arial" w:hAnsi="Arial"/>
          <w:sz w:val="16"/>
          <w:szCs w:val="16"/>
          <w:color w:val="auto"/>
        </w:rPr>
      </w:pPr>
    </w:p>
    <w:p>
      <w:pPr>
        <w:jc w:val="both"/>
        <w:ind w:firstLine="1304"/>
        <w:spacing w:after="0" w:line="257" w:lineRule="auto"/>
        <w:tabs>
          <w:tab w:leader="none" w:pos="207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to purchase and pay for the Firm Shares and the Additional Shares, as provided herein, shall be subject to the accuracy of the representations and warranties of the Company herein contained, as of the date hereof and as of the applicable Closing Date (for purposes of this Section 7, “</w:t>
      </w:r>
      <w:r>
        <w:rPr>
          <w:rFonts w:ascii="Arial" w:cs="Arial" w:eastAsia="Arial" w:hAnsi="Arial"/>
          <w:sz w:val="18"/>
          <w:szCs w:val="18"/>
          <w:b w:val="1"/>
          <w:bCs w:val="1"/>
          <w:color w:val="auto"/>
        </w:rPr>
        <w:t>Closing Date</w:t>
      </w:r>
      <w:r>
        <w:rPr>
          <w:rFonts w:ascii="Arial" w:cs="Arial" w:eastAsia="Arial" w:hAnsi="Arial"/>
          <w:sz w:val="18"/>
          <w:szCs w:val="18"/>
          <w:color w:val="auto"/>
        </w:rPr>
        <w:t>” shall refer to the Closing Date for the Firm Shares and any Additional Closing Date, if different, for the Additional Shares), to the performance by the Company of all of its obligations hereunder, and to each of the following additional conditions: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8" w:name="page29"/>
    <w:bookmarkEnd w:id="28"/>
    <w:p>
      <w:pPr>
        <w:jc w:val="both"/>
        <w:ind w:firstLine="1952"/>
        <w:spacing w:after="0" w:line="272" w:lineRule="auto"/>
        <w:tabs>
          <w:tab w:leader="none" w:pos="303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Prospectus shall have been filed with the Commission in a timely fashion in accordance with Section 4(a) hereof; no stop order suspending the effectiveness of the Registration Statement or any post-effective amendment thereto, and no stop order suspending or preventing the use of any Preliminary Prospectus, any Issuer Free Writing Prospectus or the Prospectus, shall have been issued by the Commission and no proceedings therefor shall have been initiated or threatened by the Commission; all requests for additional information on the part of the Commission shall have been complied with to the Representatives’ reasonable satisfaction; if the Company has elected to rely on Rule 462(b) under the Securities Act, the Rule 462(b) Registration Statement shall have become effective by 10:00 p.m. (New York City time) on the date of this Agreement; and all necessary regulatory or stock exchange approvals shall have been received.</w:t>
      </w:r>
    </w:p>
    <w:p>
      <w:pPr>
        <w:spacing w:after="0" w:line="177" w:lineRule="exact"/>
        <w:rPr>
          <w:rFonts w:ascii="Arial" w:cs="Arial" w:eastAsia="Arial" w:hAnsi="Arial"/>
          <w:sz w:val="17"/>
          <w:szCs w:val="17"/>
          <w:color w:val="auto"/>
        </w:rPr>
      </w:pPr>
    </w:p>
    <w:p>
      <w:pPr>
        <w:jc w:val="both"/>
        <w:ind w:firstLine="1952"/>
        <w:spacing w:after="0" w:line="257" w:lineRule="auto"/>
        <w:tabs>
          <w:tab w:leader="none" w:pos="31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At the Closing Date, the Representatives shall have received (i) the written opinion and negative assurance statement of Dentons US LLP, counsel for the Company, dated the Closing Date and addressed to the Underwriters, in form and substance satisfactory to the Representatives, to the effect set forth in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hereto; and (ii) the written opinion of Peter Knudsen, intellectual property counsel for the Company, dated the Closing Date and addressed to the Underwriters, in form and substance satisfactory to the Representatives, to the effect set forth in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952"/>
        <w:spacing w:after="0" w:line="257" w:lineRule="auto"/>
        <w:tabs>
          <w:tab w:leader="none" w:pos="28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the Closing Date, the Representatives shall have received the written opinion and negative assurance statement of Underwriters’ Counsel, dated the Closing Date and addressed to the Underwriters, in form and substance satisfactory to the Representatives with respect to the issuance and sale of the Shares, the Registration Statement, the Pricing Disclosure Package, the Prospectus and such other matters as the Representatives may require, and the Company shall have furnished to Underwriters’ Counsel such documents as they may reasonably request for the purpose of enabling them to pass upon such matters.</w:t>
      </w:r>
    </w:p>
    <w:p>
      <w:pPr>
        <w:spacing w:after="0" w:line="187" w:lineRule="exact"/>
        <w:rPr>
          <w:rFonts w:ascii="Arial" w:cs="Arial" w:eastAsia="Arial" w:hAnsi="Arial"/>
          <w:sz w:val="18"/>
          <w:szCs w:val="18"/>
          <w:color w:val="auto"/>
        </w:rPr>
      </w:pPr>
    </w:p>
    <w:p>
      <w:pPr>
        <w:jc w:val="both"/>
        <w:ind w:firstLine="1952"/>
        <w:spacing w:after="0" w:line="257" w:lineRule="auto"/>
        <w:tabs>
          <w:tab w:leader="none" w:pos="29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the Closing Date, the Representatives shall have received a certificate of the Chief Executive Officer and Chief Financial Officer of the Company, dated the Closing Date, in form and substance satisfactory to the Representatives, as to the accuracy of the representations and warranties of the Company set forth in Section 1 hereof as of the date hereof and as of the Closing Date, as to the performance by the Company of all of its obligations hereunder to be performed at or prior to the Closing Date, as to the matters set forth in subsections (a), (f), (g) and (h) of this Section 7, and as to such other matters as the Representatives may reasonably request.</w:t>
      </w:r>
    </w:p>
    <w:p>
      <w:pPr>
        <w:spacing w:after="0" w:line="187" w:lineRule="exact"/>
        <w:rPr>
          <w:rFonts w:ascii="Arial" w:cs="Arial" w:eastAsia="Arial" w:hAnsi="Arial"/>
          <w:sz w:val="18"/>
          <w:szCs w:val="18"/>
          <w:color w:val="auto"/>
        </w:rPr>
      </w:pPr>
    </w:p>
    <w:p>
      <w:pPr>
        <w:jc w:val="both"/>
        <w:ind w:firstLine="1952"/>
        <w:spacing w:after="0" w:line="275" w:lineRule="auto"/>
        <w:tabs>
          <w:tab w:leader="none" w:pos="2913" w:val="left"/>
        </w:tabs>
        <w:numPr>
          <w:ilvl w:val="0"/>
          <w:numId w:val="31"/>
        </w:numPr>
        <w:rPr>
          <w:rFonts w:ascii="Arial" w:cs="Arial" w:eastAsia="Arial" w:hAnsi="Arial"/>
          <w:sz w:val="17"/>
          <w:szCs w:val="17"/>
          <w:color w:val="auto"/>
        </w:rPr>
      </w:pPr>
      <w:r>
        <w:rPr>
          <w:rFonts w:ascii="Arial" w:cs="Arial" w:eastAsia="Arial" w:hAnsi="Arial"/>
          <w:sz w:val="17"/>
          <w:szCs w:val="17"/>
          <w:color w:val="auto"/>
        </w:rPr>
        <w:t>At the time this Agreement is executed and at the Closing Date, the Representatives shall have received a comfort letter, from Ernst &amp; Young LLP, independent registered public accountants for the Company, dated, respectively, as of the date of this Agreement and as of the Closing Date, addressed to the Underwriters and in form and substance satisfactory to the Underwriters and Underwriters’ Counsel,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9" w:name="page30"/>
    <w:bookmarkEnd w:id="29"/>
    <w:p>
      <w:pPr>
        <w:jc w:val="both"/>
        <w:ind w:firstLine="1952"/>
        <w:spacing w:after="0" w:line="269" w:lineRule="auto"/>
        <w:tabs>
          <w:tab w:leader="none" w:pos="3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Neither the Company nor any Subsidiary shall have sustained, since the date of the latest audited financial statements included or incorporated by reference in the Registration Statement, the Pricing Disclosure Package and the Prospectus, any material loss or interference with its business or properties from fire, explosion, flood, earthquake, hurricane, accident or other calamity, whether or not covered by insurance, or from any labor dispute or any legal or governmental proceeding, other than as set forth in the Registration Statement, the Pricing Disclosure Package and the Prospectus (exclusive of any supplement thereto); and (ii) subsequent to the dates as of which information is given in the Registration Statement (exclusive of any amendment thereto subsequent to the date hereof) and the Pricing Disclosure Package and the Prospectus (exclusive of any supplement thereto), there shall not have been any change in the capital stock or long-term or short-term debt of the Company or any Subsidiary or any change or any development involving a change, whether or not arising from transactions in the ordinary course of business, in the business, general affairs, management, condition (financial or otherwise), results of operations, stockholders’ equity, properties or prospects of the Company and the Subsidiaries, individually or taken as a whole, the effect of which, in any such case described above, is, in the judgment of the Representatives, so material and adverse as to make it impracticable or inadvisable to proceed with the Offering on the terms and in the manner contemplated in the Registration Statement, the Pricing Disclosure Package and the Prospectus (exclusive of any such supplement).</w:t>
      </w:r>
    </w:p>
    <w:p>
      <w:pPr>
        <w:spacing w:after="0" w:line="178" w:lineRule="exact"/>
        <w:rPr>
          <w:rFonts w:ascii="Arial" w:cs="Arial" w:eastAsia="Arial" w:hAnsi="Arial"/>
          <w:sz w:val="17"/>
          <w:szCs w:val="17"/>
          <w:color w:val="auto"/>
        </w:rPr>
      </w:pPr>
    </w:p>
    <w:p>
      <w:pPr>
        <w:jc w:val="both"/>
        <w:ind w:firstLine="1952"/>
        <w:spacing w:after="0" w:line="275" w:lineRule="auto"/>
        <w:tabs>
          <w:tab w:leader="none" w:pos="29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or after the Applicable Time, (i) no downgrading shall have occurred in the rating accorded the Company’s or any Subsidiaries’ debt securities or preferred stock or the Company’s or any Subsidiaries’ financial strength or claims paying ability by any “nationally recognized statistical rating organization”, as such term is defined in Section 3(a)(62) of the Exchange Act, and (ii) no such organization shall have publicly announced that it has under surveillance or review, with possible negative implications, its rating of any of the Company’s or any Subsidiaries’ debt securities or preferred stock or the Company’s or any Subsidiaries’ financial strength or claims paying ability.</w:t>
      </w:r>
    </w:p>
    <w:p>
      <w:pPr>
        <w:spacing w:after="0" w:line="176" w:lineRule="exact"/>
        <w:rPr>
          <w:rFonts w:ascii="Arial" w:cs="Arial" w:eastAsia="Arial" w:hAnsi="Arial"/>
          <w:sz w:val="17"/>
          <w:szCs w:val="17"/>
          <w:color w:val="auto"/>
        </w:rPr>
      </w:pPr>
    </w:p>
    <w:p>
      <w:pPr>
        <w:jc w:val="both"/>
        <w:ind w:firstLine="1952"/>
        <w:spacing w:after="0" w:line="259" w:lineRule="auto"/>
        <w:tabs>
          <w:tab w:leader="none" w:pos="28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Underwriter shall have discovered and disclosed to the Company on or prior to such Closing Date that any of the Registration Statement, the Pricing Disclosure Package or the Prospectus, or any amendment or supplement thereto, contains an untrue statement of a fact which, in the opinion of Underwriters’ Counsel, is material or omits to state a fact which, in the opinion of such counsel, is material and is required to be stated therein or is necessary to make the statements therein not misleading.</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30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As of the date of this Agreement, the Representatives shall have received a duly executed Lock-Up Agreement from each person who is a director or executive officer of the Company and each shareholder and other person or entity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hereto, in each case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920" w:hanging="968"/>
        <w:spacing w:after="0"/>
        <w:tabs>
          <w:tab w:leader="none" w:pos="29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 the Closing Date, the Shares shall have been approved for quotation on the Nasdaq Global Market, subject only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official notice of issuance.</w:t>
      </w:r>
    </w:p>
    <w:p>
      <w:pPr>
        <w:spacing w:after="0" w:line="210" w:lineRule="exact"/>
        <w:rPr>
          <w:rFonts w:ascii="Arial" w:cs="Arial" w:eastAsia="Arial" w:hAnsi="Arial"/>
          <w:sz w:val="16"/>
          <w:szCs w:val="16"/>
          <w:color w:val="auto"/>
        </w:rPr>
      </w:pPr>
    </w:p>
    <w:p>
      <w:pPr>
        <w:ind w:firstLine="1952"/>
        <w:spacing w:after="0" w:line="277" w:lineRule="auto"/>
        <w:tabs>
          <w:tab w:leader="none" w:pos="28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Chief Financial Officer of the Company shall have furnished to the Representatives a certificate, dated as of the date of this Agreement and on each Closing Date,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0" w:name="page31"/>
    <w:bookmarkEnd w:id="30"/>
    <w:p>
      <w:pPr>
        <w:ind w:firstLine="1952"/>
        <w:spacing w:after="0" w:line="277" w:lineRule="auto"/>
        <w:tabs>
          <w:tab w:leader="none" w:pos="28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filing has been made with FINRA, FINRA shall have confirmed that it has not raised any objection with respect to the fairness and reasonableness of the underwriting terms and arrangements relating to the Offering of the Shares.</w:t>
      </w:r>
    </w:p>
    <w:p>
      <w:pPr>
        <w:spacing w:after="0" w:line="170" w:lineRule="exact"/>
        <w:rPr>
          <w:rFonts w:ascii="Arial" w:cs="Arial" w:eastAsia="Arial" w:hAnsi="Arial"/>
          <w:sz w:val="18"/>
          <w:szCs w:val="18"/>
          <w:color w:val="auto"/>
        </w:rPr>
      </w:pPr>
    </w:p>
    <w:p>
      <w:pPr>
        <w:ind w:firstLine="1952"/>
        <w:spacing w:after="0" w:line="277" w:lineRule="auto"/>
        <w:tabs>
          <w:tab w:leader="none" w:pos="30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have furnished the Underwriters and Underwriters’ Counsel with such other certificates, opinions or other documents as they may have reasonably requested.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any of the conditions specified in this Section 7 shall not have been fulfilled when and as required by this Agreement, or if any of the certificates, opinions, written statements or letters furnished to the Representatives or to Underwriters’ Counsel pursuant to this Section 7 shall not be satisfactory in form and substance to the Representatives and to Underwriters’ Counsel, all obligations of the Underwriters hereunder may be cancelled by the Representatives at, or at any time prior to, the Closing Date and the obligations of the Underwriters to purchase the Additional Shares may be cancelled by the Representatives at, or at any time prior to, any Additional Closing Date. Notice of such cancellation shall be given to the Company in writing or by telephone. Any such telephone notice shall be confirmed promptly thereafter in writing.</w:t>
      </w:r>
    </w:p>
    <w:p>
      <w:pPr>
        <w:spacing w:after="0" w:line="178" w:lineRule="exact"/>
        <w:rPr>
          <w:sz w:val="20"/>
          <w:szCs w:val="20"/>
          <w:color w:val="auto"/>
        </w:rPr>
      </w:pPr>
    </w:p>
    <w:p>
      <w:pPr>
        <w:ind w:left="2020" w:hanging="716"/>
        <w:spacing w:after="0"/>
        <w:tabs>
          <w:tab w:leader="none" w:pos="20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4" w:lineRule="auto"/>
        <w:tabs>
          <w:tab w:leader="none" w:pos="2872"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Company shall indemnify and hold harmless each Underwriter, its affiliates, directors, officers, employees and each person, if any, who controls any Underwriter within the meaning of Section 15 of the Securities Act or Section 20 of the Exchange Act, against any and all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Securities Act, the Exchange Act or otherwise, insofar as such losses, liabilities, claims, damages or expenses (or actions in respect thereof) arise out of or are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(A) in any Preliminary Prospectus or the Prospectus, or in any supplement thereto or amendment thereof, or in any Issuer Free Writing Prospectus, or in any “issuer information” (as defined in Rule 433(h)(2) under the Securities Act) filed or required to be filed pursuant to Rule 433(d) under the Securities Act, or (B) in any other materials or information provided to investors by, or with the approval of, the Company in connection with the Offering, including in any Road Show for the Offering (“</w:t>
      </w:r>
      <w:r>
        <w:rPr>
          <w:rFonts w:ascii="Arial" w:cs="Arial" w:eastAsia="Arial" w:hAnsi="Arial"/>
          <w:sz w:val="16"/>
          <w:szCs w:val="16"/>
          <w:b w:val="1"/>
          <w:bCs w:val="1"/>
          <w:color w:val="auto"/>
        </w:rPr>
        <w:t>Marketing Materials</w:t>
      </w:r>
      <w:r>
        <w:rPr>
          <w:rFonts w:ascii="Arial" w:cs="Arial" w:eastAsia="Arial" w:hAnsi="Arial"/>
          <w:sz w:val="16"/>
          <w:szCs w:val="16"/>
          <w:color w:val="auto"/>
        </w:rPr>
        <w:t>”), or the omission or alleged omission to state in any Preliminary Prospectus or the Prospectus, or in any supplement thereto or amendment thereof, or in any Issuer Free Writing Prospectus, or in any “issuer information” (as defined in Rule 433(h)(2) under the Securities Act) filed or required to be filed pursuant to Rule 433(d) under the Securities Act, or in any Marketing Materials, a material fact necessary in order to make the statements therein, in the light of the circumstances under which they were made, not misleading; provided, however, that the Company will not be liable in any such case to the extent but only to the extent that any such loss, liability, claim, damage or expense arises out of or is based upon any such untrue statement or alleged untrue statement or omission or alleged omission made therein in reliance upon and in conformity with written information furnished to the Company by or on behalf of any Underwriter through the Representatives expressly for use therein. The parties agree that such information provided by or on behalf of any Underwriter through the Representatives consists solely of the material referred to in Section 19 hereof. This indemnity agreement will be in addition to any liability which the Company may otherwise have, including but not limited to other liability under this Agreement.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1" w:name="page32"/>
    <w:bookmarkEnd w:id="31"/>
    <w:p>
      <w:pPr>
        <w:jc w:val="both"/>
        <w:ind w:firstLine="1952"/>
        <w:spacing w:after="0" w:line="285" w:lineRule="auto"/>
        <w:tabs>
          <w:tab w:leader="none" w:pos="29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Underwriter, severally and not jointly, shall indemnify and hold harmless the Company, each of the directors of the Company, each of the officers of the Company who shall have signed the Registration Statement, and each other person, if any, who controls the Company within the meaning of Section 15 of the Securities Act or Section 20 of the Exchange Act, against any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Securities Act, the Exchange Act or otherwise, insofar as such losses, liabilities, claims, damages or expenses (or actions in respect thereof) arise out of or are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contained in any related Preliminary Prospectus or the Prospectus, or in any amendment thereof or supplement thereto, or arise out of or are based upon the omission or alleged omission to state a material fact necessary in order to make the statements therein, in the light of the circumstances under which they were made, not misleading, in each case to the extent, but only to the extent, that any such loss, liability, claim, damage or expense arises out of or is based upon any such untrue statement or alleged untrue statement or omission or alleged omission made therein in reliance upon and in conformity with information furnished in writing to the Company by or on behalf of any Underwriter through the Representatives specifically for use therein; provided, however, that in no case shall any Underwriter be liable or responsible for any amount in excess of the underwriting discount applicable to the Shares to be purchased by such Underwriter hereunder. The parties agree that such information provided by or on behalf of any Underwriter through the Representatives consists solely of the material referred to in Section 19 hereof.</w:t>
      </w:r>
    </w:p>
    <w:p>
      <w:pPr>
        <w:spacing w:after="0" w:line="173" w:lineRule="exact"/>
        <w:rPr>
          <w:rFonts w:ascii="Arial" w:cs="Arial" w:eastAsia="Arial" w:hAnsi="Arial"/>
          <w:sz w:val="16"/>
          <w:szCs w:val="16"/>
          <w:color w:val="auto"/>
        </w:rPr>
      </w:pPr>
    </w:p>
    <w:p>
      <w:pPr>
        <w:jc w:val="both"/>
        <w:ind w:firstLine="1952"/>
        <w:spacing w:after="0" w:line="266" w:lineRule="auto"/>
        <w:tabs>
          <w:tab w:leader="none" w:pos="3021"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any claims or the commencement of any action, such indemnified party shall, if a claim in respect thereof is to be made against the indemnifying party under such subsection, notify each party against whom indemnification is to be sought in writing of the claim or the commencement thereof (but the failure so to notify an indemnifying party shall not relieve the indemnifying party from any liability which it may have under this Section 8 to the extent that it is not materially prejudiced as a result thereof or otherwise has notice of any such action, and in any event shall not relieve it from any liability that such indemnifying party may have otherwise than on account of the indemnity agreement hereunder). In case any such claim or action is brought against any indemnified party, and it notifies an indemnifying party of the commencement thereof, the indemnifying party will be entitled to participate, at its own expense in the defense of such action, and to the extent it may elect by written notice delivered to the indemnified party promptly after receiving the aforesaid notice from such indemnified party, to assume the defense thereof with counsel satisfactory to such indemnified party; provided however, that counsel to the indemnifying party shall not (except with the written consent of the indemnified party) also be counsel to the indemnified party. Notwithstanding the foregoing, the indemnified party or parties shall have the right to employ its or their own counsel in any such case, but the fees and expenses of such counsel shall be at the expense of such indemnified party or parties unless (i) the employment of such counsel shall have been authorized in writing by one of the indemnifying parties in connection with the defense of such action, (ii) the indemnifying parties shall not have employed counsel to have charge of the defense of such action within a reasonable time after notice of commencement of the action, (iii) the indemnifying party does not diligently defend the action after assumption of the defense, or (iv) such indemnified party or parties shall have reasonably concluded that there may be defenses available to it or them which are different from or additional to those available to one or all of the indemnifying parties (in which case the indemnifying parties shall not have the right to direct the defense of such action on behalf of the indemnified party or parties), in any of which events such fees and expenses shall be borne by the indemnifying parties hereof, then, in addition to the fees and expenses of such counsel for the indemnified parties, the indemnifying party shall be liable for the reasonable fees and expenses of not more than one counsel (in addition to any local counsel) separate from its own counsel. No indemnifying party shall, without the prior written consent of the indemnified parties, effect any settlement or compromise of, or consent to the entry of judgment with respect to, any pending or threatened claim, investigation, action or proceeding in respect of which indemnity or contribution may be or could have been sought by an indemnified party under this Section 8 or Section 9 hereof (whether or not the indemnified party is an actual or potential party thereto), unless such settlement, compromise or judgment (i) includes an unconditional release of the indemnified party from all liability arising out of such claim, investigation, action or proceeding and (ii) does not include a statement as to or an admission of fault, culpability or any failure to act, by or on behalf of the indemnified party.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2" w:name="page33"/>
    <w:bookmarkEnd w:id="32"/>
    <w:p>
      <w:pPr>
        <w:jc w:val="both"/>
        <w:ind w:firstLine="1304"/>
        <w:spacing w:after="0" w:line="283" w:lineRule="auto"/>
        <w:tabs>
          <w:tab w:leader="none" w:pos="220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contribution in circumstances in which the indemnification provided for in Section 8 hereof is for any reason held to be unavailable from any indemnifying party or is insufficient to hold harmless a party indemnified thereunder, the Company and the Underwriters severally shall contribute to the aggregate losses, claims, damages, liabilities and expenses of the nature contemplated by such indemnification provision (including any investigation, legal and other expenses incurred in connection with, and any amount paid in settlement of, any action, suit or proceeding or any claims asserted, but after deducting in the case of losses, claims, damages, liabilities and expenses suffered by the Company, any contribution received by the Company from persons, other than the Underwriters, who may also be liable for contribution, including persons who control the Company within the meaning of Section 15 of the Securities Act or Section 20 of the Exchange Act, officers of the Company who signed the Registration Statement and directors of the Company) as incurred to which the Company and one or more of the Underwriters may be subject, in such proportions as is appropriate to reflect the relative benefits received by the Company and by the Underwriters from the Offering or, if such allocation is not permitted by applicable law, in such proportions as are appropriate to reflect not only the relative benefits referred to above but also the relative fault of the Company and the Underwriters in connection with the statements or omissions which resulted in such losses, claims, damages, liabilities or expenses, as well as any other relevant equitable considerations. The relative benefits received by the Company and the Underwriters shall be deemed to be in the same proportion as the total proceeds from the Offering (net of underwriting discounts and commissions but before deducting expenses) received by the Company and the underwriting discount and commissions received by the Underwriters, in each case as set forth in the table on the cover page of the Prospectus, bear to the aggregate initial public offering price of the Shares as set in the table on the cover page of the Prospectus. The relative fault of each of the Company and of the Underwriters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statement or omission. 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above in this Section 9. The aggregate amount of losses, liabilities, claims, damages and expenses incurred by an indemnified party and referred to above in this Section 9 shall be deemed to include any legal or other expenses reasonably incurred by such indemnified party in investigating, preparing or defending against any litigation, or any investigation or proceeding by any judicial, regulatory or other legal or governmental agency or body, commenced or threatened, or any claim whatsoever based upon any such untrue or alleged untrue statement or omission or alleged omission. Notwithstanding the provisions of this Section 9, (i) no Underwriter shall be required to contribute any amount in excess of the amount by which the discounts and commissions applicable to the Shares underwritten by it and distributed to the public exceeds the amount of any damages which such Underwriter has otherwise been required to pay by reason of such untrue or alleged untrue statement or omission or alleged omission and (ii) no person guilty of fraudulent misrepresentation (within the meaning of Section 11(f) of the Securities Act) shall be entitled to contribution from any person who was not guilty of such fraudulent misrepresentation. For purposes of this Section 9, each of the Underwriter’s affiliates, directors, officers, employees and each person, if any, who controls any Underwriter within the meaning of Section 15 of the Securities Act or Section 20 of the Exchange Act shall have the same rights to contribution as such Underwriter, and each person, if any, who controls the Company within the meaning of Section 15 of the Securities Act or Section 20 of the Exchange Act, each officer of the Company who shall have signed the Registration Statement and each director of the Company shall have the same rights to contribution as the Company, subject in each case to clauses (i) and (ii) of the immediately preceding sentence. Any party entitled to contribution will, promptly after receipt of notice of commencement of any action, suit or proceeding against such party in respect of which a claim for contribution may be made against another party or parties, notify each party or parties from whom contribution may be sought, but the omission to so notify such party or parties shall not relieve the party or parties from whom contribution may be sought from any obligation it or they may have under this Section 9 or otherwise. The obligations of the Underwriters to contribute pursuant to this Section 9 are several in proportion to the respective number of Shares to be purchased by each of the Underwriters hereunder and not joint.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3" w:name="page34"/>
    <w:bookmarkEnd w:id="33"/>
    <w:p>
      <w:pPr>
        <w:ind w:left="2020" w:hanging="716"/>
        <w:spacing w:after="0"/>
        <w:tabs>
          <w:tab w:leader="none" w:pos="20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Underwriter Default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91" w:lineRule="auto"/>
        <w:tabs>
          <w:tab w:leader="none" w:pos="3007"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any Underwriter or Underwriters shall default in its or their obligation to purchase Firm Shares or Additional Shares hereunder, and if the Firm Shares or Additional Shares with respect to which such default relates (the “</w:t>
      </w:r>
      <w:r>
        <w:rPr>
          <w:rFonts w:ascii="Arial" w:cs="Arial" w:eastAsia="Arial" w:hAnsi="Arial"/>
          <w:sz w:val="16"/>
          <w:szCs w:val="16"/>
          <w:b w:val="1"/>
          <w:bCs w:val="1"/>
          <w:color w:val="auto"/>
        </w:rPr>
        <w:t>Default Shares</w:t>
      </w:r>
      <w:r>
        <w:rPr>
          <w:rFonts w:ascii="Arial" w:cs="Arial" w:eastAsia="Arial" w:hAnsi="Arial"/>
          <w:sz w:val="16"/>
          <w:szCs w:val="16"/>
          <w:color w:val="auto"/>
        </w:rPr>
        <w:t xml:space="preserve">”) do not (after giving effect to arrangements, if any, made by the Representatives pursuant to subsection (b) below) exceed in the aggregate 10% of the number of Firm Shares or Additional Shares, each non-defaulting Underwriter, acting severally and not jointly, agrees to purchase from the Company that number of Default Shares that bears the same proportion of the total number of Default Shares then being purchased as the number of Firm Shares set forth opposite the name of such Underwriter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bears to the aggregate number of Firm Shares set forth opposite the names of the non-defaulting Underwriters, subject, however, to such adjustments to eliminate fractional shares as the Representatives in their sole discretion shall make.</w:t>
      </w:r>
    </w:p>
    <w:p>
      <w:pPr>
        <w:spacing w:after="0" w:line="166" w:lineRule="exact"/>
        <w:rPr>
          <w:rFonts w:ascii="Arial" w:cs="Arial" w:eastAsia="Arial" w:hAnsi="Arial"/>
          <w:sz w:val="16"/>
          <w:szCs w:val="16"/>
          <w:color w:val="auto"/>
        </w:rPr>
      </w:pPr>
    </w:p>
    <w:p>
      <w:pPr>
        <w:jc w:val="both"/>
        <w:ind w:firstLine="1952"/>
        <w:spacing w:after="0" w:line="271" w:lineRule="auto"/>
        <w:tabs>
          <w:tab w:leader="none" w:pos="2896"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the event that the aggregate number of Default Shares exceeds 10% of the number of Firm Shares or Additional Shares, as the case may be, any of the Representatives may in its discretion arrange for itself or for another party or parties (including any non-defaulting Underwriter or Underwriters who so agree) to purchase the Default Shares on the terms contained herein. In the event that within five calendar days after such a default the Representatives do not arrange for the purchase of the Default Shares as provided in this Section 10, this Agreement or, in the case of a default with respect to the Additional Shares, the obligations of the Underwriters to purchase and of the Company to sell the Additional Shares shall thereupon terminate, without liability on the part of the Company with respect thereto (except in each case as provided in Sections 6, 8, 9, 11 and 12(d)) or the Underwriters, but nothing in this Agreement shall relieve a defaulting Underwriter or Underwriters of its or their liability, if any, to the other Underwriters and the Company for damages occasioned by its or their default hereunder.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4" w:name="page35"/>
    <w:bookmarkEnd w:id="34"/>
    <w:p>
      <w:pPr>
        <w:jc w:val="both"/>
        <w:ind w:firstLine="1952"/>
        <w:spacing w:after="0" w:line="272" w:lineRule="auto"/>
        <w:tabs>
          <w:tab w:leader="none" w:pos="2872" w:val="left"/>
        </w:tabs>
        <w:numPr>
          <w:ilvl w:val="1"/>
          <w:numId w:val="38"/>
        </w:numPr>
        <w:rPr>
          <w:rFonts w:ascii="Arial" w:cs="Arial" w:eastAsia="Arial" w:hAnsi="Arial"/>
          <w:sz w:val="17"/>
          <w:szCs w:val="17"/>
          <w:color w:val="auto"/>
        </w:rPr>
      </w:pPr>
      <w:r>
        <w:rPr>
          <w:rFonts w:ascii="Arial" w:cs="Arial" w:eastAsia="Arial" w:hAnsi="Arial"/>
          <w:sz w:val="17"/>
          <w:szCs w:val="17"/>
          <w:color w:val="auto"/>
        </w:rPr>
        <w:t>In the event that any Default Shares are to be purchased by the non-defaulting Underwriters, or are to be purchased by another party or parties as aforesaid, the Representatives or the Company shall have the right to postpone the Closing Date or Additional Closing Date, as the case may be for a period, not exceeding five business days, in order to effect whatever changes may thereby be made necessary in the Registration Statement or the Prospectus or in any other documents and arrangements, and the Company agrees to file promptly any amendment or supplement to the Registration Statement or the Prospectus which, in the opinion of Underwriters’ Counsel, may thereby be made necessary or advisable. The term “</w:t>
      </w:r>
      <w:r>
        <w:rPr>
          <w:rFonts w:ascii="Arial" w:cs="Arial" w:eastAsia="Arial" w:hAnsi="Arial"/>
          <w:sz w:val="17"/>
          <w:szCs w:val="17"/>
          <w:b w:val="1"/>
          <w:bCs w:val="1"/>
          <w:color w:val="auto"/>
        </w:rPr>
        <w:t>Underwriter</w:t>
      </w:r>
      <w:r>
        <w:rPr>
          <w:rFonts w:ascii="Arial" w:cs="Arial" w:eastAsia="Arial" w:hAnsi="Arial"/>
          <w:sz w:val="17"/>
          <w:szCs w:val="17"/>
          <w:color w:val="auto"/>
        </w:rPr>
        <w:t>” as used in this Agreement shall include any party substituted under this Section 10 with like effect as if it had originally been a party to this Agreement with respect to such Firm Shares and Additional Shares.</w:t>
      </w:r>
    </w:p>
    <w:p>
      <w:pPr>
        <w:spacing w:after="0" w:line="177" w:lineRule="exact"/>
        <w:rPr>
          <w:rFonts w:ascii="Arial" w:cs="Arial" w:eastAsia="Arial" w:hAnsi="Arial"/>
          <w:sz w:val="17"/>
          <w:szCs w:val="17"/>
          <w:color w:val="auto"/>
        </w:rPr>
      </w:pPr>
    </w:p>
    <w:p>
      <w:pPr>
        <w:jc w:val="both"/>
        <w:ind w:firstLine="1304"/>
        <w:spacing w:after="0" w:line="272" w:lineRule="auto"/>
        <w:tabs>
          <w:tab w:leader="none" w:pos="2009"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Survival of Representations and Agreements</w:t>
      </w:r>
      <w:r>
        <w:rPr>
          <w:rFonts w:ascii="Arial" w:cs="Arial" w:eastAsia="Arial" w:hAnsi="Arial"/>
          <w:sz w:val="17"/>
          <w:szCs w:val="17"/>
          <w:color w:val="auto"/>
        </w:rPr>
        <w:t>. All representations and warranties, covenants and agreements of the Underwriters and the Company contained in this Agreement or in certificates of officers of the Company or any Subsidiary submitted pursuant hereto, including the agreements contained in Section 6, the indemnity agreements contained in Section 8 and the contribution agreements contained in Section 9, shall remain operative and in full force and effect regardless of any investigation made by or on behalf of any Underwriter or any controlling person thereof or by or on behalf of the Company, any of its officers and directors or any controlling person thereof, and shall survive delivery of and payment for the Shares to and by the Underwriters. The representations contained in Section 1 and the agreements contained in Sections 6, 8, 9, 11, 12, 17 and 18 hereof shall survive any termination of this Agreement, including termination pursuant to Section 10 or 12 hereof.</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5" w:name="page36"/>
    <w:bookmarkEnd w:id="35"/>
    <w:p>
      <w:pPr>
        <w:ind w:left="2020" w:hanging="716"/>
        <w:spacing w:after="0"/>
        <w:tabs>
          <w:tab w:leader="none" w:pos="20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Effective Date of Agreement;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20" w:hanging="868"/>
        <w:spacing w:after="0"/>
        <w:tabs>
          <w:tab w:leader="none" w:pos="28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This Agreement shall become effective when the parties hereto have executed and delivered this Agreement.</w:t>
      </w:r>
    </w:p>
    <w:p>
      <w:pPr>
        <w:spacing w:after="0" w:line="236" w:lineRule="exact"/>
        <w:rPr>
          <w:rFonts w:ascii="Arial" w:cs="Arial" w:eastAsia="Arial" w:hAnsi="Arial"/>
          <w:sz w:val="17"/>
          <w:szCs w:val="17"/>
          <w:color w:val="auto"/>
        </w:rPr>
      </w:pPr>
    </w:p>
    <w:p>
      <w:pPr>
        <w:jc w:val="both"/>
        <w:ind w:firstLine="1952"/>
        <w:spacing w:after="0" w:line="268" w:lineRule="auto"/>
        <w:tabs>
          <w:tab w:leader="none" w:pos="3004"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Representatives shall have the right to terminate this Agreement at any time prior to the Closing Date or to terminate the obligations of the Underwriters to purchase the Additional Shares at any time prior to any Additional Closing Date, as the case may be, if, at or after the Applicable Time, (i) any domestic or international event or act or occurrence has materially disrupted, or in the opinion of the Representatives will in the immediate future materially disrupt, the market for the Company’s or any Subsidiaries’ securities or securities in general; or (ii) trading on the New York Stock Exchange, the NYSE American LLC or Nasdaq shall have been suspended or been made subject to material limitations, or minimum or maximum prices for trading shall have been fixed, or maximum ranges for prices for securities shall have been required, on the New York Stock Exchange, the NYSE American LLC or Nasdaq or by order of the Commission or any other governmental authority having jurisdiction; or (iii) a banking moratorium has been declared by any state or federal authority or any material disruption in commercial banking or securities settlement or clearance services shall have occurred; or (iv) (A) there shall have occurred any outbreak or escalation of hostilities or acts of terrorism involving the United States or there is a declaration of a national emergency or war by the United States or (B) there shall have been any other calamity or crisis or any change in political, financial or economic conditions if the effect of any such event in (A) or (B), in the judgment of the Representatives, makes it impracticable or inadvisable to proceed with the offering, sale and delivery of the Firm Shares or the Additional Shares, as the case may be, on the terms and in the manner contemplated by the Prospectus; or (v) any of the events described in Sections 7(f) or 7(g) shall have occurred or the Underwriters shall decline to purchase the Shares for any reason permitted under this Agreement.</w:t>
      </w:r>
    </w:p>
    <w:p>
      <w:pPr>
        <w:spacing w:after="0" w:line="184" w:lineRule="exact"/>
        <w:rPr>
          <w:rFonts w:ascii="Arial" w:cs="Arial" w:eastAsia="Arial" w:hAnsi="Arial"/>
          <w:sz w:val="17"/>
          <w:szCs w:val="17"/>
          <w:color w:val="auto"/>
        </w:rPr>
      </w:pPr>
    </w:p>
    <w:p>
      <w:pPr>
        <w:ind w:left="2820" w:hanging="868"/>
        <w:spacing w:after="0"/>
        <w:tabs>
          <w:tab w:leader="none" w:pos="2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notice of termination pursuant to this Section 12 shall be in writing.</w:t>
      </w:r>
    </w:p>
    <w:p>
      <w:pPr>
        <w:spacing w:after="0" w:line="225" w:lineRule="exact"/>
        <w:rPr>
          <w:rFonts w:ascii="Arial" w:cs="Arial" w:eastAsia="Arial" w:hAnsi="Arial"/>
          <w:sz w:val="18"/>
          <w:szCs w:val="18"/>
          <w:color w:val="auto"/>
        </w:rPr>
      </w:pPr>
    </w:p>
    <w:p>
      <w:pPr>
        <w:jc w:val="both"/>
        <w:ind w:firstLine="1952"/>
        <w:spacing w:after="0" w:line="255" w:lineRule="auto"/>
        <w:tabs>
          <w:tab w:leader="none" w:pos="2882"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any of the provisions hereof, or if the sale of the Shares provided for herein is not consummated because any condition to the obligations of the Underwriters set forth herein is not satisfied or because of any refusal, inability or failure on the part of the Company to perform any agreement herein or comply with any provision hereof, the Company will, subject to demand by any of the Representatives, reimburse the Underwriters for all out-of-pocket expenses (including the fees and expenses of their counsel) incurred by the Underwriters in connection herewith; provided, however, that in the event of a termination pursuant to Section 10 hereof, only the non-defaulting Underwriters shall be entitled to receive such reimbursement.</w:t>
      </w:r>
    </w:p>
    <w:p>
      <w:pPr>
        <w:spacing w:after="0" w:line="192" w:lineRule="exact"/>
        <w:rPr>
          <w:rFonts w:ascii="Arial" w:cs="Arial" w:eastAsia="Arial" w:hAnsi="Arial"/>
          <w:sz w:val="18"/>
          <w:szCs w:val="18"/>
          <w:color w:val="auto"/>
        </w:rPr>
      </w:pPr>
    </w:p>
    <w:p>
      <w:pPr>
        <w:jc w:val="both"/>
        <w:ind w:firstLine="1304"/>
        <w:spacing w:after="0" w:line="269" w:lineRule="auto"/>
        <w:tabs>
          <w:tab w:leader="none" w:pos="243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Research Analyst Independence</w:t>
      </w:r>
      <w:r>
        <w:rPr>
          <w:rFonts w:ascii="Arial" w:cs="Arial" w:eastAsia="Arial" w:hAnsi="Arial"/>
          <w:sz w:val="17"/>
          <w:szCs w:val="17"/>
          <w:color w:val="auto"/>
        </w:rPr>
        <w:t>. 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personnel in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personnel in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6" w:name="page37"/>
    <w:bookmarkEnd w:id="36"/>
    <w:p>
      <w:pPr>
        <w:jc w:val="both"/>
        <w:ind w:firstLine="1304"/>
        <w:spacing w:after="0" w:line="286" w:lineRule="auto"/>
        <w:tabs>
          <w:tab w:leader="none" w:pos="2124"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(a) the purchase and sale of the Shares pursuant to this Agreement, including the determination of the public offering price of the Shares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or the process leading thereto (irrespective of whether such Underwriter has advised or is currently advising the Company or any of its Subsidiaries on other matters) and no Underwriter has any obligation to the Company with respect to the Offering except the obligations expressly set forth in this Agreement, (d) the Underwriters and their respective affiliates may be engaged in a broad range of transactions that involve interests that differ from those of the Company, (e) any duties and obligations that the Underwriters may have to the Company shall be limited to those duties and obligations specifically stated herein, (f) the Underwriters have not provided any legal, accounting, regulatory, investment or tax advice with respect to the Offering and the Company has consulted its own respective legal, accounting, regulatory and tax advisors to the extent it deemed appropriate, and (g)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70" w:lineRule="exact"/>
        <w:rPr>
          <w:rFonts w:ascii="Arial" w:cs="Arial" w:eastAsia="Arial" w:hAnsi="Arial"/>
          <w:sz w:val="16"/>
          <w:szCs w:val="16"/>
          <w:color w:val="auto"/>
        </w:rPr>
      </w:pPr>
    </w:p>
    <w:p>
      <w:pPr>
        <w:ind w:left="2020" w:hanging="716"/>
        <w:spacing w:after="0"/>
        <w:tabs>
          <w:tab w:leader="none" w:pos="202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hereunder, except as may be otherwise specifically provided herein, shall be in writing, and:</w:t>
      </w:r>
    </w:p>
    <w:p>
      <w:pPr>
        <w:spacing w:after="0" w:line="236" w:lineRule="exact"/>
        <w:rPr>
          <w:rFonts w:ascii="Arial" w:cs="Arial" w:eastAsia="Arial" w:hAnsi="Arial"/>
          <w:sz w:val="17"/>
          <w:szCs w:val="17"/>
          <w:color w:val="auto"/>
        </w:rPr>
      </w:pPr>
    </w:p>
    <w:p>
      <w:pPr>
        <w:jc w:val="both"/>
        <w:ind w:firstLine="1952"/>
        <w:spacing w:after="0" w:line="291" w:lineRule="auto"/>
        <w:tabs>
          <w:tab w:leader="none" w:pos="2818" w:val="left"/>
        </w:tabs>
        <w:numPr>
          <w:ilvl w:val="2"/>
          <w:numId w:val="41"/>
        </w:numPr>
        <w:rPr>
          <w:rFonts w:ascii="Arial" w:cs="Arial" w:eastAsia="Arial" w:hAnsi="Arial"/>
          <w:sz w:val="16"/>
          <w:szCs w:val="16"/>
          <w:color w:val="auto"/>
        </w:rPr>
      </w:pPr>
      <w:r>
        <w:rPr>
          <w:rFonts w:ascii="Arial" w:cs="Arial" w:eastAsia="Arial" w:hAnsi="Arial"/>
          <w:sz w:val="16"/>
          <w:szCs w:val="16"/>
          <w:color w:val="auto"/>
        </w:rPr>
        <w:t>if sent to any Underwriter, shall be mailed, delivered, or faxed and confirmed in writing, if to the Underwriters, shall be sufficient in all respects if delivered or sent to Citigroup at Citigroup Global Markets Inc., 388 Greenwich Street, New York, New York 10013, Fax: +1</w:t>
      </w: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291-1469, Attention: General Counsel, to Guggenheim at Guggenheim Securities, LLC, 330 Madison Avenue, New York, New York 10017, Fax:</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658-9689, Attention: Head of Equity Capital Markets, and to Barclays at Barclays Capital Inc., 745 Seventh Avenue, New York, New York 10019,</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Fax: (646) 834-8133, Attention: Syndicate Registration, with a copy to Underwriters’ Counsel at Goodwin Procter LLP, The New York Times Building,</w:t>
      </w:r>
    </w:p>
    <w:p>
      <w:pPr>
        <w:spacing w:after="0" w:line="2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620 Eighth Avenue, New York, New York 10018, Fax (212) 355-3333, Attention: Thomas S. Levato, Esq.;</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7" w:name="page38"/>
    <w:bookmarkEnd w:id="37"/>
    <w:p>
      <w:pPr>
        <w:jc w:val="both"/>
        <w:ind w:firstLine="1952"/>
        <w:spacing w:after="0" w:line="311" w:lineRule="auto"/>
        <w:tabs>
          <w:tab w:leader="none" w:pos="2936"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sent to the Company, shall be mailed, delivered, or faxed and confirmed in writing to the Company at Arcturus Therapeutics Holdings Inc., 10628 Science Center Drive, Suite 200, San Diego, California 92121, Attention: Chief Executive Officer, with a copy to its counsel at Dentons US LLP, 1221 Avenue of the Americas, New York, New York 10020, Fax (212) 768 6800, Attention: Jeffrey A. Baumel, Esq.;</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any notice to an Underwriter pursuant to Section 8 shall be delivered or sent by mail or facsimile transmission to such Underwriter</w:t>
      </w:r>
      <w:r>
        <w:rPr>
          <w:rFonts w:ascii="Arial" w:cs="Arial" w:eastAsia="Arial" w:hAnsi="Arial"/>
          <w:sz w:val="17"/>
          <w:szCs w:val="17"/>
          <w:i w:val="1"/>
          <w:iCs w:val="1"/>
          <w:color w:val="auto"/>
        </w:rPr>
        <w:t xml:space="preserve"> </w:t>
      </w:r>
      <w:r>
        <w:rPr>
          <w:rFonts w:ascii="Arial" w:cs="Arial" w:eastAsia="Arial" w:hAnsi="Arial"/>
          <w:sz w:val="17"/>
          <w:szCs w:val="17"/>
          <w:color w:val="auto"/>
        </w:rPr>
        <w:t>at its address set forth in its acceptance facsimile to the Representatives, which address will be supplied to any other party hereto by any of the Representatives upon request. Any such notices and other communications shall take effect at the time of receipt thereof.</w:t>
      </w:r>
    </w:p>
    <w:p>
      <w:pPr>
        <w:spacing w:after="0" w:line="165" w:lineRule="exact"/>
        <w:rPr>
          <w:sz w:val="20"/>
          <w:szCs w:val="20"/>
          <w:color w:val="auto"/>
        </w:rPr>
      </w:pPr>
    </w:p>
    <w:p>
      <w:pPr>
        <w:ind w:left="2020" w:hanging="716"/>
        <w:spacing w:after="0"/>
        <w:tabs>
          <w:tab w:leader="none" w:pos="20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event that any Underwriter is a Covered Entity and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firstLine="1952"/>
        <w:spacing w:after="0" w:line="259" w:lineRule="auto"/>
        <w:tabs>
          <w:tab w:leader="none" w:pos="3004"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event that any Underwriter is a Covered Entity or a BHC Act Affiliate of such Underwriter and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purposes of this Section 16:</w:t>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1841(k).</w:t>
      </w:r>
    </w:p>
    <w:p>
      <w:pPr>
        <w:spacing w:after="0" w:line="207" w:lineRule="exact"/>
        <w:rPr>
          <w:sz w:val="20"/>
          <w:szCs w:val="20"/>
          <w:color w:val="auto"/>
        </w:rPr>
      </w:pPr>
    </w:p>
    <w:p>
      <w:pPr>
        <w:jc w:val="both"/>
        <w:ind w:firstLine="194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§47.3(b); or (iii) a “covered FSI” as that term is defined in, and interpreted in accordance with, 12 C.F.R. §382.2(b).</w:t>
      </w:r>
    </w:p>
    <w:p>
      <w:pPr>
        <w:spacing w:after="0" w:line="17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 Right</w:t>
      </w:r>
      <w:r>
        <w:rPr>
          <w:rFonts w:ascii="Arial" w:cs="Arial" w:eastAsia="Arial" w:hAnsi="Arial"/>
          <w:sz w:val="16"/>
          <w:szCs w:val="16"/>
          <w:color w:val="auto"/>
        </w:rPr>
        <w:t>” has the meaning assigned to that term in, and shall be interpreted in accordance with, 12 C.F.R. §§ 252.81, 47.2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 382.1, as applicable.</w:t>
      </w:r>
    </w:p>
    <w:p>
      <w:pPr>
        <w:spacing w:after="0" w:line="207" w:lineRule="exact"/>
        <w:rPr>
          <w:sz w:val="20"/>
          <w:szCs w:val="20"/>
          <w:color w:val="auto"/>
        </w:rPr>
      </w:pPr>
    </w:p>
    <w:p>
      <w:pPr>
        <w:jc w:val="both"/>
        <w:ind w:right="20" w:firstLine="194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44" w:lineRule="exact"/>
        <w:rPr>
          <w:sz w:val="20"/>
          <w:szCs w:val="20"/>
          <w:color w:val="auto"/>
        </w:rPr>
      </w:pPr>
    </w:p>
    <w:p>
      <w:pPr>
        <w:jc w:val="both"/>
        <w:ind w:firstLine="1304"/>
        <w:spacing w:after="0" w:line="254" w:lineRule="auto"/>
        <w:tabs>
          <w:tab w:leader="none" w:pos="202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insure solely to the benefit of, and shall be binding upon, the Underwriters and the Company and the controlling persons, affiliates, directors, officers, employees and agents referred to in Section 8 and Section 9 hereof, and their respective successors and assigns, and no other person shall have or be construed to have any legal or equitable right, remedy or claim under or in respect of or by virtue of this Agreement or any provision herein contained. This Agreement and all conditions and provisions hereof are intended to be for the sole and exclusive benefit of the parties hereto and said controlling persons and their respective successors, officers, directors, heirs and legal representatives, and it is not for the benefit of any other person, firm or corporation. The term “</w:t>
      </w:r>
      <w:r>
        <w:rPr>
          <w:rFonts w:ascii="Arial" w:cs="Arial" w:eastAsia="Arial" w:hAnsi="Arial"/>
          <w:sz w:val="18"/>
          <w:szCs w:val="18"/>
          <w:b w:val="1"/>
          <w:bCs w:val="1"/>
          <w:color w:val="auto"/>
        </w:rPr>
        <w:t>successors and assigns</w:t>
      </w:r>
      <w:r>
        <w:rPr>
          <w:rFonts w:ascii="Arial" w:cs="Arial" w:eastAsia="Arial" w:hAnsi="Arial"/>
          <w:sz w:val="18"/>
          <w:szCs w:val="18"/>
          <w:color w:val="auto"/>
        </w:rPr>
        <w:t>” shall not include a purchaser, in its capacity as such, of Shares from any of the Underwriters.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8" w:name="page39"/>
    <w:bookmarkEnd w:id="38"/>
    <w:p>
      <w:pPr>
        <w:jc w:val="both"/>
        <w:ind w:firstLine="1304"/>
        <w:spacing w:after="0" w:line="253" w:lineRule="auto"/>
        <w:tabs>
          <w:tab w:leader="none" w:pos="207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 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This Agreement shall be governed by and construed in accordance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with the laws of the State of New York. </w:t>
      </w:r>
      <w:r>
        <w:rPr>
          <w:rFonts w:ascii="Arial" w:cs="Arial" w:eastAsia="Arial" w:hAnsi="Arial"/>
          <w:sz w:val="18"/>
          <w:szCs w:val="18"/>
          <w:color w:val="auto"/>
        </w:rPr>
        <w:t>The Company irrevocably (a) submits to the jurisdiction of any court of the State of New York located in the City</w:t>
      </w:r>
      <w:r>
        <w:rPr>
          <w:rFonts w:ascii="Arial" w:cs="Arial" w:eastAsia="Arial" w:hAnsi="Arial"/>
          <w:sz w:val="18"/>
          <w:szCs w:val="18"/>
          <w:b w:val="1"/>
          <w:bCs w:val="1"/>
          <w:color w:val="auto"/>
        </w:rPr>
        <w:t xml:space="preserve"> </w:t>
      </w:r>
      <w:r>
        <w:rPr>
          <w:rFonts w:ascii="Arial" w:cs="Arial" w:eastAsia="Arial" w:hAnsi="Arial"/>
          <w:sz w:val="18"/>
          <w:szCs w:val="18"/>
          <w:color w:val="auto"/>
        </w:rPr>
        <w:t>and County of New York, Borough of Manhattan or any federal courts of the United States of America located in the City and County of New York, Borough of Manhattan for the purpose of any suit, action, or other proceeding arising out of this Agreement, or any of the agreements or transactions contemplated by this Agreement, the Registration Statement and the Prospectus (each, a “</w:t>
      </w:r>
      <w:r>
        <w:rPr>
          <w:rFonts w:ascii="Arial" w:cs="Arial" w:eastAsia="Arial" w:hAnsi="Arial"/>
          <w:sz w:val="18"/>
          <w:szCs w:val="18"/>
          <w:b w:val="1"/>
          <w:bCs w:val="1"/>
          <w:color w:val="auto"/>
        </w:rPr>
        <w:t>Proceeding</w:t>
      </w:r>
      <w:r>
        <w:rPr>
          <w:rFonts w:ascii="Arial" w:cs="Arial" w:eastAsia="Arial" w:hAnsi="Arial"/>
          <w:sz w:val="18"/>
          <w:szCs w:val="18"/>
          <w:color w:val="auto"/>
        </w:rPr>
        <w:t>”), (b) agrees that all claims in respect of any Proceeding may be heard and determined in any such court, (c) waives, to the fullest extent permitted by law, any immunity from jurisdiction of any such court or from any legal process therein, (d) agrees not to commence any Proceeding other than in such courts, and (e) waives, to the fullest extent permitted by law, any claim that such Proceeding is brought in an inconvenient forum. THE COMPANY (ON BEHALF OF ITSELF AND, TO THE FULLEST EXTENT PERMITTED BY LAW, ON BEHALF OF ITS RESPECTIVE EQUITY HOLDERS AND CREDITORS) HEREBY WAIVES ANY RIGHT IT MAY HAVE TO A TRIAL BY JURY IN RESPECT OF ANY CLAIM BASED UPON, ARISING OUT OF OR IN CONNECTION WITH THIS AGREEMENT AND THE TRANSACTIONS CONTEMPLATED BY THIS AGREEMENT, THE REGISTRATION STATEMENT AND THE PROSPECTUS.</w:t>
      </w:r>
    </w:p>
    <w:p>
      <w:pPr>
        <w:spacing w:after="0" w:line="193" w:lineRule="exact"/>
        <w:rPr>
          <w:rFonts w:ascii="Arial" w:cs="Arial" w:eastAsia="Arial" w:hAnsi="Arial"/>
          <w:sz w:val="18"/>
          <w:szCs w:val="18"/>
          <w:color w:val="auto"/>
        </w:rPr>
      </w:pPr>
    </w:p>
    <w:p>
      <w:pPr>
        <w:jc w:val="both"/>
        <w:ind w:firstLine="1304"/>
        <w:spacing w:after="0" w:line="263" w:lineRule="auto"/>
        <w:tabs>
          <w:tab w:leader="none" w:pos="207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Underwriters’ Information</w:t>
      </w:r>
      <w:r>
        <w:rPr>
          <w:rFonts w:ascii="Arial" w:cs="Arial" w:eastAsia="Arial" w:hAnsi="Arial"/>
          <w:sz w:val="18"/>
          <w:szCs w:val="18"/>
          <w:color w:val="auto"/>
        </w:rPr>
        <w:t>. The parties acknowledge and agree that, for purposes of Sections 1(c), 1(d), 1(e) and 8 hereof, the information provided by or on behalf of any Underwriter consists solely of the material included in the ninth paragraph under the caption “Underwriting— Commissions and Discounts; Expenses” (concerning price stabilization and short positions) in the Prospectus.</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24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any number of counterparts, each of which shall be deemed to be an original, but all such counterparts shall together constitute one and the same instrument. Delivery of a signed counterpart of this Agreement by facsimile or other electronic transmission shall constitute valid and sufficient delivery thereof.</w:t>
      </w:r>
    </w:p>
    <w:p>
      <w:pPr>
        <w:spacing w:after="0" w:line="183" w:lineRule="exact"/>
        <w:rPr>
          <w:rFonts w:ascii="Arial" w:cs="Arial" w:eastAsia="Arial" w:hAnsi="Arial"/>
          <w:sz w:val="18"/>
          <w:szCs w:val="18"/>
          <w:color w:val="auto"/>
        </w:rPr>
      </w:pPr>
    </w:p>
    <w:p>
      <w:pPr>
        <w:ind w:firstLine="1304"/>
        <w:spacing w:after="0" w:line="277" w:lineRule="auto"/>
        <w:tabs>
          <w:tab w:leader="none" w:pos="202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herein are inserted for convenience of reference only and are not intended to be part of, or to affect the meaning or interpretation of, this Agreement.</w:t>
      </w:r>
    </w:p>
    <w:p>
      <w:pPr>
        <w:spacing w:after="0" w:line="166" w:lineRule="exact"/>
        <w:rPr>
          <w:rFonts w:ascii="Arial" w:cs="Arial" w:eastAsia="Arial" w:hAnsi="Arial"/>
          <w:sz w:val="18"/>
          <w:szCs w:val="18"/>
          <w:color w:val="auto"/>
        </w:rPr>
      </w:pPr>
    </w:p>
    <w:p>
      <w:pPr>
        <w:ind w:firstLine="1304"/>
        <w:spacing w:after="0" w:line="282" w:lineRule="auto"/>
        <w:tabs>
          <w:tab w:leader="none" w:pos="211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shall be of the essence of this Agreement. As used herein, the term “</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when the Commission’s office in Washington, D.C. is open for business.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If the foregoing correctly sets forth your understanding, please so indicate in the space provided below for that purpose, whereupon this Agreement shall constitute a binding agreement among us.</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Wolff</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Bradley Wolff</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GUGGENHEIM SECURITIES,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Bliss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Jordan Bliss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Senior Managing Director</w:t>
            </w: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BARCLAYS CAPITAL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Parrot</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David Parrot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behalf of itself and the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60" w:type="dxa"/>
            <w:vAlign w:val="bottom"/>
            <w:gridSpan w:val="3"/>
          </w:tcPr>
          <w:p>
            <w:pPr>
              <w:jc w:val="right"/>
              <w:ind w:right="2180"/>
              <w:spacing w:after="0"/>
              <w:rPr>
                <w:sz w:val="20"/>
                <w:szCs w:val="20"/>
                <w:color w:val="auto"/>
              </w:rPr>
            </w:pPr>
            <w:r>
              <w:rPr>
                <w:rFonts w:ascii="Arial" w:cs="Arial" w:eastAsia="Arial" w:hAnsi="Arial"/>
                <w:sz w:val="18"/>
                <w:szCs w:val="18"/>
                <w:color w:val="auto"/>
              </w:rPr>
              <w:t>SCHEDULE I</w:t>
            </w:r>
          </w:p>
        </w:tc>
        <w:tc>
          <w:tcPr>
            <w:tcW w:w="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60" w:type="dxa"/>
            <w:vAlign w:val="bottom"/>
            <w:gridSpan w:val="3"/>
          </w:tcPr>
          <w:p>
            <w:pPr>
              <w:jc w:val="right"/>
              <w:ind w:right="2220"/>
              <w:spacing w:after="0"/>
              <w:rPr>
                <w:sz w:val="20"/>
                <w:szCs w:val="20"/>
                <w:color w:val="auto"/>
              </w:rPr>
            </w:pPr>
            <w:r>
              <w:rPr>
                <w:rFonts w:ascii="Arial" w:cs="Arial" w:eastAsia="Arial" w:hAnsi="Arial"/>
                <w:sz w:val="18"/>
                <w:szCs w:val="18"/>
                <w:color w:val="auto"/>
              </w:rPr>
              <w:t>Underwriters</w:t>
            </w: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40" w:type="dxa"/>
            <w:vAlign w:val="bottom"/>
            <w:gridSpan w:val="4"/>
          </w:tcPr>
          <w:p>
            <w:pPr>
              <w:jc w:val="center"/>
              <w:spacing w:after="0"/>
              <w:rPr>
                <w:sz w:val="20"/>
                <w:szCs w:val="20"/>
                <w:color w:val="auto"/>
              </w:rPr>
            </w:pPr>
            <w:r>
              <w:rPr>
                <w:rFonts w:ascii="Arial" w:cs="Arial" w:eastAsia="Arial" w:hAnsi="Arial"/>
                <w:sz w:val="18"/>
                <w:szCs w:val="18"/>
                <w:color w:val="auto"/>
                <w:w w:val="92"/>
              </w:rPr>
              <w:t>Number of Additional Shares to be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60" w:type="dxa"/>
            <w:vAlign w:val="bottom"/>
            <w:gridSpan w:val="3"/>
          </w:tcPr>
          <w:p>
            <w:pPr>
              <w:jc w:val="right"/>
              <w:ind w:right="780"/>
              <w:spacing w:after="0"/>
              <w:rPr>
                <w:sz w:val="20"/>
                <w:szCs w:val="20"/>
                <w:color w:val="auto"/>
              </w:rPr>
            </w:pPr>
            <w:r>
              <w:rPr>
                <w:rFonts w:ascii="Arial" w:cs="Arial" w:eastAsia="Arial" w:hAnsi="Arial"/>
                <w:sz w:val="18"/>
                <w:szCs w:val="18"/>
                <w:color w:val="auto"/>
              </w:rPr>
              <w:t>Number of Firm Shares</w:t>
            </w:r>
          </w:p>
        </w:tc>
        <w:tc>
          <w:tcPr>
            <w:tcW w:w="560" w:type="dxa"/>
            <w:vAlign w:val="bottom"/>
          </w:tcPr>
          <w:p>
            <w:pPr>
              <w:spacing w:after="0"/>
              <w:rPr>
                <w:sz w:val="18"/>
                <w:szCs w:val="18"/>
                <w:color w:val="auto"/>
              </w:rPr>
            </w:pPr>
          </w:p>
        </w:tc>
        <w:tc>
          <w:tcPr>
            <w:tcW w:w="238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Purchased if</w:t>
            </w:r>
          </w:p>
        </w:tc>
        <w:tc>
          <w:tcPr>
            <w:tcW w:w="0" w:type="dxa"/>
            <w:vAlign w:val="bottom"/>
          </w:tcPr>
          <w:p>
            <w:pPr>
              <w:spacing w:after="0"/>
              <w:rPr>
                <w:sz w:val="1"/>
                <w:szCs w:val="1"/>
                <w:color w:val="auto"/>
              </w:rPr>
            </w:pPr>
          </w:p>
        </w:tc>
      </w:tr>
      <w:tr>
        <w:trPr>
          <w:trHeight w:val="190"/>
        </w:trPr>
        <w:tc>
          <w:tcPr>
            <w:tcW w:w="3860" w:type="dxa"/>
            <w:vAlign w:val="bottom"/>
            <w:gridSpan w:val="2"/>
          </w:tcPr>
          <w:p>
            <w:pPr>
              <w:spacing w:after="0" w:line="190" w:lineRule="exact"/>
              <w:rPr>
                <w:sz w:val="20"/>
                <w:szCs w:val="20"/>
                <w:color w:val="auto"/>
              </w:rPr>
            </w:pPr>
            <w:r>
              <w:rPr>
                <w:rFonts w:ascii="Arial" w:cs="Arial" w:eastAsia="Arial" w:hAnsi="Arial"/>
                <w:sz w:val="18"/>
                <w:szCs w:val="18"/>
                <w:color w:val="auto"/>
              </w:rPr>
              <w:t>Underwriter</w:t>
            </w:r>
          </w:p>
        </w:tc>
        <w:tc>
          <w:tcPr>
            <w:tcW w:w="4460" w:type="dxa"/>
            <w:vAlign w:val="bottom"/>
            <w:gridSpan w:val="3"/>
          </w:tcPr>
          <w:p>
            <w:pPr>
              <w:jc w:val="right"/>
              <w:ind w:right="1060"/>
              <w:spacing w:after="0" w:line="190" w:lineRule="exact"/>
              <w:rPr>
                <w:sz w:val="20"/>
                <w:szCs w:val="20"/>
                <w:color w:val="auto"/>
              </w:rPr>
            </w:pPr>
            <w:r>
              <w:rPr>
                <w:rFonts w:ascii="Arial" w:cs="Arial" w:eastAsia="Arial" w:hAnsi="Arial"/>
                <w:sz w:val="18"/>
                <w:szCs w:val="18"/>
                <w:color w:val="auto"/>
              </w:rPr>
              <w:t>to be Purchased</w:t>
            </w:r>
          </w:p>
        </w:tc>
        <w:tc>
          <w:tcPr>
            <w:tcW w:w="560" w:type="dxa"/>
            <w:vAlign w:val="bottom"/>
          </w:tcPr>
          <w:p>
            <w:pPr>
              <w:spacing w:after="0"/>
              <w:rPr>
                <w:sz w:val="16"/>
                <w:szCs w:val="16"/>
                <w:color w:val="auto"/>
              </w:rPr>
            </w:pPr>
          </w:p>
        </w:tc>
        <w:tc>
          <w:tcPr>
            <w:tcW w:w="2380" w:type="dxa"/>
            <w:vAlign w:val="bottom"/>
            <w:gridSpan w:val="3"/>
          </w:tcPr>
          <w:p>
            <w:pPr>
              <w:jc w:val="center"/>
              <w:ind w:right="520"/>
              <w:spacing w:after="0" w:line="190" w:lineRule="exact"/>
              <w:rPr>
                <w:sz w:val="20"/>
                <w:szCs w:val="20"/>
                <w:color w:val="auto"/>
              </w:rPr>
            </w:pPr>
            <w:r>
              <w:rPr>
                <w:rFonts w:ascii="Arial" w:cs="Arial" w:eastAsia="Arial" w:hAnsi="Arial"/>
                <w:sz w:val="18"/>
                <w:szCs w:val="18"/>
                <w:color w:val="auto"/>
                <w:w w:val="93"/>
              </w:rPr>
              <w:t>Option is Fully Exercised</w:t>
            </w:r>
          </w:p>
        </w:tc>
        <w:tc>
          <w:tcPr>
            <w:tcW w:w="0" w:type="dxa"/>
            <w:vAlign w:val="bottom"/>
          </w:tcPr>
          <w:p>
            <w:pPr>
              <w:spacing w:after="0"/>
              <w:rPr>
                <w:sz w:val="1"/>
                <w:szCs w:val="1"/>
                <w:color w:val="auto"/>
              </w:rPr>
            </w:pPr>
          </w:p>
        </w:tc>
      </w:tr>
      <w:tr>
        <w:trPr>
          <w:trHeight w:val="236"/>
        </w:trPr>
        <w:tc>
          <w:tcPr>
            <w:tcW w:w="880" w:type="dxa"/>
            <w:vAlign w:val="bottom"/>
            <w:tcBorders>
              <w:top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1,305,660</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1,501,509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4460" w:type="dxa"/>
            <w:vAlign w:val="bottom"/>
            <w:gridSpan w:val="3"/>
          </w:tcPr>
          <w:p>
            <w:pPr>
              <w:jc w:val="right"/>
              <w:ind w:right="220"/>
              <w:spacing w:after="0"/>
              <w:rPr>
                <w:sz w:val="20"/>
                <w:szCs w:val="20"/>
                <w:color w:val="auto"/>
              </w:rPr>
            </w:pPr>
            <w:r>
              <w:rPr>
                <w:rFonts w:ascii="Arial" w:cs="Arial" w:eastAsia="Arial" w:hAnsi="Arial"/>
                <w:sz w:val="18"/>
                <w:szCs w:val="18"/>
                <w:color w:val="auto"/>
              </w:rPr>
              <w:t>979,245</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1,126,132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4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652,830</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750,754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Robert W. Baird &amp; Co. Incorporated</w:t>
            </w:r>
          </w:p>
        </w:tc>
        <w:tc>
          <w:tcPr>
            <w:tcW w:w="4460" w:type="dxa"/>
            <w:vAlign w:val="bottom"/>
            <w:gridSpan w:val="3"/>
          </w:tcPr>
          <w:p>
            <w:pPr>
              <w:jc w:val="right"/>
              <w:ind w:right="220"/>
              <w:spacing w:after="0"/>
              <w:rPr>
                <w:sz w:val="20"/>
                <w:szCs w:val="20"/>
                <w:color w:val="auto"/>
              </w:rPr>
            </w:pPr>
            <w:r>
              <w:rPr>
                <w:rFonts w:ascii="Arial" w:cs="Arial" w:eastAsia="Arial" w:hAnsi="Arial"/>
                <w:sz w:val="18"/>
                <w:szCs w:val="18"/>
                <w:color w:val="auto"/>
              </w:rPr>
              <w:t>130,566</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150,151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Riley FBR, Inc.</w:t>
            </w:r>
          </w:p>
        </w:tc>
        <w:tc>
          <w:tcPr>
            <w:tcW w:w="4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81,604</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H.C. Wainwright &amp; Co., LLC</w:t>
            </w:r>
          </w:p>
        </w:tc>
        <w:tc>
          <w:tcPr>
            <w:tcW w:w="4460" w:type="dxa"/>
            <w:vAlign w:val="bottom"/>
            <w:gridSpan w:val="3"/>
          </w:tcPr>
          <w:p>
            <w:pPr>
              <w:jc w:val="right"/>
              <w:ind w:right="220"/>
              <w:spacing w:after="0"/>
              <w:rPr>
                <w:sz w:val="20"/>
                <w:szCs w:val="20"/>
                <w:color w:val="auto"/>
              </w:rPr>
            </w:pPr>
            <w:r>
              <w:rPr>
                <w:rFonts w:ascii="Arial" w:cs="Arial" w:eastAsia="Arial" w:hAnsi="Arial"/>
                <w:sz w:val="18"/>
                <w:szCs w:val="18"/>
                <w:color w:val="auto"/>
              </w:rPr>
              <w:t>81,604</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93,844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4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32,642</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4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3,264,151</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3,753,773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6" w:right="339" w:bottom="1440" w:gutter="0" w:footer="0" w:header="0"/>
        </w:sectPr>
      </w:pPr>
    </w:p>
    <w:bookmarkStart w:id="41" w:name="page42"/>
    <w:bookmarkEnd w:id="41"/>
    <w:p>
      <w:pPr>
        <w:jc w:val="center"/>
        <w:ind w:right="-1100"/>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jc w:val="right"/>
        <w:ind w:right="1759"/>
        <w:spacing w:after="0"/>
        <w:rPr>
          <w:sz w:val="20"/>
          <w:szCs w:val="20"/>
          <w:color w:val="auto"/>
        </w:rPr>
      </w:pPr>
      <w:r>
        <w:rPr>
          <w:rFonts w:ascii="Arial" w:cs="Arial" w:eastAsia="Arial" w:hAnsi="Arial"/>
          <w:sz w:val="18"/>
          <w:szCs w:val="18"/>
          <w:color w:val="auto"/>
        </w:rPr>
        <w:t>Issuer Free Writing Prospectuses Included in the Pricing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06" w:right="1440" w:bottom="1440" w:gutter="0" w:footer="0" w:header="0"/>
        </w:sectPr>
      </w:pPr>
    </w:p>
    <w:bookmarkStart w:id="42" w:name="page43"/>
    <w:bookmarkEnd w:id="42"/>
    <w:p>
      <w:pPr>
        <w:jc w:val="center"/>
        <w:ind w:right="-1092"/>
        <w:spacing w:after="0"/>
        <w:rPr>
          <w:sz w:val="20"/>
          <w:szCs w:val="20"/>
          <w:color w:val="auto"/>
        </w:rPr>
      </w:pPr>
      <w:r>
        <w:rPr>
          <w:rFonts w:ascii="Arial" w:cs="Arial" w:eastAsia="Arial" w:hAnsi="Arial"/>
          <w:sz w:val="18"/>
          <w:szCs w:val="18"/>
          <w:color w:val="auto"/>
        </w:rPr>
        <w:t>SCHEDULE III</w:t>
      </w:r>
    </w:p>
    <w:p>
      <w:pPr>
        <w:spacing w:after="0" w:line="225" w:lineRule="exact"/>
        <w:rPr>
          <w:sz w:val="20"/>
          <w:szCs w:val="20"/>
          <w:color w:val="auto"/>
        </w:rPr>
      </w:pPr>
    </w:p>
    <w:p>
      <w:pPr>
        <w:ind w:left="4912"/>
        <w:spacing w:after="0"/>
        <w:rPr>
          <w:sz w:val="20"/>
          <w:szCs w:val="20"/>
          <w:color w:val="auto"/>
        </w:rPr>
      </w:pPr>
      <w:r>
        <w:rPr>
          <w:rFonts w:ascii="Arial" w:cs="Arial" w:eastAsia="Arial" w:hAnsi="Arial"/>
          <w:sz w:val="18"/>
          <w:szCs w:val="18"/>
          <w:color w:val="auto"/>
        </w:rPr>
        <w:t>Pricing Information</w:t>
      </w:r>
    </w:p>
    <w:p>
      <w:pPr>
        <w:spacing w:after="0" w:line="225" w:lineRule="exact"/>
        <w:rPr>
          <w:sz w:val="20"/>
          <w:szCs w:val="20"/>
          <w:color w:val="auto"/>
        </w:rPr>
      </w:pPr>
    </w:p>
    <w:p>
      <w:pPr>
        <w:ind w:left="652" w:hanging="652"/>
        <w:spacing w:after="0"/>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is selling 3,264,151 shares of Common Stock.</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has granted an option to the Underwriters to purchase up to an additional 489,622 shares of Common Stock.</w:t>
      </w:r>
    </w:p>
    <w:p>
      <w:pPr>
        <w:spacing w:after="0" w:line="248" w:lineRule="exact"/>
        <w:rPr>
          <w:rFonts w:ascii="Arial" w:cs="Arial" w:eastAsia="Arial" w:hAnsi="Arial"/>
          <w:sz w:val="16"/>
          <w:szCs w:val="16"/>
          <w:color w:val="auto"/>
        </w:rPr>
      </w:pPr>
    </w:p>
    <w:p>
      <w:pPr>
        <w:ind w:left="652" w:hanging="652"/>
        <w:spacing w:after="0"/>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public offering price per share of Common Stock shall be $53.00.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706" w:right="1440" w:bottom="1440" w:gutter="0" w:footer="0" w:header="0"/>
        </w:sectPr>
      </w:pPr>
    </w:p>
    <w:bookmarkStart w:id="43" w:name="page44"/>
    <w:bookmarkEnd w:id="43"/>
    <w:p>
      <w:pPr>
        <w:jc w:val="center"/>
        <w:ind w:right="-1120"/>
        <w:spacing w:after="0"/>
        <w:rPr>
          <w:sz w:val="20"/>
          <w:szCs w:val="20"/>
          <w:color w:val="auto"/>
        </w:rPr>
      </w:pPr>
      <w:r>
        <w:rPr>
          <w:rFonts w:ascii="Arial" w:cs="Arial" w:eastAsia="Arial" w:hAnsi="Arial"/>
          <w:sz w:val="18"/>
          <w:szCs w:val="18"/>
          <w:color w:val="auto"/>
        </w:rPr>
        <w:t>SCHEDULE IV</w:t>
      </w:r>
    </w:p>
    <w:p>
      <w:pPr>
        <w:spacing w:after="0" w:line="225"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Persons Executing Lock-Up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Joseph E. Payne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Padmanabh Chivukula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Sassine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Farrell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Karah Parschauer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Magda Marquet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Holmes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Ultragenyx Pharmaceutical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3" w:right="1440" w:bottom="1440" w:gutter="0" w:footer="0" w:header="0"/>
        </w:sectPr>
      </w:pPr>
    </w:p>
    <w:bookmarkStart w:id="44" w:name="page45"/>
    <w:bookmarkEnd w:id="44"/>
    <w:p>
      <w:pPr>
        <w:jc w:val="center"/>
        <w:ind w:right="-110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right"/>
        <w:ind w:right="3819"/>
        <w:spacing w:after="0"/>
        <w:rPr>
          <w:sz w:val="20"/>
          <w:szCs w:val="20"/>
          <w:color w:val="auto"/>
        </w:rPr>
      </w:pPr>
      <w:r>
        <w:rPr>
          <w:rFonts w:ascii="Arial" w:cs="Arial" w:eastAsia="Arial" w:hAnsi="Arial"/>
          <w:sz w:val="18"/>
          <w:szCs w:val="18"/>
          <w:color w:val="auto"/>
        </w:rPr>
        <w:t>List of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Alcobra,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06"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Opinion and Negative Assurance of Company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06"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EXHIBIT B-2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Form of Opinion of IP Counsel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06"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[__],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Guggenheim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Arcturus Therapeutics Holdings Inc.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letter agreement (this “Agreement”) relates to the proposed public offering (the “Offering”) by Arcturus Therapeutics Holdings Inc., a Delaware corporation (the “Company”), of its common stock, $0.001 par value (the “Stock”).</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induce you and the other underwriters for which you act as representatives (the “Underwriters”) to underwrite the Offering, the undersigned hereby agrees that, without the prior written consent of Citigroup Global Markets Inc. (“Citigroup”) and Guggenheim Securities, LLC (“Guggenheim”), during the period from the date hereof until 90 days from the date of the final prospectus supplement for the Offering (the “Lock-Up Period”), the undersigned (a) will not, directly or indirectly, offer, sell, agree to offer or sell, solicit offers to purchase, grant any call option or purchase any put option with respect to, pledge, borrow or otherwise dispose of, any Relevant Security (as defined below), and (b) will not establish or increase any “put equivalent position” or liquidate or decrease any “call equivalent position” with respect to any Relevant Security (in each case within the meaning of Section 16 of the Securities Exchange Act of 1934, as amended (the “Exchange Act”) and the rules and regulations promulgated thereunder), or otherwise enter into any swap, derivative or other transaction or arrangement that transfers to another, in whole or in part, any economic consequence of ownership of a Relevant Security, whether or not such transaction is to be settled by delivery of Relevant Securities, other securities, cash or other consideration. As used herein “Relevant Security” means the Stock, any other equity security of the Company and any security convertible into, or exercisable or exchangeable for, any Stock or other such equity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The restrictions in this Agreement shall not apply to:</w:t>
      </w:r>
    </w:p>
    <w:p>
      <w:pPr>
        <w:spacing w:after="0" w:line="225" w:lineRule="exact"/>
        <w:rPr>
          <w:sz w:val="20"/>
          <w:szCs w:val="20"/>
          <w:color w:val="auto"/>
        </w:rPr>
      </w:pPr>
    </w:p>
    <w:p>
      <w:pPr>
        <w:jc w:val="both"/>
        <w:ind w:firstLine="656"/>
        <w:spacing w:after="0" w:line="257" w:lineRule="auto"/>
        <w:tabs>
          <w:tab w:leader="none" w:pos="90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transfer of Relevant Securities (i) as a bona fide gift or gifts, (ii) by will, other testamentary document or intestate succession, (iii) to a Family Member (as defined below), (iv) to a trust for the direct or indirect benefit of the undersigned and/or one or more Family Members, (v) pursuant to a domestic order, divorce settlement, divorce decree, separation agreement or pursuant to an order of a court of competent jurisdiction enforcing such agreement, (vi) to a charitable trust, or (vii) to a corporation, limited liability company or partnership wholly owned by the undersigned and/or one or more Family Members; or</w:t>
      </w:r>
    </w:p>
    <w:p>
      <w:pPr>
        <w:spacing w:after="0" w:line="187" w:lineRule="exact"/>
        <w:rPr>
          <w:rFonts w:ascii="Arial" w:cs="Arial" w:eastAsia="Arial" w:hAnsi="Arial"/>
          <w:sz w:val="18"/>
          <w:szCs w:val="18"/>
          <w:color w:val="auto"/>
        </w:rPr>
      </w:pPr>
    </w:p>
    <w:p>
      <w:pPr>
        <w:jc w:val="both"/>
        <w:ind w:firstLine="656"/>
        <w:spacing w:after="0" w:line="255" w:lineRule="auto"/>
        <w:tabs>
          <w:tab w:leader="none" w:pos="94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transfer of Relevant Securities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Relevant Securities in connection with such transaction, or vote any Relevant Securities in favor of any transaction), provided that in the event that such tender offer, merger, consolidation or other such transaction is not completed, such securities held by the undersigned shall remain subject to the provisions of this letter agreement.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shall be a further condition to any transfer or distribution pursuant to the preceding clause (a): (i) that no public disclosure or filing by any party (donor, donee, transferor or transferee) under the Exchange Act, or other public announcement shall be required in connection with such transfer or distribution (other than a filing on Form 5 made after the expiration of the Lock-Up Period), and (ii) that (x) any such transfer shall not involve a disposition for value and (y) each resulting transferee or donee of Relevant Securities agrees in writing to be bound by the terms of this Agreement for the remainder of the Lock-Up Period.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this Agreement, the term “Family Member” shall mean any relationship by blood, domestic partnership, marriage or adoption not more remote than first cousin.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this Agreement shall not: (i) restrict the sale or other disposition of Relevant Securities that are acquired by the undersigned in the open market after the Offering is priced, provided that any such sale or other disposition fully complies with, and is not required to be disclosed or reported under, applicable law (including but not limited to Section 16 under the Exchange Act, and the rules and regulations promulgated thereunder) or (ii) apply to the establishment of a trading plan pursuant to Rule 10b5-1 under the Exchange Act, provided that no transfers occur under such plan during the Lock-Up Period and no public announcement or filing shall be required or voluntarily made by any person in connection therewith other than general disclosure in Company periodic reports to the effect that Company directors and officers may enter into such trading plans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9" w:name="page50"/>
    <w:bookmarkEnd w:id="49"/>
    <w:p>
      <w:pPr>
        <w:jc w:val="both"/>
        <w:ind w:firstLine="648"/>
        <w:spacing w:after="0" w:line="270" w:lineRule="auto"/>
        <w:rPr>
          <w:sz w:val="20"/>
          <w:szCs w:val="20"/>
          <w:color w:val="auto"/>
        </w:rPr>
      </w:pPr>
      <w:r>
        <w:rPr>
          <w:rFonts w:ascii="Arial" w:cs="Arial" w:eastAsia="Arial" w:hAnsi="Arial"/>
          <w:sz w:val="17"/>
          <w:szCs w:val="17"/>
          <w:color w:val="auto"/>
        </w:rPr>
        <w:t>The undersigned hereby authorizes the Company during the Lock-Up Period to cause any transfer agent for the Relevant Securities to decline to transfer, and to note stop transfer restrictions on the stock register and other records relating to, Relevant Securities for which the undersigned is the record holder and, in the case of Relevant Securities for which the undersigned is the beneficial but not the record holder, agrees during the Lock-Up Period to cause the record holder to cause the relevant transfer agent to decline to transfer, and to note stop transfer restrictions on the stock register and other records relating to, such Relevant Securities. The undersigned hereby further agrees that, without the prior written consent of Citigroup and Guggenheim, during the Lock-Up Period the undersigned (x) will not file or participate in the filing with the Securities and Exchange Commission of any registration statement, or circulate or participate in the circulation of any preliminary or final prospectus or prospectus supplement or other disclosure document with respect to any proposed offering or sale of a Relevant Security and (y) will not exercise any rights the undersigned may have to require registration with the Securities and Exchange Commission of any proposed offering or sale of a Relevant Security.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understood that, (i) if the Company notifies the Underwriters that it does not intend to proceed with the Offering, (ii) if the Underwriting Agreement does not become effective by August 21, 2020 or (iii) if the Underwriting Agreement (other than the provisions thereof which survive termination) shall terminate or be terminated prior to payment for and delivery of the Stock, the undersigned and any of its permitted transferees pursuant to the provisions of this Agreement will be released from its or their obligations under this Agreement.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understands that the Company and the Underwriters will proceed with the Offering in reliance on this Agreement. The undersigned further acknowledges and agrees that, although the Underwriters may provide certain Regulation Best Interest and Form CRS disclosures or other related documentation to you in connection with the Offering, the Underwriters are not making a recommendation to you to participate in the Offering or sell any Stock at the price determined in the Offering, and nothing set forth in such disclosures or documentation is intended to suggest that any Underwriter is making such a recommendation.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Upon request, the undersigned will execute any additional documents necessary in connection with enforcement hereof. Any obligations of the undersigned shall be binding upon the successors and assigns of the undersigned from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0" w:name="page51"/>
    <w:bookmarkEnd w:id="50"/>
    <w:p>
      <w:pPr>
        <w:ind w:firstLine="648"/>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Delivery of a signed copy of this Agreement by facsimile transmission shall be effective as delivery of the original hereof.</w:t>
      </w:r>
    </w:p>
    <w:p>
      <w:pPr>
        <w:spacing w:after="0" w:line="17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27514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1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27514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CFO Certificate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hereby made to the underwriting agreement, dated as of July [__], 2020 (the “Agreement”), by and among Arcturus Therapeutics Holdings Inc., a Delaware corporation (the “Company”), and Citigroup Global Markets Inc., Guggenheim Securities, LLC, and Barclays Capital Inc., acting as representatives of the several Underwriters in connection with the Offering (the “Underwriters”). Capitalized terms used herein and not otherwise defined shall have the meanings ascribed to them in the Agreement.</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To assist the Underwriters in conducting and documenting their investigation of the affairs of the Company, I, Andrew Sassine, solely in my capacity as Chief Financial Officer of the Company, do hereby certify that after reasonable inquiry and investigation by myself or members of my staff who are responsible for the Company’s financial and accounting matters:</w:t>
      </w:r>
    </w:p>
    <w:p>
      <w:pPr>
        <w:spacing w:after="0" w:line="184" w:lineRule="exact"/>
        <w:rPr>
          <w:sz w:val="20"/>
          <w:szCs w:val="20"/>
          <w:color w:val="auto"/>
        </w:rPr>
      </w:pPr>
    </w:p>
    <w:p>
      <w:pPr>
        <w:jc w:val="both"/>
        <w:ind w:firstLine="656"/>
        <w:spacing w:after="0" w:line="263" w:lineRule="auto"/>
        <w:tabs>
          <w:tab w:leader="none" w:pos="11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the principal financial officer of the Company, I am responsible for, among other things: (i) preparing financial statements and related disclosures for the Company in conformity with generally accepted accounting principles and (ii) maintaining internal control over financial reporting and the Company’s management information systems.</w:t>
      </w:r>
    </w:p>
    <w:p>
      <w:pPr>
        <w:spacing w:after="0" w:line="183" w:lineRule="exact"/>
        <w:rPr>
          <w:rFonts w:ascii="Arial" w:cs="Arial" w:eastAsia="Arial" w:hAnsi="Arial"/>
          <w:sz w:val="18"/>
          <w:szCs w:val="18"/>
          <w:color w:val="auto"/>
        </w:rPr>
      </w:pPr>
    </w:p>
    <w:p>
      <w:pPr>
        <w:ind w:left="1100" w:hanging="444"/>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am familiar with the accounting, operations, records systems and internal controls of the Company.</w:t>
      </w:r>
    </w:p>
    <w:p>
      <w:pPr>
        <w:spacing w:after="0" w:line="225" w:lineRule="exact"/>
        <w:rPr>
          <w:rFonts w:ascii="Arial" w:cs="Arial" w:eastAsia="Arial" w:hAnsi="Arial"/>
          <w:sz w:val="18"/>
          <w:szCs w:val="18"/>
          <w:color w:val="auto"/>
        </w:rPr>
      </w:pPr>
    </w:p>
    <w:p>
      <w:pPr>
        <w:ind w:firstLine="656"/>
        <w:spacing w:after="0" w:line="308" w:lineRule="auto"/>
        <w:tabs>
          <w:tab w:leader="none" w:pos="1269"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or members of my staff who are responsible for the Company’s financial and accounting matters, have reviewed the financial and operating data circled on the pages of the Prospectus and certain of the documents incorporated therein by reference attached hereto as Exhibit A.</w:t>
      </w:r>
    </w:p>
    <w:p>
      <w:pPr>
        <w:spacing w:after="0" w:line="146" w:lineRule="exact"/>
        <w:rPr>
          <w:rFonts w:ascii="Arial" w:cs="Arial" w:eastAsia="Arial" w:hAnsi="Arial"/>
          <w:sz w:val="17"/>
          <w:szCs w:val="17"/>
          <w:color w:val="auto"/>
        </w:rPr>
      </w:pPr>
    </w:p>
    <w:p>
      <w:pPr>
        <w:jc w:val="both"/>
        <w:ind w:firstLine="656"/>
        <w:spacing w:after="0" w:line="301" w:lineRule="auto"/>
        <w:tabs>
          <w:tab w:leader="none" w:pos="1105"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 regard to these amounts, I, or members of my staff who are responsible for the Company’s financial and accounting matters, compared such amounts to the corresponding amounts included in or derived from the Company’s internal accounting records or schedules prepared by management from such accounting records for the applicable periods and found them to be in agreement. These amounts are accurate in all material respects, and nothing has come to my attention that would cause me to believe that these amounts have been materially misstated or are materially misleading.</w:t>
      </w:r>
    </w:p>
    <w:p>
      <w:pPr>
        <w:sectPr>
          <w:pgSz w:w="11900" w:h="16838" w:orient="portrait"/>
          <w:cols w:equalWidth="0" w:num="1">
            <w:col w:w="11240"/>
          </w:cols>
          <w:pgMar w:left="320" w:top="706" w:right="339" w:bottom="1440" w:gutter="0" w:footer="0" w:header="0"/>
        </w:sectPr>
      </w:pPr>
    </w:p>
    <w:bookmarkStart w:id="52" w:name="page53"/>
    <w:bookmarkEnd w:id="52"/>
    <w:p>
      <w:pPr>
        <w:ind w:left="5620"/>
        <w:spacing w:after="0"/>
        <w:rPr>
          <w:sz w:val="20"/>
          <w:szCs w:val="20"/>
          <w:color w:val="auto"/>
        </w:rPr>
      </w:pPr>
      <w:r>
        <w:rPr>
          <w:rFonts w:ascii="Arial" w:cs="Arial" w:eastAsia="Arial" w:hAnsi="Arial"/>
          <w:sz w:val="13"/>
          <w:szCs w:val="13"/>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-82550</wp:posOffset>
            </wp:positionV>
            <wp:extent cx="874395"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74395" cy="257175"/>
                    </a:xfrm>
                    <a:prstGeom prst="rect">
                      <a:avLst/>
                    </a:prstGeom>
                    <a:noFill/>
                  </pic:spPr>
                </pic:pic>
              </a:graphicData>
            </a:graphic>
          </wp:anchor>
        </w:drawing>
      </w:r>
    </w:p>
    <w:p>
      <w:pPr>
        <w:ind w:left="5620"/>
        <w:spacing w:after="0" w:line="234" w:lineRule="auto"/>
        <w:rPr>
          <w:sz w:val="20"/>
          <w:szCs w:val="20"/>
          <w:color w:val="auto"/>
        </w:rPr>
      </w:pPr>
      <w:r>
        <w:rPr>
          <w:rFonts w:ascii="Arial" w:cs="Arial" w:eastAsia="Arial" w:hAnsi="Arial"/>
          <w:sz w:val="12"/>
          <w:szCs w:val="12"/>
          <w:color w:val="auto"/>
        </w:rPr>
        <w:t>1221 Avenue of the Americas</w:t>
      </w:r>
    </w:p>
    <w:p>
      <w:pPr>
        <w:ind w:left="5620"/>
        <w:spacing w:after="0"/>
        <w:rPr>
          <w:sz w:val="20"/>
          <w:szCs w:val="20"/>
          <w:color w:val="auto"/>
        </w:rPr>
      </w:pPr>
      <w:r>
        <w:rPr>
          <w:rFonts w:ascii="Arial" w:cs="Arial" w:eastAsia="Arial" w:hAnsi="Arial"/>
          <w:sz w:val="10"/>
          <w:szCs w:val="10"/>
          <w:color w:val="auto"/>
        </w:rPr>
        <w:t>New York, NY 10020-1089 USA</w:t>
      </w:r>
    </w:p>
    <w:p>
      <w:pPr>
        <w:spacing w:after="0" w:line="6" w:lineRule="exact"/>
        <w:rPr>
          <w:sz w:val="20"/>
          <w:szCs w:val="20"/>
          <w:color w:val="auto"/>
        </w:rPr>
      </w:pPr>
    </w:p>
    <w:p>
      <w:pPr>
        <w:ind w:left="5620"/>
        <w:spacing w:after="0"/>
        <w:tabs>
          <w:tab w:leader="none" w:pos="5900" w:val="left"/>
        </w:tabs>
        <w:rPr>
          <w:sz w:val="20"/>
          <w:szCs w:val="20"/>
          <w:color w:val="auto"/>
        </w:rPr>
      </w:pPr>
      <w:r>
        <w:rPr>
          <w:rFonts w:ascii="Arial" w:cs="Arial" w:eastAsia="Arial" w:hAnsi="Arial"/>
          <w:sz w:val="13"/>
          <w:szCs w:val="13"/>
          <w:color w:val="auto"/>
        </w:rPr>
        <w:t>T</w:t>
      </w:r>
      <w:r>
        <w:rPr>
          <w:sz w:val="20"/>
          <w:szCs w:val="20"/>
          <w:color w:val="auto"/>
        </w:rPr>
        <w:tab/>
      </w:r>
      <w:r>
        <w:rPr>
          <w:rFonts w:ascii="Arial" w:cs="Arial" w:eastAsia="Arial" w:hAnsi="Arial"/>
          <w:sz w:val="13"/>
          <w:szCs w:val="13"/>
          <w:color w:val="auto"/>
        </w:rPr>
        <w:t>+1 212 768 6700</w:t>
      </w:r>
    </w:p>
    <w:p>
      <w:pPr>
        <w:ind w:left="5620"/>
        <w:spacing w:after="0"/>
        <w:tabs>
          <w:tab w:leader="none" w:pos="5900" w:val="left"/>
        </w:tabs>
        <w:rPr>
          <w:sz w:val="20"/>
          <w:szCs w:val="20"/>
          <w:color w:val="auto"/>
        </w:rPr>
      </w:pPr>
      <w:r>
        <w:rPr>
          <w:rFonts w:ascii="Arial" w:cs="Arial" w:eastAsia="Arial" w:hAnsi="Arial"/>
          <w:sz w:val="13"/>
          <w:szCs w:val="13"/>
          <w:color w:val="auto"/>
        </w:rPr>
        <w:t>F</w:t>
      </w:r>
      <w:r>
        <w:rPr>
          <w:sz w:val="20"/>
          <w:szCs w:val="20"/>
          <w:color w:val="auto"/>
        </w:rPr>
        <w:tab/>
      </w:r>
      <w:r>
        <w:rPr>
          <w:rFonts w:ascii="Arial" w:cs="Arial" w:eastAsia="Arial" w:hAnsi="Arial"/>
          <w:sz w:val="13"/>
          <w:szCs w:val="13"/>
          <w:color w:val="auto"/>
        </w:rPr>
        <w:t>+1 212 768 6800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6E2D91"/>
        </w:rPr>
        <w:t>Salans FMC SNR Denton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dentons.com</w:t>
      </w:r>
    </w:p>
    <w:p>
      <w:pPr>
        <w:spacing w:after="0" w:line="605" w:lineRule="exact"/>
        <w:rPr>
          <w:sz w:val="20"/>
          <w:szCs w:val="20"/>
          <w:color w:val="auto"/>
        </w:rPr>
      </w:pPr>
    </w:p>
    <w:p>
      <w:pPr>
        <w:sectPr>
          <w:pgSz w:w="11900" w:h="16838" w:orient="portrait"/>
          <w:cols w:equalWidth="0" w:num="2">
            <w:col w:w="7720" w:space="720"/>
            <w:col w:w="2700"/>
          </w:cols>
          <w:pgMar w:left="320" w:top="364" w:right="439" w:bottom="144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Arcturus Therapeutics Holdings Inc.--Registration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80" w:firstLine="847"/>
        <w:spacing w:after="0" w:line="271" w:lineRule="auto"/>
        <w:rPr>
          <w:sz w:val="20"/>
          <w:szCs w:val="20"/>
          <w:color w:val="auto"/>
        </w:rPr>
      </w:pPr>
      <w:r>
        <w:rPr>
          <w:rFonts w:ascii="Arial" w:cs="Arial" w:eastAsia="Arial" w:hAnsi="Arial"/>
          <w:sz w:val="17"/>
          <w:szCs w:val="17"/>
          <w:color w:val="auto"/>
        </w:rPr>
        <w:t>In our capacity as counsel to Arcturus Therapeutics Holdings Inc., a corporation organized under the laws of the State of Delaware (the “</w:t>
      </w:r>
      <w:r>
        <w:rPr>
          <w:rFonts w:ascii="Arial" w:cs="Arial" w:eastAsia="Arial" w:hAnsi="Arial"/>
          <w:sz w:val="17"/>
          <w:szCs w:val="17"/>
          <w:u w:val="single" w:color="auto"/>
          <w:color w:val="auto"/>
        </w:rPr>
        <w:t>Company</w:t>
      </w:r>
      <w:r>
        <w:rPr>
          <w:rFonts w:ascii="Arial" w:cs="Arial" w:eastAsia="Arial" w:hAnsi="Arial"/>
          <w:sz w:val="17"/>
          <w:szCs w:val="17"/>
          <w:color w:val="auto"/>
        </w:rPr>
        <w:t>”), we have been asked to render this opinion in connection with a registration statement on Form S-3 (File No. 333-238139)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which Registration Statement the Company initially filed with the Securities and Exchange Commission (the “Commission”) on May 8, 2020 and which the Commission declared effective on May 21, 2020, as supplemented by the prospectus supplement filed pursuant to Rule 424(b)(5)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dated July 28, 2020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under which up to 3,753,773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Company common stock, par value $0.001 per share, are being sold by the Company pursuant to the Underwriting Agreement, dated July 28, 2020, between the Company and the underwriters named therein. The Shares include an option granted to the underwriters of the offering to purchase up to an additional 489,622 Shares.</w:t>
      </w:r>
    </w:p>
    <w:p>
      <w:pPr>
        <w:spacing w:after="0" w:line="178" w:lineRule="exact"/>
        <w:rPr>
          <w:sz w:val="20"/>
          <w:szCs w:val="20"/>
          <w:color w:val="auto"/>
        </w:rPr>
      </w:pPr>
    </w:p>
    <w:p>
      <w:pPr>
        <w:ind w:right="520" w:firstLine="847"/>
        <w:spacing w:after="0" w:line="277" w:lineRule="auto"/>
        <w:rPr>
          <w:sz w:val="20"/>
          <w:szCs w:val="20"/>
          <w:color w:val="auto"/>
        </w:rPr>
      </w:pPr>
      <w:r>
        <w:rPr>
          <w:rFonts w:ascii="Arial" w:cs="Arial" w:eastAsia="Arial" w:hAnsi="Arial"/>
          <w:sz w:val="18"/>
          <w:szCs w:val="18"/>
          <w:color w:val="auto"/>
        </w:rPr>
        <w:t>We are delivering this opinion to you at your request in accordance with the requirements of Item 16 of Form S-3 and Item 601(b)(5) of Regulation S-K under the Act.</w:t>
      </w:r>
    </w:p>
    <w:p>
      <w:pPr>
        <w:spacing w:after="0" w:line="170" w:lineRule="exact"/>
        <w:rPr>
          <w:sz w:val="20"/>
          <w:szCs w:val="20"/>
          <w:color w:val="auto"/>
        </w:rPr>
      </w:pPr>
    </w:p>
    <w:p>
      <w:pPr>
        <w:ind w:firstLine="847"/>
        <w:spacing w:after="0" w:line="257" w:lineRule="auto"/>
        <w:rPr>
          <w:sz w:val="20"/>
          <w:szCs w:val="20"/>
          <w:color w:val="auto"/>
        </w:rPr>
      </w:pPr>
      <w:r>
        <w:rPr>
          <w:rFonts w:ascii="Arial" w:cs="Arial" w:eastAsia="Arial" w:hAnsi="Arial"/>
          <w:sz w:val="18"/>
          <w:szCs w:val="18"/>
          <w:color w:val="auto"/>
        </w:rPr>
        <w:t>In connection with rendering this opinion, we have examined originals, certified copies or copies otherwise identified as being true copies of the following: (i) the Company’s articles of incorporation, as amended, (ii) the Company’s by-laws, as amended, (iii) the Registration Statement, including the prospectus contained therein (the “</w:t>
      </w:r>
      <w:r>
        <w:rPr>
          <w:rFonts w:ascii="Arial" w:cs="Arial" w:eastAsia="Arial" w:hAnsi="Arial"/>
          <w:sz w:val="18"/>
          <w:szCs w:val="18"/>
          <w:u w:val="single" w:color="auto"/>
          <w:color w:val="auto"/>
        </w:rPr>
        <w:t>Base Prospectus</w:t>
      </w:r>
      <w:r>
        <w:rPr>
          <w:rFonts w:ascii="Arial" w:cs="Arial" w:eastAsia="Arial" w:hAnsi="Arial"/>
          <w:sz w:val="18"/>
          <w:szCs w:val="18"/>
          <w:color w:val="auto"/>
        </w:rPr>
        <w:t>”), (iv) the Prospectus Supplement (the Base Prospectus and the Prospectus Supplement are collectively referred to herein as the “</w:t>
      </w:r>
      <w:r>
        <w:rPr>
          <w:rFonts w:ascii="Arial" w:cs="Arial" w:eastAsia="Arial" w:hAnsi="Arial"/>
          <w:sz w:val="18"/>
          <w:szCs w:val="18"/>
          <w:u w:val="single" w:color="auto"/>
          <w:color w:val="auto"/>
        </w:rPr>
        <w:t>Prospectus</w:t>
      </w:r>
      <w:r>
        <w:rPr>
          <w:rFonts w:ascii="Arial" w:cs="Arial" w:eastAsia="Arial" w:hAnsi="Arial"/>
          <w:sz w:val="18"/>
          <w:szCs w:val="18"/>
          <w:color w:val="auto"/>
        </w:rPr>
        <w:t>”), (v) corporate proceedings of the Company relating to the Shares and (vi) such other instruments and documents as we have deemed relevant under the circumstances.</w:t>
      </w:r>
    </w:p>
    <w:p>
      <w:pPr>
        <w:spacing w:after="0" w:line="188" w:lineRule="exact"/>
        <w:rPr>
          <w:sz w:val="20"/>
          <w:szCs w:val="20"/>
          <w:color w:val="auto"/>
        </w:rPr>
      </w:pPr>
    </w:p>
    <w:p>
      <w:pPr>
        <w:ind w:right="120" w:firstLine="847"/>
        <w:spacing w:after="0" w:line="277" w:lineRule="auto"/>
        <w:rPr>
          <w:sz w:val="20"/>
          <w:szCs w:val="20"/>
          <w:color w:val="auto"/>
        </w:rPr>
      </w:pPr>
      <w:r>
        <w:rPr>
          <w:rFonts w:ascii="Arial" w:cs="Arial" w:eastAsia="Arial" w:hAnsi="Arial"/>
          <w:sz w:val="18"/>
          <w:szCs w:val="18"/>
          <w:color w:val="auto"/>
        </w:rPr>
        <w:t>In making the aforesaid examinations, we have assumed the genuineness and authenticity of all documents examined by us and all signatures thereon, and the conformity to originals of all copies of all documents examined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type w:val="continuous"/>
        </w:sectPr>
      </w:pPr>
    </w:p>
    <w:bookmarkStart w:id="53" w:name="page54"/>
    <w:bookmarkEnd w:id="53"/>
    <w:p>
      <w:pPr>
        <w:spacing w:after="0" w:line="4"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-107315</wp:posOffset>
            </wp:positionV>
            <wp:extent cx="874395"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74395" cy="257175"/>
                    </a:xfrm>
                    <a:prstGeom prst="rect">
                      <a:avLst/>
                    </a:prstGeom>
                    <a:noFill/>
                  </pic:spPr>
                </pic:pic>
              </a:graphicData>
            </a:graphic>
          </wp:anchor>
        </w:drawing>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6E2D91"/>
        </w:rPr>
        <w:t>Salans FMC SNR Denton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dentons.com</w:t>
      </w:r>
    </w:p>
    <w:p>
      <w:pPr>
        <w:spacing w:after="0" w:line="342" w:lineRule="exact"/>
        <w:rPr>
          <w:sz w:val="20"/>
          <w:szCs w:val="20"/>
          <w:color w:val="auto"/>
        </w:rPr>
      </w:pPr>
    </w:p>
    <w:p>
      <w:pPr>
        <w:sectPr>
          <w:pgSz w:w="11900" w:h="16838" w:orient="portrait"/>
          <w:cols w:equalWidth="0" w:num="2">
            <w:col w:w="7720" w:space="720"/>
            <w:col w:w="2760"/>
          </w:cols>
          <w:pgMar w:left="320" w:top="702" w:right="379" w:bottom="1440" w:gutter="0" w:footer="0" w:header="0"/>
        </w:sectPr>
      </w:pPr>
    </w:p>
    <w:p>
      <w:pPr>
        <w:spacing w:after="0" w:line="92" w:lineRule="exact"/>
        <w:rPr>
          <w:sz w:val="20"/>
          <w:szCs w:val="20"/>
          <w:color w:val="auto"/>
        </w:rPr>
      </w:pPr>
    </w:p>
    <w:p>
      <w:pPr>
        <w:ind w:firstLine="847"/>
        <w:spacing w:after="0" w:line="263" w:lineRule="auto"/>
        <w:rPr>
          <w:sz w:val="20"/>
          <w:szCs w:val="20"/>
          <w:color w:val="auto"/>
        </w:rPr>
      </w:pPr>
      <w:r>
        <w:rPr>
          <w:rFonts w:ascii="Arial" w:cs="Arial" w:eastAsia="Arial" w:hAnsi="Arial"/>
          <w:sz w:val="18"/>
          <w:szCs w:val="18"/>
          <w:color w:val="auto"/>
        </w:rPr>
        <w:t>Based on the foregoing, and in reliance thereon, and subject to the qualifications, limitations and exceptions stated herein, we are of the opinion that the Shares have been duly authorized and, when issued and delivered by the Company against due payment therefor in accordance with the terms set forth in the Registration Statement and the Prospectus, will be validly issued, fully paid and non-assessable.</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foregoing opinion is limited to the laws of the State of Delaware (excluding local laws) and the federal law of the United States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211" w:lineRule="exact"/>
        <w:rPr>
          <w:sz w:val="20"/>
          <w:szCs w:val="20"/>
          <w:color w:val="auto"/>
        </w:rPr>
      </w:pPr>
    </w:p>
    <w:p>
      <w:pPr>
        <w:ind w:right="20" w:firstLine="847"/>
        <w:spacing w:after="0" w:line="259" w:lineRule="auto"/>
        <w:rPr>
          <w:sz w:val="20"/>
          <w:szCs w:val="20"/>
          <w:color w:val="auto"/>
        </w:rPr>
      </w:pPr>
      <w:r>
        <w:rPr>
          <w:rFonts w:ascii="Arial" w:cs="Arial" w:eastAsia="Arial" w:hAnsi="Arial"/>
          <w:sz w:val="18"/>
          <w:szCs w:val="18"/>
          <w:color w:val="auto"/>
        </w:rPr>
        <w:t>We hereby consent to the use of our opinion as Exhibit 5.1 to the Registration Statement and to the reference to this firm and this opinion under the heading “Legal Matters” in the Prospectus comprising a part of the Registration Statement and any amendment thereto. In giving such consent, we do not hereby admit that we come within the category of persons whose consent is required under Section 7 of the Act, or the rules and regulations of the Commission thereunder.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Dentons US LLP</w:t>
      </w:r>
    </w:p>
    <w:p>
      <w:pPr>
        <w:sectPr>
          <w:pgSz w:w="11900" w:h="16838" w:orient="portrait"/>
          <w:cols w:equalWidth="0" w:num="1">
            <w:col w:w="11200"/>
          </w:cols>
          <w:pgMar w:left="320" w:top="702" w:right="37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Arcturus Therapeutics Announces Pricing of $173.0 Million Public Offering of Common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SAN DIEGO, July 29, 2020 (GLOBE NEWSWIRE) -- Arcturus Therapeutics Holdings Inc. (the “Company”, NASDAQ: ARCT), a leading clinical-stage messenger RNA medicines company focused on the development of infectious disease vaccines and significant opportunities within liver and respiratory rare diseases, today announced the pricing of an underwritten public offering of 3,264,151 shares of its common stock at a public offering price of $53.00 per share. The gross proceeds of the offering to the Company are expected to be approximately $173.0 million, before deducting the underwriting discounts and commissions and other estimated offering expenses. In addition, the Company granted the underwriters a thirty-day option to purchase up to an additional 489,622 shares of common stock at the public offering price, less underwriting discounts and commissions.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offering is expected to occur on or about July 31, 2020, subject to the satisfaction of customary closing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Citigroup, Guggenheim Securities and Barclays are acting as joint book-running managers for the offering. Baird, B. Riley FBR and H.C. Wainwright &amp; Co. are acting as co-lead managers for the offering. Ladenburg Thalmann is acting as co-manager for the offering.</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intends to use the net proceeds of the offering to develop, test and manufacture the Company’s LUNAR-COV19 vaccine candidate and to continue clinical development of LUNAR-OTC; to advance the Company’s LUNAR-CF, LUNAR-CV and LUNAR-FLU preclinical programs into clinical development; to fund early research and development of novel and proprietary RNA medicines; and for general corporate and working capital purposes.</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securities described above are being offered by the Company pursuant to an effective shelf registration statement on Form S-3 (File No. 333-238139) previously filed with the Securities and Exchange Commission (“SEC”) on May 8, 2020 and declared effective by the SEC on May 21, 2020.</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preliminary prospectus supplement relating to the offering was filed with the SEC on July 28, 2020 and is available on the SEC’s website at http://www.sec.gov. The final prospectus supplement relating to and describing the terms of the offering will be filed with the SEC and also will be available on the SEC’s website. Before investing in the offering, you should read each of the prospectus supplement and the accompanying prospectus relating to the offering in their entirety as well as the other documents that the Company has filed with the SEC that are incorporated by reference in the prospectus supplement and the accompanying prospectus relating to the offering, which provide more information about the Company and the offering. Copies of the final prospectus supplement and accompanying prospectus relating to the offering may be obtained, when available, from Citigroup Global Markets Inc., Attention: Prospectus Department, c/o Broadridge Financial Solutions, 1155 Long Island Avenue, Edgewood, New York 11717, or by telephone at (800) 831-9146; Guggenheim Securities, LLC, Attention: Equity Syndicate Department, 330 Madison Avenue, New York, NY 10017, by telephone at (212) 518-5548, or by email at GSEquityProspectusDelivery@guggenheimpartners.com; or Barclays Capital Inc., c/o Broadridge Financial Solutions, 1155 Long Island Avenue, Edgewood, NY 11717, Barclaysprospectus@broadridge.com, telephone: (888) 603-5847.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Founded in 2013 and based in San Diego, California, Arcturus Therapeutics Holdings Inc. (Nasdaq: ARCT) is a clinical-stage mRNA medicines and vaccines company with enabling technologies: (i) LUNAR® lipid-mediated delivery, (ii) STARR™ mRNA Technology and (iii) mRNA drug substance along with drug product manufacturing expertise. Arcturus’ diverse pipeline of RNA therapeutic candidates includes programs to potentially treat Ornithine Transcarbamylase (OTC) Deficiency, Cystic Fibrosis, Glycogen Storage Disease Type 3, Hepatitis B, non-alcoholic steatohepatitis (NASH) and a self-replicating mRNA vaccine for SARS-CoV-2.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(192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and the Cystic Fibrosis Foundation. For more information visit </w:t>
      </w:r>
      <w:r>
        <w:rPr>
          <w:rFonts w:ascii="Arial" w:cs="Arial" w:eastAsia="Arial" w:hAnsi="Arial"/>
          <w:sz w:val="17"/>
          <w:szCs w:val="17"/>
          <w:color w:val="0000FF"/>
        </w:rPr>
        <w:t>www.ArcturusRx.com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including those regarding the Company’s expected performance, development of any specific novel mRNA therapeutics, satisfaction of the customary closing conditions to the offering, delays in obtaining required stock exchange or other regulatory approvals, stock price volatility, the impact of general business and economic conditions, the expected gross proceeds from the offering and the intended use of proceeds of the offering,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sectPr>
      <w:pgSz w:w="11900" w:h="16838" w:orient="portrait"/>
      <w:cols w:equalWidth="0" w:num="1">
        <w:col w:w="11240"/>
      </w:cols>
      <w:pgMar w:left="320" w:top="7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
    </w:lvl>
    <w:lvl w:ilvl="1">
      <w:lvlJc w:val="left"/>
      <w:lvlText w:val="(%2)"/>
      <w:numFmt w:val="lowerLetter"/>
      <w:start w:val="1"/>
    </w:lvl>
  </w:abstractNum>
  <w:abstractNum w:abstractNumId="2">
    <w:nsid w:val="71F32454"/>
    <w:multiLevelType w:val="hybridMultilevel"/>
    <w:lvl w:ilvl="0">
      <w:lvlJc w:val="left"/>
      <w:lvlText w:val="(%1)"/>
      <w:numFmt w:val="lowerLetter"/>
      <w:start w:val="2"/>
    </w:lvl>
  </w:abstractNum>
  <w:abstractNum w:abstractNumId="3">
    <w:nsid w:val="2CA88611"/>
    <w:multiLevelType w:val="hybridMultilevel"/>
    <w:lvl w:ilvl="0">
      <w:lvlJc w:val="left"/>
      <w:lvlText w:val="(%1)"/>
      <w:numFmt w:val="lowerLetter"/>
      <w:start w:val="3"/>
    </w:lvl>
  </w:abstractNum>
  <w:abstractNum w:abstractNumId="4">
    <w:nsid w:val="836C40E"/>
    <w:multiLevelType w:val="hybridMultilevel"/>
    <w:lvl w:ilvl="0">
      <w:lvlJc w:val="left"/>
      <w:lvlText w:val="(%1)"/>
      <w:numFmt w:val="lowerLetter"/>
      <w:start w:val="6"/>
    </w:lvl>
  </w:abstractNum>
  <w:abstractNum w:abstractNumId="5">
    <w:nsid w:val="2901D82"/>
    <w:multiLevelType w:val="hybridMultilevel"/>
    <w:lvl w:ilvl="0">
      <w:lvlJc w:val="left"/>
      <w:lvlText w:val="(%1)"/>
      <w:numFmt w:val="lowerLetter"/>
      <w:start w:val="9"/>
    </w:lvl>
  </w:abstractNum>
  <w:abstractNum w:abstractNumId="6">
    <w:nsid w:val="3A95F874"/>
    <w:multiLevelType w:val="hybridMultilevel"/>
    <w:lvl w:ilvl="0">
      <w:lvlJc w:val="left"/>
      <w:lvlText w:val="(%1)"/>
      <w:numFmt w:val="lowerLetter"/>
      <w:start w:val="11"/>
    </w:lvl>
  </w:abstractNum>
  <w:abstractNum w:abstractNumId="7">
    <w:nsid w:val="8138641"/>
    <w:multiLevelType w:val="hybridMultilevel"/>
    <w:lvl w:ilvl="0">
      <w:lvlJc w:val="left"/>
      <w:lvlText w:val="(%1)"/>
      <w:numFmt w:val="lowerLetter"/>
      <w:start w:val="15"/>
    </w:lvl>
  </w:abstractNum>
  <w:abstractNum w:abstractNumId="8">
    <w:nsid w:val="1E7FF521"/>
    <w:multiLevelType w:val="hybridMultilevel"/>
    <w:lvl w:ilvl="0">
      <w:lvlJc w:val="left"/>
      <w:lvlText w:val="(%1)"/>
      <w:numFmt w:val="lowerLetter"/>
      <w:start w:val="18"/>
    </w:lvl>
  </w:abstractNum>
  <w:abstractNum w:abstractNumId="9">
    <w:nsid w:val="7C3DBD3D"/>
    <w:multiLevelType w:val="hybridMultilevel"/>
    <w:lvl w:ilvl="0">
      <w:lvlJc w:val="left"/>
      <w:lvlText w:val="(%1)"/>
      <w:numFmt w:val="lowerLetter"/>
      <w:start w:val="24"/>
    </w:lvl>
  </w:abstractNum>
  <w:abstractNum w:abstractNumId="10">
    <w:nsid w:val="737B8DDC"/>
    <w:multiLevelType w:val="hybridMultilevel"/>
    <w:lvl w:ilvl="0">
      <w:lvlJc w:val="left"/>
      <w:lvlText w:val="(%1)"/>
      <w:numFmt w:val="lowerLetter"/>
      <w:start w:val="27"/>
    </w:lvl>
  </w:abstractNum>
  <w:abstractNum w:abstractNumId="11">
    <w:nsid w:val="6CEAF087"/>
    <w:multiLevelType w:val="hybridMultilevel"/>
    <w:lvl w:ilvl="0">
      <w:lvlJc w:val="left"/>
      <w:lvlText w:val="(%1)"/>
      <w:numFmt w:val="lowerLetter"/>
      <w:start w:val="30"/>
    </w:lvl>
  </w:abstractNum>
  <w:abstractNum w:abstractNumId="12">
    <w:nsid w:val="22221A70"/>
    <w:multiLevelType w:val="hybridMultilevel"/>
    <w:lvl w:ilvl="0">
      <w:lvlJc w:val="left"/>
      <w:lvlText w:val="(%1)"/>
      <w:numFmt w:val="lowerLetter"/>
      <w:start w:val="34"/>
    </w:lvl>
  </w:abstractNum>
  <w:abstractNum w:abstractNumId="13">
    <w:nsid w:val="4516DDE9"/>
    <w:multiLevelType w:val="hybridMultilevel"/>
    <w:lvl w:ilvl="0">
      <w:lvlJc w:val="left"/>
      <w:lvlText w:val="(%1)"/>
      <w:numFmt w:val="lowerLetter"/>
      <w:start w:val="35"/>
    </w:lvl>
  </w:abstractNum>
  <w:abstractNum w:abstractNumId="14">
    <w:nsid w:val="3006C83E"/>
    <w:multiLevelType w:val="hybridMultilevel"/>
    <w:lvl w:ilvl="0">
      <w:lvlJc w:val="left"/>
      <w:lvlText w:val="(%1)"/>
      <w:numFmt w:val="lowerLetter"/>
      <w:start w:val="38"/>
    </w:lvl>
  </w:abstractNum>
  <w:abstractNum w:abstractNumId="15">
    <w:nsid w:val="614FD4A1"/>
    <w:multiLevelType w:val="hybridMultilevel"/>
    <w:lvl w:ilvl="0">
      <w:lvlJc w:val="left"/>
      <w:lvlText w:val="(%1)"/>
      <w:numFmt w:val="lowerLetter"/>
      <w:start w:val="42"/>
    </w:lvl>
  </w:abstractNum>
  <w:abstractNum w:abstractNumId="16">
    <w:nsid w:val="419AC241"/>
    <w:multiLevelType w:val="hybridMultilevel"/>
    <w:lvl w:ilvl="0">
      <w:lvlJc w:val="left"/>
      <w:lvlText w:val="(%1)"/>
      <w:numFmt w:val="lowerLetter"/>
      <w:start w:val="44"/>
    </w:lvl>
  </w:abstractNum>
  <w:abstractNum w:abstractNumId="17">
    <w:nsid w:val="5577F8E1"/>
    <w:multiLevelType w:val="hybridMultilevel"/>
    <w:lvl w:ilvl="0">
      <w:lvlJc w:val="left"/>
      <w:lvlText w:val="(%1)"/>
      <w:numFmt w:val="lowerLetter"/>
      <w:start w:val="45"/>
    </w:lvl>
  </w:abstractNum>
  <w:abstractNum w:abstractNumId="18">
    <w:nsid w:val="440BADFC"/>
    <w:multiLevelType w:val="hybridMultilevel"/>
    <w:lvl w:ilvl="0">
      <w:lvlJc w:val="left"/>
      <w:lvlText w:val="(%1)"/>
      <w:numFmt w:val="lowerLetter"/>
      <w:start w:val="47"/>
    </w:lvl>
  </w:abstractNum>
  <w:abstractNum w:abstractNumId="19">
    <w:nsid w:val="5072367"/>
    <w:multiLevelType w:val="hybridMultilevel"/>
    <w:lvl w:ilvl="0">
      <w:lvlJc w:val="left"/>
      <w:lvlText w:val="%1"/>
      <w:numFmt w:val="lowerLetter"/>
      <w:start w:val="1"/>
    </w:lvl>
    <w:lvl w:ilvl="1">
      <w:lvlJc w:val="left"/>
      <w:lvlText w:val="(%2)"/>
      <w:numFmt w:val="lowerLetter"/>
      <w:start w:val="50"/>
    </w:lvl>
  </w:abstractNum>
  <w:abstractNum w:abstractNumId="20">
    <w:nsid w:val="3804823E"/>
    <w:multiLevelType w:val="hybridMultilevel"/>
    <w:lvl w:ilvl="0">
      <w:lvlJc w:val="left"/>
      <w:lvlText w:val="(%1)"/>
      <w:numFmt w:val="lowerLetter"/>
      <w:start w:val="9"/>
    </w:lvl>
    <w:lvl w:ilvl="1">
      <w:lvlJc w:val="left"/>
      <w:lvlText w:val="%2"/>
      <w:numFmt w:val="lowerLetter"/>
      <w:start w:val="1"/>
    </w:lvl>
  </w:abstractNum>
  <w:abstractNum w:abstractNumId="21">
    <w:nsid w:val="77465F01"/>
    <w:multiLevelType w:val="hybridMultilevel"/>
    <w:lvl w:ilvl="0">
      <w:lvlJc w:val="left"/>
      <w:lvlText w:val="%1."/>
      <w:numFmt w:val="decimal"/>
      <w:start w:val="2"/>
    </w:lvl>
    <w:lvl w:ilvl="1">
      <w:lvlJc w:val="left"/>
      <w:lvlText w:val="(%2)"/>
      <w:numFmt w:val="lowerLetter"/>
      <w:start w:val="1"/>
    </w:lvl>
  </w:abstractNum>
  <w:abstractNum w:abstractNumId="22">
    <w:nsid w:val="7724C67E"/>
    <w:multiLevelType w:val="hybridMultilevel"/>
    <w:lvl w:ilvl="0">
      <w:lvlJc w:val="left"/>
      <w:lvlText w:val="(%1)"/>
      <w:numFmt w:val="lowerLetter"/>
      <w:start w:val="2"/>
    </w:lvl>
  </w:abstractNum>
  <w:abstractNum w:abstractNumId="23">
    <w:nsid w:val="5C482A97"/>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4">
    <w:nsid w:val="2463B9E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5">
    <w:nsid w:val="5E884AD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26">
    <w:nsid w:val="51EAD36B"/>
    <w:multiLevelType w:val="hybridMultilevel"/>
    <w:lvl w:ilvl="0">
      <w:lvlJc w:val="left"/>
      <w:lvlText w:val="(%1)"/>
      <w:numFmt w:val="lowerLetter"/>
      <w:start w:val="3"/>
    </w:lvl>
  </w:abstractNum>
  <w:abstractNum w:abstractNumId="27">
    <w:nsid w:val="2D517796"/>
    <w:multiLevelType w:val="hybridMultilevel"/>
    <w:lvl w:ilvl="0">
      <w:lvlJc w:val="left"/>
      <w:lvlText w:val="(%1)"/>
      <w:numFmt w:val="lowerLetter"/>
      <w:start w:val="7"/>
    </w:lvl>
  </w:abstractNum>
  <w:abstractNum w:abstractNumId="28">
    <w:nsid w:val="580BD78F"/>
    <w:multiLevelType w:val="hybridMultilevel"/>
    <w:lvl w:ilvl="0">
      <w:lvlJc w:val="left"/>
      <w:lvlText w:val="(%1)"/>
      <w:numFmt w:val="lowerLetter"/>
      <w:start w:val="9"/>
    </w:lvl>
  </w:abstractNum>
  <w:abstractNum w:abstractNumId="29">
    <w:nsid w:val="153EA438"/>
    <w:multiLevelType w:val="hybridMultilevel"/>
    <w:lvl w:ilvl="0">
      <w:lvlJc w:val="left"/>
      <w:lvlText w:val="%1."/>
      <w:numFmt w:val="decimal"/>
      <w:start w:val="5"/>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6"/>
    </w:lvl>
  </w:abstractNum>
  <w:abstractNum w:abstractNumId="32">
    <w:nsid w:val="6A2342EC"/>
    <w:multiLevelType w:val="hybridMultilevel"/>
    <w:lvl w:ilvl="0">
      <w:lvlJc w:val="left"/>
      <w:lvlText w:val="(%1)"/>
      <w:numFmt w:val="lowerLetter"/>
      <w:start w:val="12"/>
    </w:lvl>
  </w:abstractNum>
  <w:abstractNum w:abstractNumId="33">
    <w:nsid w:val="2A487CB0"/>
    <w:multiLevelType w:val="hybridMultilevel"/>
    <w:lvl w:ilvl="0">
      <w:lvlJc w:val="left"/>
      <w:lvlText w:val="%1."/>
      <w:numFmt w:val="decimal"/>
      <w:start w:val="8"/>
    </w:lvl>
    <w:lvl w:ilvl="1">
      <w:lvlJc w:val="left"/>
      <w:lvlText w:val="(%2)"/>
      <w:numFmt w:val="lowerLetter"/>
      <w:start w:val="1"/>
    </w:lvl>
  </w:abstractNum>
  <w:abstractNum w:abstractNumId="34">
    <w:nsid w:val="1D4ED43B"/>
    <w:multiLevelType w:val="hybridMultilevel"/>
    <w:lvl w:ilvl="0">
      <w:lvlJc w:val="left"/>
      <w:lvlText w:val="(%1)"/>
      <w:numFmt w:val="lowerLetter"/>
      <w:start w:val="2"/>
    </w:lvl>
  </w:abstractNum>
  <w:abstractNum w:abstractNumId="35">
    <w:nsid w:val="725A06FB"/>
    <w:multiLevelType w:val="hybridMultilevel"/>
    <w:lvl w:ilvl="0">
      <w:lvlJc w:val="left"/>
      <w:lvlText w:val="%1."/>
      <w:numFmt w:val="decimal"/>
      <w:start w:val="9"/>
    </w:lvl>
  </w:abstractNum>
  <w:abstractNum w:abstractNumId="36">
    <w:nsid w:val="2CD89A32"/>
    <w:multiLevelType w:val="hybridMultilevel"/>
    <w:lvl w:ilvl="0">
      <w:lvlJc w:val="left"/>
      <w:lvlText w:val="%1."/>
      <w:numFmt w:val="decimal"/>
      <w:start w:val="10"/>
    </w:lvl>
    <w:lvl w:ilvl="1">
      <w:lvlJc w:val="left"/>
      <w:lvlText w:val="(%2)"/>
      <w:numFmt w:val="lowerLetter"/>
      <w:start w:val="1"/>
    </w:lvl>
  </w:abstractNum>
  <w:abstractNum w:abstractNumId="37">
    <w:nsid w:val="57E4CCAF"/>
    <w:multiLevelType w:val="hybridMultilevel"/>
    <w:lvl w:ilvl="0">
      <w:lvlJc w:val="left"/>
      <w:lvlText w:val="%1"/>
      <w:numFmt w:val="decimal"/>
      <w:start w:val="1"/>
    </w:lvl>
    <w:lvl w:ilvl="1">
      <w:lvlJc w:val="left"/>
      <w:lvlText w:val="(%2)"/>
      <w:numFmt w:val="lowerLetter"/>
      <w:start w:val="3"/>
    </w:lvl>
  </w:abstractNum>
  <w:abstractNum w:abstractNumId="38">
    <w:nsid w:val="7A6D8D3C"/>
    <w:multiLevelType w:val="hybridMultilevel"/>
    <w:lvl w:ilvl="0">
      <w:lvlJc w:val="left"/>
      <w:lvlText w:val="%1."/>
      <w:numFmt w:val="decimal"/>
      <w:start w:val="11"/>
    </w:lvl>
    <w:lvl w:ilvl="1">
      <w:lvlJc w:val="left"/>
      <w:lvlText w:val="%2"/>
      <w:numFmt w:val="lowerLetter"/>
      <w:start w:val="1"/>
    </w:lvl>
  </w:abstractNum>
  <w:abstractNum w:abstractNumId="39">
    <w:nsid w:val="4B588F54"/>
    <w:multiLevelType w:val="hybridMultilevel"/>
    <w:lvl w:ilvl="0">
      <w:lvlJc w:val="left"/>
      <w:lvlText w:val="%1."/>
      <w:numFmt w:val="decimal"/>
      <w:start w:val="12"/>
    </w:lvl>
    <w:lvl w:ilvl="1">
      <w:lvlJc w:val="left"/>
      <w:lvlText w:val="(%2)"/>
      <w:numFmt w:val="lowerLetter"/>
      <w:start w:val="1"/>
    </w:lvl>
  </w:abstractNum>
  <w:abstractNum w:abstractNumId="40">
    <w:nsid w:val="542289EC"/>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41">
    <w:nsid w:val="6DE91B18"/>
    <w:multiLevelType w:val="hybridMultilevel"/>
    <w:lvl w:ilvl="0">
      <w:lvlJc w:val="left"/>
      <w:lvlText w:val="(%1)"/>
      <w:numFmt w:val="decimal"/>
      <w:start w:val="646"/>
    </w:lvl>
    <w:lvl w:ilvl="1">
      <w:lvlJc w:val="left"/>
      <w:lvlText w:val="%2"/>
      <w:numFmt w:val="decimal"/>
      <w:start w:val="1"/>
    </w:lvl>
    <w:lvl w:ilvl="2">
      <w:lvlJc w:val="left"/>
      <w:lvlText w:val="%3"/>
      <w:numFmt w:val="lowerLetter"/>
      <w:start w:val="1"/>
    </w:lvl>
  </w:abstractNum>
  <w:abstractNum w:abstractNumId="42">
    <w:nsid w:val="38437FDB"/>
    <w:multiLevelType w:val="hybridMultilevel"/>
    <w:lvl w:ilvl="0">
      <w:lvlJc w:val="left"/>
      <w:lvlText w:val="(%1)"/>
      <w:numFmt w:val="decimal"/>
      <w:start w:val="212"/>
    </w:lvl>
    <w:lvl w:ilvl="1">
      <w:lvlJc w:val="left"/>
      <w:lvlText w:val="%2"/>
      <w:numFmt w:val="decimal"/>
      <w:start w:val="1"/>
    </w:lvl>
    <w:lvl w:ilvl="2">
      <w:lvlJc w:val="left"/>
      <w:lvlText w:val="%3"/>
      <w:numFmt w:val="lowerLetter"/>
      <w:start w:val="1"/>
    </w:lvl>
  </w:abstractNum>
  <w:abstractNum w:abstractNumId="43">
    <w:nsid w:val="7644A45C"/>
    <w:multiLevelType w:val="hybridMultilevel"/>
    <w:lvl w:ilvl="0">
      <w:lvlJc w:val="left"/>
      <w:lvlText w:val="(%1)"/>
      <w:numFmt w:val="lowerLetter"/>
      <w:start w:val="2"/>
    </w:lvl>
  </w:abstractNum>
  <w:abstractNum w:abstractNumId="44">
    <w:nsid w:val="32FFF902"/>
    <w:multiLevelType w:val="hybridMultilevel"/>
    <w:lvl w:ilvl="0">
      <w:lvlJc w:val="left"/>
      <w:lvlText w:val="%1."/>
      <w:numFmt w:val="decimal"/>
      <w:start w:val="16"/>
    </w:lvl>
    <w:lvl w:ilvl="1">
      <w:lvlJc w:val="left"/>
      <w:lvlText w:val="(%2)"/>
      <w:numFmt w:val="lowerLetter"/>
      <w:start w:val="1"/>
    </w:lvl>
  </w:abstractNum>
  <w:abstractNum w:abstractNumId="45">
    <w:nsid w:val="684A481A"/>
    <w:multiLevelType w:val="hybridMultilevel"/>
    <w:lvl w:ilvl="0">
      <w:lvlJc w:val="left"/>
      <w:lvlText w:val="%1."/>
      <w:numFmt w:val="decimal"/>
      <w:start w:val="17"/>
    </w:lvl>
  </w:abstractNum>
  <w:abstractNum w:abstractNumId="46">
    <w:nsid w:val="579478FE"/>
    <w:multiLevelType w:val="hybridMultilevel"/>
    <w:lvl w:ilvl="0">
      <w:lvlJc w:val="left"/>
      <w:lvlText w:val="%1."/>
      <w:numFmt w:val="decimal"/>
      <w:start w:val="18"/>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858"/>
    </w:lvl>
  </w:abstractNum>
  <w:abstractNum w:abstractNumId="51">
    <w:nsid w:val="75C6C33A"/>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2020-07-29T05:17:43Z</dcterms:created>
  <dcterms:modified xsi:type="dcterms:W3CDTF">2020-07-29T05:17:43Z</dcterms:modified>
</cp:coreProperties>
</file>