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7" w:lineRule="exact"/>
        <w:rPr>
          <w:sz w:val="24"/>
          <w:szCs w:val="24"/>
          <w:color w:val="auto"/>
        </w:rPr>
      </w:pPr>
    </w:p>
    <w:p>
      <w:pPr>
        <w:ind w:left="3820" w:right="1580" w:hanging="3799"/>
        <w:spacing w:after="0" w:line="328" w:lineRule="auto"/>
        <w:tabs>
          <w:tab w:leader="none" w:pos="52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416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p>
      <w:pPr>
        <w:spacing w:after="0" w:line="165" w:lineRule="exact"/>
        <w:rPr>
          <w:sz w:val="24"/>
          <w:szCs w:val="24"/>
          <w:color w:val="auto"/>
        </w:rPr>
      </w:pPr>
    </w:p>
    <w:p>
      <w:pPr>
        <w:jc w:val="center"/>
        <w:ind w:right="3440"/>
        <w:spacing w:after="0"/>
        <w:rPr>
          <w:sz w:val="20"/>
          <w:szCs w:val="20"/>
          <w:color w:val="auto"/>
        </w:rPr>
      </w:pPr>
      <w:r>
        <w:rPr>
          <w:rFonts w:ascii="Arial" w:cs="Arial" w:eastAsia="Arial" w:hAnsi="Arial"/>
          <w:sz w:val="13"/>
          <w:szCs w:val="13"/>
          <w:b w:val="1"/>
          <w:bCs w:val="1"/>
          <w:color w:val="auto"/>
        </w:rPr>
        <w:t>Delaware</w:t>
      </w:r>
    </w:p>
    <w:p>
      <w:pPr>
        <w:ind w:left="1420"/>
        <w:spacing w:after="0" w:line="215" w:lineRule="auto"/>
        <w:rPr>
          <w:sz w:val="20"/>
          <w:szCs w:val="20"/>
          <w:color w:val="auto"/>
        </w:rPr>
      </w:pPr>
      <w:r>
        <w:rPr>
          <w:rFonts w:ascii="Arial" w:cs="Arial" w:eastAsia="Arial" w:hAnsi="Arial"/>
          <w:sz w:val="13"/>
          <w:szCs w:val="13"/>
          <w:b w:val="1"/>
          <w:bCs w:val="1"/>
          <w:color w:val="auto"/>
        </w:rPr>
        <w:t>(State or other jurisdiction of</w:t>
      </w:r>
    </w:p>
    <w:p>
      <w:pPr>
        <w:spacing w:after="0" w:line="1" w:lineRule="exact"/>
        <w:rPr>
          <w:sz w:val="24"/>
          <w:szCs w:val="24"/>
          <w:color w:val="auto"/>
        </w:rPr>
      </w:pPr>
    </w:p>
    <w:p>
      <w:pPr>
        <w:ind w:left="1380"/>
        <w:spacing w:after="0"/>
        <w:rPr>
          <w:sz w:val="20"/>
          <w:szCs w:val="20"/>
          <w:color w:val="auto"/>
        </w:rPr>
      </w:pPr>
      <w:r>
        <w:rPr>
          <w:rFonts w:ascii="Arial" w:cs="Arial" w:eastAsia="Arial" w:hAnsi="Arial"/>
          <w:sz w:val="12"/>
          <w:szCs w:val="12"/>
          <w:b w:val="1"/>
          <w:bCs w:val="1"/>
          <w:color w:val="auto"/>
        </w:rPr>
        <w:t>incorporation or organization)</w:t>
      </w:r>
    </w:p>
    <w:p>
      <w:pPr>
        <w:spacing w:after="0" w:line="132" w:lineRule="exact"/>
        <w:rPr>
          <w:sz w:val="24"/>
          <w:szCs w:val="24"/>
          <w:color w:val="auto"/>
        </w:rPr>
      </w:pPr>
    </w:p>
    <w:p>
      <w:pPr>
        <w:ind w:left="1180"/>
        <w:spacing w:after="0"/>
        <w:rPr>
          <w:sz w:val="20"/>
          <w:szCs w:val="20"/>
          <w:color w:val="auto"/>
        </w:rPr>
      </w:pPr>
      <w:r>
        <w:rPr>
          <w:rFonts w:ascii="Arial" w:cs="Arial" w:eastAsia="Arial" w:hAnsi="Arial"/>
          <w:sz w:val="10"/>
          <w:szCs w:val="10"/>
          <w:b w:val="1"/>
          <w:bCs w:val="1"/>
          <w:color w:val="auto"/>
        </w:rPr>
        <w:t>10628 Science Center Drive, Suite 250</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1700"/>
        <w:spacing w:after="0"/>
        <w:rPr>
          <w:sz w:val="20"/>
          <w:szCs w:val="20"/>
          <w:color w:val="auto"/>
        </w:rPr>
      </w:pPr>
      <w:r>
        <w:rPr>
          <w:rFonts w:ascii="Arial" w:cs="Arial" w:eastAsia="Arial" w:hAnsi="Arial"/>
          <w:sz w:val="13"/>
          <w:szCs w:val="13"/>
          <w:b w:val="1"/>
          <w:bCs w:val="1"/>
          <w:color w:val="auto"/>
        </w:rPr>
        <w:t>32-0595345</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316" w:lineRule="exact"/>
        <w:rPr>
          <w:sz w:val="24"/>
          <w:szCs w:val="24"/>
          <w:color w:val="auto"/>
        </w:rPr>
      </w:pPr>
    </w:p>
    <w:p>
      <w:pPr>
        <w:sectPr>
          <w:pgSz w:w="11900" w:h="16838" w:orient="portrait"/>
          <w:cols w:equalWidth="0" w:num="2">
            <w:col w:w="7840" w:space="720"/>
            <w:col w:w="2680"/>
          </w:cols>
          <w:pgMar w:left="320" w:top="652" w:right="339" w:bottom="1440" w:gutter="0" w:footer="0" w:header="0"/>
          <w:type w:val="continuous"/>
        </w:sectPr>
      </w:pPr>
    </w:p>
    <w:p>
      <w:pPr>
        <w:ind w:left="1600"/>
        <w:spacing w:after="0"/>
        <w:tabs>
          <w:tab w:leader="none" w:pos="8880" w:val="left"/>
        </w:tabs>
        <w:rPr>
          <w:sz w:val="20"/>
          <w:szCs w:val="20"/>
          <w:color w:val="auto"/>
        </w:rPr>
      </w:pPr>
      <w:r>
        <w:rPr>
          <w:rFonts w:ascii="Arial" w:cs="Arial" w:eastAsia="Arial" w:hAnsi="Arial"/>
          <w:sz w:val="13"/>
          <w:szCs w:val="13"/>
          <w:b w:val="1"/>
          <w:bCs w:val="1"/>
          <w:color w:val="auto"/>
        </w:rPr>
        <w:t>San Diego, California</w:t>
      </w:r>
      <w:r>
        <w:rPr>
          <w:sz w:val="20"/>
          <w:szCs w:val="20"/>
          <w:color w:val="auto"/>
        </w:rPr>
        <w:tab/>
      </w:r>
      <w:r>
        <w:rPr>
          <w:rFonts w:ascii="Arial" w:cs="Arial" w:eastAsia="Arial" w:hAnsi="Arial"/>
          <w:sz w:val="10"/>
          <w:szCs w:val="10"/>
          <w:b w:val="1"/>
          <w:bCs w:val="1"/>
          <w:color w:val="auto"/>
        </w:rPr>
        <w:t>92121</w:t>
      </w:r>
    </w:p>
    <w:p>
      <w:pPr>
        <w:spacing w:after="0" w:line="13" w:lineRule="exact"/>
        <w:rPr>
          <w:sz w:val="24"/>
          <w:szCs w:val="24"/>
          <w:color w:val="auto"/>
        </w:rPr>
      </w:pPr>
    </w:p>
    <w:p>
      <w:pPr>
        <w:ind w:left="1160"/>
        <w:spacing w:after="0"/>
        <w:tabs>
          <w:tab w:leader="none" w:pos="874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4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00" w:type="dxa"/>
            <w:vAlign w:val="bottom"/>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ARCT</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ind w:firstLine="599"/>
        <w:spacing w:after="0" w:line="27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56" w:lineRule="exact"/>
        <w:rPr>
          <w:sz w:val="24"/>
          <w:szCs w:val="24"/>
          <w:color w:val="auto"/>
        </w:rPr>
      </w:pPr>
    </w:p>
    <w:p>
      <w:pPr>
        <w:ind w:right="100" w:firstLine="599"/>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jc w:val="both"/>
        <w:ind w:right="2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13"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7" w:lineRule="exact"/>
        <w:rPr>
          <w:sz w:val="24"/>
          <w:szCs w:val="24"/>
          <w:color w:val="auto"/>
        </w:rPr>
      </w:pPr>
    </w:p>
    <w:p>
      <w:pPr>
        <w:ind w:left="600" w:right="2040"/>
        <w:spacing w:after="0" w:line="29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As of May 4, 2022, the registrant had 26,418,965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540" w:type="dxa"/>
            <w:vAlign w:val="bottom"/>
            <w:gridSpan w:val="19"/>
            <w:vMerge w:val="restart"/>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900" w:type="dxa"/>
            <w:vAlign w:val="bottom"/>
            <w:gridSpan w:val="2"/>
            <w:vMerge w:val="continue"/>
          </w:tcPr>
          <w:p>
            <w:pPr>
              <w:spacing w:after="0"/>
              <w:rPr>
                <w:sz w:val="13"/>
                <w:szCs w:val="13"/>
                <w:color w:val="auto"/>
              </w:rPr>
            </w:pPr>
          </w:p>
        </w:tc>
        <w:tc>
          <w:tcPr>
            <w:tcW w:w="9540" w:type="dxa"/>
            <w:vAlign w:val="bottom"/>
            <w:gridSpan w:val="19"/>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20" w:type="dxa"/>
            <w:vAlign w:val="bottom"/>
            <w:tcBorders>
              <w:bottom w:val="single" w:sz="8" w:color="0000EE"/>
            </w:tcBorders>
          </w:tcPr>
          <w:p>
            <w:pPr>
              <w:spacing w:after="0"/>
              <w:rPr>
                <w:sz w:val="14"/>
                <w:szCs w:val="14"/>
                <w:color w:val="auto"/>
              </w:rPr>
            </w:pPr>
          </w:p>
        </w:tc>
        <w:tc>
          <w:tcPr>
            <w:tcW w:w="2220" w:type="dxa"/>
            <w:vAlign w:val="bottom"/>
            <w:tcBorders>
              <w:top w:val="single" w:sz="8" w:color="0000EE"/>
              <w:bottom w:val="single" w:sz="8" w:color="0000EE"/>
            </w:tcBorders>
            <w:gridSpan w:val="7"/>
          </w:tcPr>
          <w:p>
            <w:pPr>
              <w:spacing w:after="0" w:line="169" w:lineRule="exact"/>
              <w:rPr>
                <w:rFonts w:ascii="Arial" w:cs="Arial" w:eastAsia="Arial" w:hAnsi="Arial"/>
                <w:sz w:val="18"/>
                <w:szCs w:val="18"/>
                <w:color w:val="0000FF"/>
                <w:w w:val="83"/>
              </w:rPr>
            </w:pPr>
            <w:hyperlink w:anchor="page5">
              <w:r>
                <w:rPr>
                  <w:rFonts w:ascii="Arial" w:cs="Arial" w:eastAsia="Arial" w:hAnsi="Arial"/>
                  <w:sz w:val="18"/>
                  <w:szCs w:val="18"/>
                  <w:color w:val="0000FF"/>
                  <w:w w:val="83"/>
                </w:rPr>
                <w:t>Financial Statements (unaudited)</w:t>
              </w:r>
            </w:hyperlink>
          </w:p>
        </w:tc>
        <w:tc>
          <w:tcPr>
            <w:tcW w:w="80" w:type="dxa"/>
            <w:vAlign w:val="bottom"/>
            <w:tcBorders>
              <w:bottom w:val="single" w:sz="8" w:color="0000EE"/>
            </w:tcBorders>
          </w:tcPr>
          <w:p>
            <w:pPr>
              <w:spacing w:after="0"/>
              <w:rPr>
                <w:sz w:val="14"/>
                <w:szCs w:val="14"/>
                <w:color w:val="auto"/>
              </w:rPr>
            </w:pPr>
          </w:p>
        </w:tc>
        <w:tc>
          <w:tcPr>
            <w:tcW w:w="60" w:type="dxa"/>
            <w:vAlign w:val="bottom"/>
            <w:tcBorders>
              <w:bottom w:val="single" w:sz="8" w:color="0000EE"/>
            </w:tcBorders>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10"/>
          </w:tcPr>
          <w:p>
            <w:pPr>
              <w:spacing w:after="0" w:line="169" w:lineRule="exact"/>
              <w:rPr>
                <w:rFonts w:ascii="Arial" w:cs="Arial" w:eastAsia="Arial" w:hAnsi="Arial"/>
                <w:sz w:val="18"/>
                <w:szCs w:val="18"/>
                <w:color w:val="0000FF"/>
                <w:w w:val="86"/>
              </w:rPr>
            </w:pPr>
            <w:hyperlink w:anchor="page5">
              <w:r>
                <w:rPr>
                  <w:rFonts w:ascii="Arial" w:cs="Arial" w:eastAsia="Arial" w:hAnsi="Arial"/>
                  <w:sz w:val="18"/>
                  <w:szCs w:val="18"/>
                  <w:color w:val="0000FF"/>
                  <w:w w:val="86"/>
                </w:rPr>
                <w:t>Condensed Consolidated Balance</w:t>
              </w:r>
            </w:hyperlink>
          </w:p>
        </w:tc>
        <w:tc>
          <w:tcPr>
            <w:tcW w:w="7160" w:type="dxa"/>
            <w:vAlign w:val="bottom"/>
            <w:gridSpan w:val="9"/>
          </w:tcPr>
          <w:p>
            <w:pPr>
              <w:ind w:left="80"/>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Sheets as of March 31, 2022 and December 31, 2021</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540" w:type="dxa"/>
            <w:vAlign w:val="bottom"/>
            <w:gridSpan w:val="19"/>
          </w:tcPr>
          <w:p>
            <w:pPr>
              <w:spacing w:after="0" w:line="169" w:lineRule="exact"/>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Operations and Comprehensive Loss for the three months ended March 31, 2022 and 2021</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top w:val="single" w:sz="8" w:color="0000EE"/>
            </w:tcBorders>
            <w:gridSpan w:val="17"/>
          </w:tcPr>
          <w:p>
            <w:pPr>
              <w:spacing w:after="0" w:line="169" w:lineRule="exact"/>
              <w:rPr>
                <w:rFonts w:ascii="Arial" w:cs="Arial" w:eastAsia="Arial" w:hAnsi="Arial"/>
                <w:sz w:val="18"/>
                <w:szCs w:val="18"/>
                <w:color w:val="0000FF"/>
                <w:w w:val="92"/>
              </w:rPr>
            </w:pPr>
            <w:hyperlink w:anchor="page7">
              <w:r>
                <w:rPr>
                  <w:rFonts w:ascii="Arial" w:cs="Arial" w:eastAsia="Arial" w:hAnsi="Arial"/>
                  <w:sz w:val="18"/>
                  <w:szCs w:val="18"/>
                  <w:color w:val="0000FF"/>
                  <w:w w:val="92"/>
                </w:rPr>
                <w:t>Condensed Consolidated Statements of Changes in Stockholders’ Equity for the three months ended March 31, 2022 and 2021</w:t>
              </w:r>
            </w:hyperlink>
          </w:p>
        </w:tc>
        <w:tc>
          <w:tcPr>
            <w:tcW w:w="10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100" w:type="dxa"/>
            <w:vAlign w:val="bottom"/>
            <w:tcBorders>
              <w:top w:val="single" w:sz="8" w:color="0000EE"/>
            </w:tcBorders>
            <w:gridSpan w:val="17"/>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for the three months ended March 31, 2022 and 2021</w:t>
              </w:r>
            </w:hyperlink>
          </w:p>
        </w:tc>
        <w:tc>
          <w:tcPr>
            <w:tcW w:w="44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580" w:type="dxa"/>
            <w:vAlign w:val="bottom"/>
            <w:tcBorders>
              <w:top w:val="single" w:sz="8" w:color="0000EE"/>
            </w:tcBorders>
            <w:gridSpan w:val="16"/>
          </w:tcPr>
          <w:p>
            <w:pPr>
              <w:spacing w:after="0" w:line="169" w:lineRule="exact"/>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960" w:type="dxa"/>
            <w:vAlign w:val="bottom"/>
            <w:gridSpan w:val="3"/>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3980" w:type="dxa"/>
            <w:vAlign w:val="bottom"/>
            <w:tcBorders>
              <w:top w:val="single" w:sz="8" w:color="0000EE"/>
            </w:tcBorders>
            <w:gridSpan w:val="11"/>
          </w:tcPr>
          <w:p>
            <w:pPr>
              <w:spacing w:after="0" w:line="169" w:lineRule="exact"/>
              <w:rPr>
                <w:rFonts w:ascii="Arial" w:cs="Arial" w:eastAsia="Arial" w:hAnsi="Arial"/>
                <w:sz w:val="18"/>
                <w:szCs w:val="18"/>
                <w:color w:val="0000FF"/>
                <w:w w:val="95"/>
              </w:rPr>
            </w:pPr>
            <w:hyperlink w:anchor="page21">
              <w:r>
                <w:rPr>
                  <w:rFonts w:ascii="Arial" w:cs="Arial" w:eastAsia="Arial" w:hAnsi="Arial"/>
                  <w:sz w:val="18"/>
                  <w:szCs w:val="18"/>
                  <w:color w:val="0000FF"/>
                  <w:w w:val="95"/>
                </w:rPr>
                <w:t>Management’s Discussion and Analysis of Financial</w:t>
              </w:r>
            </w:hyperlink>
          </w:p>
        </w:tc>
        <w:tc>
          <w:tcPr>
            <w:tcW w:w="5560" w:type="dxa"/>
            <w:vAlign w:val="bottom"/>
            <w:gridSpan w:val="8"/>
          </w:tcPr>
          <w:p>
            <w:pPr>
              <w:spacing w:after="0" w:line="169" w:lineRule="exact"/>
              <w:rPr>
                <w:rFonts w:ascii="Arial" w:cs="Arial" w:eastAsia="Arial" w:hAnsi="Arial"/>
                <w:sz w:val="18"/>
                <w:szCs w:val="18"/>
                <w:color w:val="0000FF"/>
              </w:rPr>
            </w:pPr>
            <w:hyperlink w:anchor="page21">
              <w:r>
                <w:rPr>
                  <w:rFonts w:ascii="Arial" w:cs="Arial" w:eastAsia="Arial" w:hAnsi="Arial"/>
                  <w:sz w:val="18"/>
                  <w:szCs w:val="18"/>
                  <w:color w:val="0000FF"/>
                </w:rPr>
                <w:t>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6440" w:type="dxa"/>
            <w:vAlign w:val="bottom"/>
            <w:tcBorders>
              <w:top w:val="single" w:sz="8" w:color="0000EE"/>
            </w:tcBorders>
            <w:gridSpan w:val="15"/>
          </w:tcPr>
          <w:p>
            <w:pPr>
              <w:spacing w:after="0" w:line="169" w:lineRule="exact"/>
              <w:rPr>
                <w:rFonts w:ascii="Arial" w:cs="Arial" w:eastAsia="Arial" w:hAnsi="Arial"/>
                <w:sz w:val="18"/>
                <w:szCs w:val="18"/>
                <w:color w:val="0000FF"/>
              </w:rPr>
            </w:pPr>
            <w:hyperlink w:anchor="page31">
              <w:r>
                <w:rPr>
                  <w:rFonts w:ascii="Arial" w:cs="Arial" w:eastAsia="Arial" w:hAnsi="Arial"/>
                  <w:sz w:val="18"/>
                  <w:szCs w:val="18"/>
                  <w:color w:val="0000FF"/>
                </w:rPr>
                <w:t>Quantitative and Qualitative Disclosures About Market Risk</w:t>
              </w:r>
            </w:hyperlink>
          </w:p>
        </w:tc>
        <w:tc>
          <w:tcPr>
            <w:tcW w:w="3100" w:type="dxa"/>
            <w:vAlign w:val="bottom"/>
            <w:gridSpan w:val="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3"/>
          </w:tcPr>
          <w:p>
            <w:pPr>
              <w:spacing w:after="0" w:line="169" w:lineRule="exact"/>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518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EE"/>
              <w:bottom w:val="single" w:sz="8" w:color="0000EE"/>
            </w:tcBorders>
            <w:gridSpan w:val="6"/>
          </w:tcPr>
          <w:p>
            <w:pPr>
              <w:spacing w:after="0" w:line="169"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OTHER INFORMATION</w:t>
              </w:r>
            </w:hyperlink>
          </w:p>
        </w:tc>
        <w:tc>
          <w:tcPr>
            <w:tcW w:w="120" w:type="dxa"/>
            <w:vAlign w:val="bottom"/>
            <w:tcBorders>
              <w:bottom w:val="single" w:sz="8" w:color="0000EE"/>
            </w:tcBorders>
          </w:tcPr>
          <w:p>
            <w:pPr>
              <w:spacing w:after="0"/>
              <w:rPr>
                <w:sz w:val="14"/>
                <w:szCs w:val="14"/>
                <w:color w:val="auto"/>
              </w:rPr>
            </w:pPr>
          </w:p>
        </w:tc>
        <w:tc>
          <w:tcPr>
            <w:tcW w:w="440" w:type="dxa"/>
            <w:vAlign w:val="bottom"/>
            <w:gridSpan w:val="2"/>
          </w:tcPr>
          <w:p>
            <w:pPr>
              <w:spacing w:after="0"/>
              <w:rPr>
                <w:sz w:val="14"/>
                <w:szCs w:val="14"/>
                <w:color w:val="auto"/>
              </w:rPr>
            </w:pPr>
          </w:p>
        </w:tc>
        <w:tc>
          <w:tcPr>
            <w:tcW w:w="2020" w:type="dxa"/>
            <w:vAlign w:val="bottom"/>
            <w:gridSpan w:val="3"/>
          </w:tcPr>
          <w:p>
            <w:pPr>
              <w:spacing w:after="0"/>
              <w:rPr>
                <w:sz w:val="14"/>
                <w:szCs w:val="14"/>
                <w:color w:val="auto"/>
              </w:rPr>
            </w:pPr>
          </w:p>
        </w:tc>
        <w:tc>
          <w:tcPr>
            <w:tcW w:w="5200" w:type="dxa"/>
            <w:vAlign w:val="bottom"/>
            <w:gridSpan w:val="7"/>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1880" w:type="dxa"/>
            <w:vAlign w:val="bottom"/>
            <w:gridSpan w:val="7"/>
          </w:tcPr>
          <w:p>
            <w:pPr>
              <w:spacing w:after="0" w:line="169" w:lineRule="exact"/>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440" w:type="dxa"/>
            <w:vAlign w:val="bottom"/>
            <w:gridSpan w:val="2"/>
          </w:tcPr>
          <w:p>
            <w:pPr>
              <w:spacing w:after="0"/>
              <w:rPr>
                <w:sz w:val="14"/>
                <w:szCs w:val="14"/>
                <w:color w:val="auto"/>
              </w:rPr>
            </w:pPr>
          </w:p>
        </w:tc>
        <w:tc>
          <w:tcPr>
            <w:tcW w:w="2020" w:type="dxa"/>
            <w:vAlign w:val="bottom"/>
            <w:gridSpan w:val="3"/>
          </w:tcPr>
          <w:p>
            <w:pPr>
              <w:spacing w:after="0"/>
              <w:rPr>
                <w:sz w:val="14"/>
                <w:szCs w:val="14"/>
                <w:color w:val="auto"/>
              </w:rPr>
            </w:pPr>
          </w:p>
        </w:tc>
        <w:tc>
          <w:tcPr>
            <w:tcW w:w="5200" w:type="dxa"/>
            <w:vAlign w:val="bottom"/>
            <w:gridSpan w:val="7"/>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5"/>
          </w:tcPr>
          <w:p>
            <w:pPr>
              <w:spacing w:after="0" w:line="169" w:lineRule="exact"/>
              <w:rPr>
                <w:rFonts w:ascii="Arial" w:cs="Arial" w:eastAsia="Arial" w:hAnsi="Arial"/>
                <w:sz w:val="18"/>
                <w:szCs w:val="18"/>
                <w:color w:val="0000FF"/>
              </w:rPr>
            </w:pPr>
            <w:hyperlink w:anchor="page32">
              <w:r>
                <w:rPr>
                  <w:rFonts w:ascii="Arial" w:cs="Arial" w:eastAsia="Arial" w:hAnsi="Arial"/>
                  <w:sz w:val="18"/>
                  <w:szCs w:val="18"/>
                  <w:color w:val="0000FF"/>
                </w:rPr>
                <w:t>Risk Factors</w:t>
              </w:r>
            </w:hyperlink>
          </w:p>
        </w:tc>
        <w:tc>
          <w:tcPr>
            <w:tcW w:w="1000" w:type="dxa"/>
            <w:vAlign w:val="bottom"/>
            <w:gridSpan w:val="4"/>
          </w:tcPr>
          <w:p>
            <w:pPr>
              <w:spacing w:after="0"/>
              <w:rPr>
                <w:sz w:val="14"/>
                <w:szCs w:val="14"/>
                <w:color w:val="auto"/>
              </w:rPr>
            </w:pPr>
          </w:p>
        </w:tc>
        <w:tc>
          <w:tcPr>
            <w:tcW w:w="2020" w:type="dxa"/>
            <w:vAlign w:val="bottom"/>
            <w:gridSpan w:val="3"/>
          </w:tcPr>
          <w:p>
            <w:pPr>
              <w:spacing w:after="0"/>
              <w:rPr>
                <w:sz w:val="14"/>
                <w:szCs w:val="14"/>
                <w:color w:val="auto"/>
              </w:rPr>
            </w:pPr>
          </w:p>
        </w:tc>
        <w:tc>
          <w:tcPr>
            <w:tcW w:w="5200" w:type="dxa"/>
            <w:vAlign w:val="bottom"/>
            <w:gridSpan w:val="7"/>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00" w:type="dxa"/>
            <w:vAlign w:val="bottom"/>
            <w:tcBorders>
              <w:top w:val="single" w:sz="8" w:color="0000EE"/>
            </w:tcBorders>
            <w:gridSpan w:val="3"/>
          </w:tcPr>
          <w:p>
            <w:pPr>
              <w:spacing w:after="0" w:line="169" w:lineRule="exact"/>
              <w:rPr>
                <w:rFonts w:ascii="Arial" w:cs="Arial" w:eastAsia="Arial" w:hAnsi="Arial"/>
                <w:sz w:val="18"/>
                <w:szCs w:val="18"/>
                <w:color w:val="0000FF"/>
                <w:w w:val="85"/>
              </w:rPr>
            </w:pPr>
            <w:hyperlink w:anchor="page32">
              <w:r>
                <w:rPr>
                  <w:rFonts w:ascii="Arial" w:cs="Arial" w:eastAsia="Arial" w:hAnsi="Arial"/>
                  <w:sz w:val="18"/>
                  <w:szCs w:val="18"/>
                  <w:color w:val="0000FF"/>
                  <w:w w:val="85"/>
                </w:rPr>
                <w:t>Unregistered</w:t>
              </w:r>
            </w:hyperlink>
          </w:p>
        </w:tc>
        <w:tc>
          <w:tcPr>
            <w:tcW w:w="8640" w:type="dxa"/>
            <w:vAlign w:val="bottom"/>
            <w:gridSpan w:val="16"/>
          </w:tcPr>
          <w:p>
            <w:pPr>
              <w:ind w:left="60"/>
              <w:spacing w:after="0" w:line="169" w:lineRule="exact"/>
              <w:rPr>
                <w:rFonts w:ascii="Arial" w:cs="Arial" w:eastAsia="Arial" w:hAnsi="Arial"/>
                <w:sz w:val="18"/>
                <w:szCs w:val="18"/>
                <w:color w:val="0000FF"/>
              </w:rPr>
            </w:pPr>
            <w:hyperlink w:anchor="page32">
              <w:r>
                <w:rPr>
                  <w:rFonts w:ascii="Arial" w:cs="Arial" w:eastAsia="Arial" w:hAnsi="Arial"/>
                  <w:sz w:val="18"/>
                  <w:szCs w:val="18"/>
                  <w:color w:val="0000FF"/>
                </w:rPr>
                <w:t>Sales of Equity Securities and Use of Proceeds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2"/>
          </w:tcPr>
          <w:p>
            <w:pPr>
              <w:spacing w:after="0" w:line="169" w:lineRule="exact"/>
              <w:rPr>
                <w:rFonts w:ascii="Arial" w:cs="Arial" w:eastAsia="Arial" w:hAnsi="Arial"/>
                <w:sz w:val="18"/>
                <w:szCs w:val="18"/>
                <w:color w:val="0000FF"/>
              </w:rPr>
            </w:pPr>
            <w:hyperlink w:anchor="page32">
              <w:r>
                <w:rPr>
                  <w:rFonts w:ascii="Arial" w:cs="Arial" w:eastAsia="Arial" w:hAnsi="Arial"/>
                  <w:sz w:val="18"/>
                  <w:szCs w:val="18"/>
                  <w:color w:val="0000FF"/>
                </w:rPr>
                <w:t>Defaults Upon Senior Securities</w:t>
              </w:r>
            </w:hyperlink>
          </w:p>
        </w:tc>
        <w:tc>
          <w:tcPr>
            <w:tcW w:w="5200" w:type="dxa"/>
            <w:vAlign w:val="bottom"/>
            <w:gridSpan w:val="7"/>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line="169" w:lineRule="exact"/>
              <w:rPr>
                <w:rFonts w:ascii="Arial" w:cs="Arial" w:eastAsia="Arial" w:hAnsi="Arial"/>
                <w:sz w:val="18"/>
                <w:szCs w:val="18"/>
                <w:color w:val="0000FF"/>
              </w:rPr>
            </w:pPr>
            <w:hyperlink w:anchor="page32">
              <w:r>
                <w:rPr>
                  <w:rFonts w:ascii="Arial" w:cs="Arial" w:eastAsia="Arial" w:hAnsi="Arial"/>
                  <w:sz w:val="18"/>
                  <w:szCs w:val="18"/>
                  <w:color w:val="0000FF"/>
                </w:rPr>
                <w:t>Mine Safety Disclosures</w:t>
              </w:r>
            </w:hyperlink>
          </w:p>
        </w:tc>
        <w:tc>
          <w:tcPr>
            <w:tcW w:w="7220" w:type="dxa"/>
            <w:vAlign w:val="bottom"/>
            <w:gridSpan w:val="10"/>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line="169" w:lineRule="exact"/>
              <w:rPr>
                <w:rFonts w:ascii="Arial" w:cs="Arial" w:eastAsia="Arial" w:hAnsi="Arial"/>
                <w:sz w:val="18"/>
                <w:szCs w:val="18"/>
                <w:color w:val="0000FF"/>
              </w:rPr>
            </w:pPr>
            <w:hyperlink w:anchor="page32">
              <w:r>
                <w:rPr>
                  <w:rFonts w:ascii="Arial" w:cs="Arial" w:eastAsia="Arial" w:hAnsi="Arial"/>
                  <w:sz w:val="18"/>
                  <w:szCs w:val="18"/>
                  <w:color w:val="0000FF"/>
                </w:rPr>
                <w:t>Other Information</w:t>
              </w:r>
            </w:hyperlink>
          </w:p>
        </w:tc>
        <w:tc>
          <w:tcPr>
            <w:tcW w:w="7780" w:type="dxa"/>
            <w:vAlign w:val="bottom"/>
            <w:gridSpan w:val="13"/>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line="169" w:lineRule="exact"/>
              <w:rPr>
                <w:rFonts w:ascii="Arial" w:cs="Arial" w:eastAsia="Arial" w:hAnsi="Arial"/>
                <w:sz w:val="18"/>
                <w:szCs w:val="18"/>
                <w:color w:val="0000FF"/>
              </w:rPr>
            </w:pPr>
            <w:hyperlink w:anchor="page33">
              <w:r>
                <w:rPr>
                  <w:rFonts w:ascii="Arial" w:cs="Arial" w:eastAsia="Arial" w:hAnsi="Arial"/>
                  <w:sz w:val="18"/>
                  <w:szCs w:val="18"/>
                  <w:color w:val="0000FF"/>
                </w:rPr>
                <w:t>Exhibits</w:t>
              </w:r>
            </w:hyperlink>
          </w:p>
        </w:tc>
        <w:tc>
          <w:tcPr>
            <w:tcW w:w="8240" w:type="dxa"/>
            <w:vAlign w:val="bottom"/>
            <w:gridSpan w:val="1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rFonts w:ascii="Arial" w:cs="Arial" w:eastAsia="Arial" w:hAnsi="Arial"/>
                <w:sz w:val="18"/>
                <w:szCs w:val="18"/>
                <w:color w:val="0000FF"/>
              </w:rPr>
            </w:pPr>
            <w:hyperlink w:anchor="page36">
              <w:r>
                <w:rPr>
                  <w:rFonts w:ascii="Arial" w:cs="Arial" w:eastAsia="Arial" w:hAnsi="Arial"/>
                  <w:sz w:val="18"/>
                  <w:szCs w:val="18"/>
                  <w:color w:val="0000FF"/>
                </w:rPr>
                <w:t>Signatures</w:t>
              </w:r>
            </w:hyperlink>
          </w:p>
        </w:tc>
        <w:tc>
          <w:tcPr>
            <w:tcW w:w="20" w:type="dxa"/>
            <w:vAlign w:val="bottom"/>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9" w:lineRule="exact"/>
        <w:rPr>
          <w:sz w:val="20"/>
          <w:szCs w:val="20"/>
          <w:color w:val="auto"/>
        </w:rPr>
      </w:pPr>
    </w:p>
    <w:p>
      <w:pPr>
        <w:ind w:firstLine="612"/>
        <w:spacing w:after="0" w:line="224" w:lineRule="auto"/>
        <w:rPr>
          <w:sz w:val="20"/>
          <w:szCs w:val="20"/>
          <w:color w:val="auto"/>
        </w:rPr>
      </w:pPr>
      <w:r>
        <w:rPr>
          <w:rFonts w:ascii="Arial" w:cs="Arial" w:eastAsia="Arial" w:hAnsi="Arial"/>
          <w:sz w:val="18"/>
          <w:szCs w:val="18"/>
          <w:color w:val="auto"/>
        </w:rPr>
        <w:t>This Quarterly Report on Form 10-Q, or this quarterly report, including the section entitled “Management’s Discussion and Analysis of Financial Condition and Results of Operations,”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178" w:lineRule="exact"/>
        <w:rPr>
          <w:sz w:val="20"/>
          <w:szCs w:val="20"/>
          <w:color w:val="auto"/>
        </w:rPr>
      </w:pPr>
    </w:p>
    <w:p>
      <w:pPr>
        <w:ind w:left="1220" w:right="520" w:hanging="601"/>
        <w:spacing w:after="0" w:line="235"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progress and results of, and our expected ability to undertake certain activities and accomplish certain goals with respect to, our research and preclinical development activities, including the selection of a STARR candidate for our LUNAR-Flu program;</w:t>
      </w:r>
    </w:p>
    <w:p>
      <w:pPr>
        <w:spacing w:after="0" w:line="66" w:lineRule="exact"/>
        <w:rPr>
          <w:rFonts w:ascii="Arial" w:cs="Arial" w:eastAsia="Arial" w:hAnsi="Arial"/>
          <w:sz w:val="18"/>
          <w:szCs w:val="18"/>
          <w:color w:val="auto"/>
        </w:rPr>
      </w:pPr>
    </w:p>
    <w:p>
      <w:pPr>
        <w:ind w:left="1220" w:right="100" w:hanging="601"/>
        <w:spacing w:after="0" w:line="235"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design, enrollment, cost, timing, progress and results of, and submissions of applications to conduct, any clinical trials, including with respect to the anticipated ARCT-154 booster study and other ongoing ARCT-154 studies, the anticipated ARCT-021 Phase 3 study, the anticipated CTA filing for ARCT-032;</w:t>
      </w:r>
    </w:p>
    <w:p>
      <w:pPr>
        <w:spacing w:after="0" w:line="66" w:lineRule="exact"/>
        <w:rPr>
          <w:rFonts w:ascii="Arial" w:cs="Arial" w:eastAsia="Arial" w:hAnsi="Arial"/>
          <w:sz w:val="18"/>
          <w:szCs w:val="18"/>
          <w:color w:val="auto"/>
        </w:rPr>
      </w:pPr>
    </w:p>
    <w:p>
      <w:pPr>
        <w:ind w:left="1220" w:right="480" w:hanging="601"/>
        <w:spacing w:after="0" w:line="246"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safety, immunogenicity, efficacy or regulatory approval of ARCT-154 or any of our COVID-19 vaccine candidates as a booster or primary vaccination series;</w:t>
      </w:r>
    </w:p>
    <w:p>
      <w:pPr>
        <w:spacing w:after="0" w:line="61" w:lineRule="exact"/>
        <w:rPr>
          <w:rFonts w:ascii="Arial" w:cs="Arial" w:eastAsia="Arial" w:hAnsi="Arial"/>
          <w:sz w:val="18"/>
          <w:szCs w:val="18"/>
          <w:color w:val="auto"/>
        </w:rPr>
      </w:pPr>
    </w:p>
    <w:p>
      <w:pPr>
        <w:ind w:left="1220" w:right="380" w:hanging="601"/>
        <w:spacing w:after="0" w:line="246"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and benefits of our technologies and product candidates on their own and in comparison to technologies, drugs or courses of treatment currently available or that may be developed by competitors;</w:t>
      </w:r>
    </w:p>
    <w:p>
      <w:pPr>
        <w:spacing w:after="0" w:line="61" w:lineRule="exact"/>
        <w:rPr>
          <w:rFonts w:ascii="Arial" w:cs="Arial" w:eastAsia="Arial" w:hAnsi="Arial"/>
          <w:sz w:val="18"/>
          <w:szCs w:val="18"/>
          <w:color w:val="auto"/>
        </w:rPr>
      </w:pPr>
    </w:p>
    <w:p>
      <w:pPr>
        <w:ind w:left="1220" w:right="540" w:hanging="601"/>
        <w:spacing w:after="0" w:line="246"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that preclinical or clinical data will be predictive of future clinical results or efficacy or safety of a product candidate, including the clinical data on ARCT-154 as both a primary vaccination series and booster vaccination;</w:t>
      </w:r>
    </w:p>
    <w:p>
      <w:pPr>
        <w:spacing w:after="0" w:line="61"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that clinical data will be sufficient for regulatory approval;</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timing for receipt of data or results of a study or clinical trial, including the anticipated data for our ARCT-810 trial;</w:t>
      </w:r>
    </w:p>
    <w:p>
      <w:pPr>
        <w:spacing w:after="0" w:line="101" w:lineRule="exact"/>
        <w:rPr>
          <w:rFonts w:ascii="Arial" w:cs="Arial" w:eastAsia="Arial" w:hAnsi="Arial"/>
          <w:sz w:val="17"/>
          <w:szCs w:val="17"/>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or timing of any regulatory approval, including the anticipated EUA decision for ARCT-154;</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administration regimen or dosage, or ability to administer multiple doses of, any of our product candidates;</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0" w:lineRule="exact"/>
        <w:rPr>
          <w:rFonts w:ascii="Arial" w:cs="Arial" w:eastAsia="Arial" w:hAnsi="Arial"/>
          <w:sz w:val="18"/>
          <w:szCs w:val="18"/>
          <w:color w:val="auto"/>
        </w:rPr>
      </w:pPr>
    </w:p>
    <w:p>
      <w:pPr>
        <w:ind w:left="1220" w:right="120" w:hanging="601"/>
        <w:spacing w:after="0" w:line="246"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61" w:lineRule="exact"/>
        <w:rPr>
          <w:rFonts w:ascii="Arial" w:cs="Arial" w:eastAsia="Arial" w:hAnsi="Arial"/>
          <w:sz w:val="18"/>
          <w:szCs w:val="18"/>
          <w:color w:val="auto"/>
        </w:rPr>
      </w:pPr>
    </w:p>
    <w:p>
      <w:pPr>
        <w:ind w:left="1220" w:right="100" w:hanging="601"/>
        <w:spacing w:after="0" w:line="246"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61"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interactions with regulatory authorities in the United States and foreign countries;</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90" w:lineRule="exact"/>
        <w:rPr>
          <w:rFonts w:ascii="Arial" w:cs="Arial" w:eastAsia="Arial" w:hAnsi="Arial"/>
          <w:sz w:val="18"/>
          <w:szCs w:val="18"/>
          <w:color w:val="auto"/>
        </w:rPr>
      </w:pPr>
    </w:p>
    <w:p>
      <w:pPr>
        <w:ind w:left="1220" w:right="540" w:hanging="601"/>
        <w:spacing w:after="0" w:line="246"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 including our ability to scale-up manufacturing levels as necessary, including the timing and anticipated capacity of the manufacturing facility in Hanoi, Vietnam;</w:t>
      </w:r>
    </w:p>
    <w:p>
      <w:pPr>
        <w:spacing w:after="0" w:line="61" w:lineRule="exact"/>
        <w:rPr>
          <w:rFonts w:ascii="Arial" w:cs="Arial" w:eastAsia="Arial" w:hAnsi="Arial"/>
          <w:sz w:val="18"/>
          <w:szCs w:val="18"/>
          <w:color w:val="auto"/>
        </w:rPr>
      </w:pPr>
    </w:p>
    <w:p>
      <w:pPr>
        <w:ind w:left="1220" w:right="440" w:hanging="601"/>
        <w:spacing w:after="0" w:line="246"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61"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avoid, settle or be victorious at costly litigation with shareholders, former executives or others, should these situations arise;</w:t>
      </w:r>
    </w:p>
    <w:p>
      <w:pPr>
        <w:spacing w:after="0" w:line="113" w:lineRule="exact"/>
        <w:rPr>
          <w:rFonts w:ascii="Arial" w:cs="Arial" w:eastAsia="Arial" w:hAnsi="Arial"/>
          <w:sz w:val="16"/>
          <w:szCs w:val="16"/>
          <w:color w:val="auto"/>
        </w:rPr>
      </w:pPr>
    </w:p>
    <w:p>
      <w:pPr>
        <w:ind w:left="1220" w:hanging="60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1220" w:hanging="601"/>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avoid, settle or be victorious at costly litigation with shareholders, former executives or others, should these situations arise;</w:t>
      </w:r>
    </w:p>
    <w:p>
      <w:pPr>
        <w:spacing w:after="0" w:line="113" w:lineRule="exact"/>
        <w:rPr>
          <w:rFonts w:ascii="Arial" w:cs="Arial" w:eastAsia="Arial" w:hAnsi="Arial"/>
          <w:sz w:val="16"/>
          <w:szCs w:val="16"/>
          <w:color w:val="auto"/>
        </w:rPr>
      </w:pPr>
    </w:p>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 and to efficiently use our financial and other resources;</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90" w:lineRule="exact"/>
        <w:rPr>
          <w:rFonts w:ascii="Arial" w:cs="Arial" w:eastAsia="Arial" w:hAnsi="Arial"/>
          <w:sz w:val="18"/>
          <w:szCs w:val="18"/>
          <w:color w:val="auto"/>
        </w:rPr>
      </w:pPr>
    </w:p>
    <w:p>
      <w:pPr>
        <w:ind w:left="1220" w:hanging="601"/>
        <w:spacing w:after="0"/>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183" w:lineRule="exact"/>
        <w:rPr>
          <w:sz w:val="20"/>
          <w:szCs w:val="20"/>
          <w:color w:val="auto"/>
        </w:rPr>
      </w:pPr>
    </w:p>
    <w:p>
      <w:pPr>
        <w:ind w:firstLine="612"/>
        <w:spacing w:after="0" w:line="254" w:lineRule="auto"/>
        <w:rPr>
          <w:sz w:val="20"/>
          <w:szCs w:val="20"/>
          <w:color w:val="auto"/>
        </w:rPr>
      </w:pPr>
      <w:r>
        <w:rPr>
          <w:rFonts w:ascii="Arial" w:cs="Arial" w:eastAsia="Arial" w:hAnsi="Arial"/>
          <w:sz w:val="16"/>
          <w:szCs w:val="16"/>
          <w:color w:val="auto"/>
        </w:rPr>
        <w:t>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or the Commission.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4"/>
          <w:szCs w:val="14"/>
          <w:color w:val="auto"/>
        </w:rPr>
        <w:t>(in thousands, except par value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52"/>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319,678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370,492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3,691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3,636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5,102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327,005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378,961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7,530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right-of-use asset, net</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5,245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5,618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Equity-method investment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Non-current restricted cash</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341,988</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392,814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10,014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10,058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19,970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24,260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22,474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53,062</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43,482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107,306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99,537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 net of current portion</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6,641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39,235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40,633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liability, net of current portion</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4,057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157,239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164,603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Arial" w:cs="Arial" w:eastAsia="Arial" w:hAnsi="Arial"/>
                <w:sz w:val="18"/>
                <w:szCs w:val="18"/>
                <w:color w:val="auto"/>
              </w:rPr>
              <w:t>Common stock: $0.001 par value; 60,000 shares authorized; 26,407 issued and</w:t>
            </w: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outstanding at March 31, 2022 and 26,372 issued and outstanding at December 31, 2021</w:t>
            </w: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583,382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575,675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(398,659 )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(347,490 )</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184,749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228,211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341,988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392,814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-3168015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-3168015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-2382520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-2365375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-1582420</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-1582420</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-1075055</wp:posOffset>
            </wp:positionV>
            <wp:extent cx="939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-1075055</wp:posOffset>
            </wp:positionV>
            <wp:extent cx="939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left="340" w:right="1620"/>
        <w:spacing w:after="0"/>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OPERATIONS AND COMPREHENSIVE LOSS (unaudited)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1000" w:type="dxa"/>
            <w:vAlign w:val="bottom"/>
            <w:shd w:val="clear" w:color="auto" w:fill="CFF0FC"/>
          </w:tcPr>
          <w:p>
            <w:pPr>
              <w:jc w:val="right"/>
              <w:ind w:right="813"/>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5,244</w:t>
            </w: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2,127</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Research and development, net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44,893</w:t>
            </w: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50,050</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10,730</w:t>
            </w: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9,743</w:t>
            </w:r>
          </w:p>
        </w:tc>
        <w:tc>
          <w:tcPr>
            <w:tcW w:w="80" w:type="dxa"/>
            <w:vAlign w:val="bottom"/>
          </w:tcPr>
          <w:p>
            <w:pPr>
              <w:spacing w:after="0"/>
              <w:rPr>
                <w:sz w:val="17"/>
                <w:szCs w:val="17"/>
                <w:color w:val="auto"/>
              </w:rPr>
            </w:pPr>
          </w:p>
        </w:tc>
      </w:tr>
      <w:tr>
        <w:trPr>
          <w:trHeight w:val="196"/>
        </w:trPr>
        <w:tc>
          <w:tcPr>
            <w:tcW w:w="77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55,623</w:t>
            </w:r>
          </w:p>
        </w:tc>
        <w:tc>
          <w:tcPr>
            <w:tcW w:w="24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59,793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000" w:type="dxa"/>
            <w:vAlign w:val="bottom"/>
          </w:tcPr>
          <w:p>
            <w:pPr>
              <w:spacing w:after="0"/>
              <w:rPr>
                <w:sz w:val="17"/>
                <w:szCs w:val="17"/>
                <w:color w:val="auto"/>
              </w:rPr>
            </w:pPr>
          </w:p>
        </w:tc>
        <w:tc>
          <w:tcPr>
            <w:tcW w:w="8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w w:val="94"/>
              </w:rPr>
              <w:t>(50,379 )</w:t>
            </w:r>
          </w:p>
        </w:tc>
        <w:tc>
          <w:tcPr>
            <w:tcW w:w="60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(57,666 )</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gain from equity-method investment</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(384 )</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1,248</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Gain from foreign currency</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expense, net</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(564 )</w:t>
            </w:r>
          </w:p>
        </w:tc>
        <w:tc>
          <w:tcPr>
            <w:tcW w:w="6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(358 )</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700" w:type="dxa"/>
            <w:vAlign w:val="bottom"/>
          </w:tcPr>
          <w:p>
            <w:pPr>
              <w:ind w:left="120"/>
              <w:spacing w:after="0" w:line="196" w:lineRule="exact"/>
              <w:rPr>
                <w:sz w:val="20"/>
                <w:szCs w:val="20"/>
                <w:color w:val="auto"/>
              </w:rPr>
            </w:pPr>
            <w:r>
              <w:rPr>
                <w:rFonts w:ascii="Arial" w:cs="Arial" w:eastAsia="Arial" w:hAnsi="Arial"/>
                <w:sz w:val="18"/>
                <w:szCs w:val="18"/>
                <w:color w:val="auto"/>
              </w:rPr>
              <w:t>Net loss</w:t>
            </w:r>
          </w:p>
        </w:tc>
        <w:tc>
          <w:tcPr>
            <w:tcW w:w="1000" w:type="dxa"/>
            <w:vAlign w:val="bottom"/>
          </w:tcPr>
          <w:p>
            <w:pPr>
              <w:jc w:val="right"/>
              <w:ind w:right="813"/>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w w:val="94"/>
              </w:rPr>
              <w:t>(51,169 )</w:t>
            </w:r>
          </w:p>
        </w:tc>
        <w:tc>
          <w:tcPr>
            <w:tcW w:w="600" w:type="dxa"/>
            <w:vAlign w:val="bottom"/>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(56,346 )</w:t>
            </w: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per share, basic and diluted</w:t>
            </w:r>
          </w:p>
        </w:tc>
        <w:tc>
          <w:tcPr>
            <w:tcW w:w="1000" w:type="dxa"/>
            <w:vAlign w:val="bottom"/>
            <w:tcBorders>
              <w:bottom w:val="single" w:sz="8" w:color="auto"/>
            </w:tcBorders>
            <w:shd w:val="clear" w:color="auto" w:fill="CFF0FC"/>
          </w:tcPr>
          <w:p>
            <w:pPr>
              <w:jc w:val="right"/>
              <w:ind w:right="813"/>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(1.94</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ind w:right="4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(2.15</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8"/>
                <w:szCs w:val="18"/>
                <w:color w:val="auto"/>
              </w:rPr>
              <w:t>Weighted-average shares outstanding, basic and diluted</w:t>
            </w:r>
          </w:p>
        </w:tc>
        <w:tc>
          <w:tcPr>
            <w:tcW w:w="100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8"/>
                <w:szCs w:val="18"/>
                <w:color w:val="auto"/>
              </w:rPr>
              <w:t>26,376</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26,243</w:t>
            </w:r>
          </w:p>
        </w:tc>
        <w:tc>
          <w:tcPr>
            <w:tcW w:w="80" w:type="dxa"/>
            <w:vAlign w:val="bottom"/>
          </w:tcPr>
          <w:p>
            <w:pPr>
              <w:spacing w:after="0"/>
              <w:rPr>
                <w:sz w:val="15"/>
                <w:szCs w:val="15"/>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Comprehensive loss: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tcPr>
          <w:p>
            <w:pPr>
              <w:jc w:val="right"/>
              <w:ind w:right="813"/>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w w:val="94"/>
              </w:rPr>
              <w:t>(51,169 )</w:t>
            </w:r>
          </w:p>
        </w:tc>
        <w:tc>
          <w:tcPr>
            <w:tcW w:w="60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(56,346 )</w:t>
            </w:r>
          </w:p>
        </w:tc>
      </w:tr>
      <w:tr>
        <w:trPr>
          <w:trHeight w:val="236"/>
        </w:trPr>
        <w:tc>
          <w:tcPr>
            <w:tcW w:w="7700" w:type="dxa"/>
            <w:vAlign w:val="bottom"/>
            <w:tcBorders>
              <w:top w:val="single" w:sz="8" w:color="CFF0FC"/>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Comprehensive loss</w:t>
            </w:r>
          </w:p>
        </w:tc>
        <w:tc>
          <w:tcPr>
            <w:tcW w:w="1000" w:type="dxa"/>
            <w:vAlign w:val="bottom"/>
            <w:tcBorders>
              <w:top w:val="single" w:sz="8" w:color="auto"/>
              <w:bottom w:val="single" w:sz="8" w:color="auto"/>
            </w:tcBorders>
            <w:shd w:val="clear" w:color="auto" w:fill="CFF0FC"/>
          </w:tcPr>
          <w:p>
            <w:pPr>
              <w:jc w:val="right"/>
              <w:ind w:right="813"/>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(51,169</w:t>
            </w:r>
          </w:p>
        </w:tc>
        <w:tc>
          <w:tcPr>
            <w:tcW w:w="240" w:type="dxa"/>
            <w:vAlign w:val="bottom"/>
            <w:tcBorders>
              <w:top w:val="single" w:sz="8" w:color="CFF0FC"/>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(56,346</w:t>
            </w:r>
          </w:p>
        </w:tc>
        <w:tc>
          <w:tcPr>
            <w:tcW w:w="80" w:type="dxa"/>
            <w:vAlign w:val="bottom"/>
            <w:tcBorders>
              <w:top w:val="single" w:sz="8" w:color="CFF0FC"/>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-1384935</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-1384935</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-862330</wp:posOffset>
            </wp:positionV>
            <wp:extent cx="514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-862330</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-574040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-556895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-574040</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-556895</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-162560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ind w:left="518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thousands</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Three Months Ended March 31,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140"/>
              <w:spacing w:after="0" w:line="177" w:lineRule="exact"/>
              <w:rPr>
                <w:sz w:val="20"/>
                <w:szCs w:val="20"/>
                <w:color w:val="auto"/>
              </w:rPr>
            </w:pPr>
            <w:r>
              <w:rPr>
                <w:rFonts w:ascii="Arial" w:cs="Arial" w:eastAsia="Arial" w:hAnsi="Arial"/>
                <w:sz w:val="18"/>
                <w:szCs w:val="18"/>
                <w:b w:val="1"/>
                <w:bCs w:val="1"/>
                <w:color w:val="auto"/>
                <w:w w:val="93"/>
              </w:rPr>
              <w:t>Additional</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center"/>
              <w:ind w:right="180"/>
              <w:spacing w:after="0" w:line="177" w:lineRule="exact"/>
              <w:rPr>
                <w:sz w:val="20"/>
                <w:szCs w:val="20"/>
                <w:color w:val="auto"/>
              </w:rPr>
            </w:pPr>
            <w:r>
              <w:rPr>
                <w:rFonts w:ascii="Arial" w:cs="Arial" w:eastAsia="Arial" w:hAnsi="Arial"/>
                <w:sz w:val="18"/>
                <w:szCs w:val="18"/>
                <w:b w:val="1"/>
                <w:bCs w:val="1"/>
                <w:color w:val="auto"/>
                <w:w w:val="88"/>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7"/>
            <w:vMerge w:val="restart"/>
          </w:tcPr>
          <w:p>
            <w:pPr>
              <w:jc w:val="right"/>
              <w:ind w:right="66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4"/>
            <w:vMerge w:val="restart"/>
          </w:tcPr>
          <w:p>
            <w:pPr>
              <w:jc w:val="right"/>
              <w:ind w:right="110"/>
              <w:spacing w:after="0"/>
              <w:rPr>
                <w:sz w:val="20"/>
                <w:szCs w:val="20"/>
                <w:color w:val="auto"/>
              </w:rPr>
            </w:pPr>
            <w:r>
              <w:rPr>
                <w:rFonts w:ascii="Arial" w:cs="Arial" w:eastAsia="Arial" w:hAnsi="Arial"/>
                <w:sz w:val="18"/>
                <w:szCs w:val="18"/>
                <w:b w:val="1"/>
                <w:bCs w:val="1"/>
                <w:color w:val="auto"/>
                <w:w w:val="91"/>
              </w:rPr>
              <w:t>Accumulated</w:t>
            </w:r>
          </w:p>
        </w:tc>
        <w:tc>
          <w:tcPr>
            <w:tcW w:w="40" w:type="dxa"/>
            <w:vAlign w:val="bottom"/>
          </w:tcPr>
          <w:p>
            <w:pPr>
              <w:spacing w:after="0"/>
              <w:rPr>
                <w:sz w:val="15"/>
                <w:szCs w:val="15"/>
                <w:color w:val="auto"/>
              </w:rPr>
            </w:pPr>
          </w:p>
        </w:tc>
        <w:tc>
          <w:tcPr>
            <w:tcW w:w="1140" w:type="dxa"/>
            <w:vAlign w:val="bottom"/>
            <w:gridSpan w:val="4"/>
          </w:tcPr>
          <w:p>
            <w:pPr>
              <w:jc w:val="center"/>
              <w:ind w:right="60"/>
              <w:spacing w:after="0" w:line="18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198"/>
        </w:trPr>
        <w:tc>
          <w:tcPr>
            <w:tcW w:w="4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gridSpan w:val="7"/>
            <w:vMerge w:val="continue"/>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1"/>
        </w:trPr>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Deficit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6"/>
        </w:trPr>
        <w:tc>
          <w:tcPr>
            <w:tcW w:w="48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 December 31, 2021</w:t>
            </w:r>
          </w:p>
        </w:tc>
        <w:tc>
          <w:tcPr>
            <w:tcW w:w="11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26,372</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26</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575,675</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(347,490</w:t>
            </w:r>
          </w:p>
        </w:tc>
        <w:tc>
          <w:tcPr>
            <w:tcW w:w="1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228,211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(51,169 )</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(51,169 )</w:t>
            </w:r>
          </w:p>
        </w:tc>
        <w:tc>
          <w:tcPr>
            <w:tcW w:w="0" w:type="dxa"/>
            <w:vAlign w:val="bottom"/>
          </w:tcPr>
          <w:p>
            <w:pPr>
              <w:spacing w:after="0"/>
              <w:rPr>
                <w:sz w:val="1"/>
                <w:szCs w:val="1"/>
                <w:color w:val="auto"/>
              </w:rPr>
            </w:pPr>
          </w:p>
        </w:tc>
      </w:tr>
      <w:tr>
        <w:trPr>
          <w:trHeight w:val="203"/>
        </w:trPr>
        <w:tc>
          <w:tcPr>
            <w:tcW w:w="48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Share-based compensation expense</w:t>
            </w: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7,371</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7,371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Issuance of common stock upon exercise of stock options</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tcBorders>
              <w:top w:val="single" w:sz="8" w:color="CFF0FC"/>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 – March 31, 2022</w:t>
            </w:r>
          </w:p>
        </w:tc>
        <w:tc>
          <w:tcPr>
            <w:tcW w:w="11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26,407</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26</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583,382</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(398,659</w:t>
            </w:r>
          </w:p>
        </w:tc>
        <w:tc>
          <w:tcPr>
            <w:tcW w:w="180" w:type="dxa"/>
            <w:vAlign w:val="bottom"/>
            <w:tcBorders>
              <w:top w:val="single" w:sz="8" w:color="CFF0FC"/>
              <w:bottom w:val="single" w:sz="8" w:color="CFF0FC"/>
            </w:tcBorders>
            <w:shd w:val="clear" w:color="auto" w:fill="CFF0FC"/>
          </w:tcPr>
          <w:p>
            <w:pPr>
              <w:jc w:val="right"/>
              <w:ind w:right="10"/>
              <w:spacing w:after="0" w:line="176" w:lineRule="exact"/>
              <w:rPr>
                <w:sz w:val="20"/>
                <w:szCs w:val="20"/>
                <w:color w:val="auto"/>
              </w:rPr>
            </w:pPr>
            <w:r>
              <w:rPr>
                <w:rFonts w:ascii="Arial" w:cs="Arial" w:eastAsia="Arial" w:hAnsi="Arial"/>
                <w:sz w:val="18"/>
                <w:szCs w:val="18"/>
                <w:b w:val="1"/>
                <w:bCs w:val="1"/>
                <w:color w:val="auto"/>
                <w:w w:val="99"/>
              </w:rPr>
              <w:t>)</w:t>
            </w: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184,749</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7300" w:type="dxa"/>
            <w:vAlign w:val="bottom"/>
            <w:tcBorders>
              <w:bottom w:val="single" w:sz="8" w:color="auto"/>
            </w:tcBorders>
            <w:gridSpan w:val="9"/>
          </w:tcPr>
          <w:p>
            <w:pPr>
              <w:ind w:left="4140"/>
              <w:spacing w:after="0"/>
              <w:rPr>
                <w:sz w:val="20"/>
                <w:szCs w:val="20"/>
                <w:color w:val="auto"/>
              </w:rPr>
            </w:pPr>
            <w:r>
              <w:rPr>
                <w:rFonts w:ascii="Arial" w:cs="Arial" w:eastAsia="Arial" w:hAnsi="Arial"/>
                <w:sz w:val="18"/>
                <w:szCs w:val="18"/>
                <w:b w:val="1"/>
                <w:bCs w:val="1"/>
                <w:color w:val="auto"/>
              </w:rPr>
              <w:t>Three Months Ended March 31, 2021</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tcPr>
          <w:p>
            <w:pPr>
              <w:jc w:val="right"/>
              <w:ind w:right="200"/>
              <w:spacing w:after="0" w:line="177" w:lineRule="exact"/>
              <w:rPr>
                <w:sz w:val="20"/>
                <w:szCs w:val="20"/>
                <w:color w:val="auto"/>
              </w:rPr>
            </w:pPr>
            <w:r>
              <w:rPr>
                <w:rFonts w:ascii="Arial" w:cs="Arial" w:eastAsia="Arial" w:hAnsi="Arial"/>
                <w:sz w:val="18"/>
                <w:szCs w:val="18"/>
                <w:b w:val="1"/>
                <w:bCs w:val="1"/>
                <w:color w:val="auto"/>
                <w:w w:val="99"/>
              </w:rPr>
              <w:t>Additional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10"/>
              <w:spacing w:after="0" w:line="177"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7"/>
            <w:vMerge w:val="restart"/>
          </w:tcPr>
          <w:p>
            <w:pPr>
              <w:jc w:val="right"/>
              <w:ind w:right="70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5"/>
                <w:szCs w:val="15"/>
                <w:color w:val="auto"/>
              </w:rPr>
            </w:pPr>
          </w:p>
        </w:tc>
        <w:tc>
          <w:tcPr>
            <w:tcW w:w="128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15"/>
                <w:szCs w:val="15"/>
                <w:color w:val="auto"/>
              </w:rPr>
            </w:pPr>
          </w:p>
        </w:tc>
        <w:tc>
          <w:tcPr>
            <w:tcW w:w="1140" w:type="dxa"/>
            <w:vAlign w:val="bottom"/>
            <w:gridSpan w:val="4"/>
          </w:tcPr>
          <w:p>
            <w:pPr>
              <w:spacing w:after="0" w:line="181" w:lineRule="exact"/>
              <w:rPr>
                <w:sz w:val="20"/>
                <w:szCs w:val="20"/>
                <w:color w:val="auto"/>
              </w:rPr>
            </w:pPr>
            <w:r>
              <w:rPr>
                <w:rFonts w:ascii="Arial" w:cs="Arial" w:eastAsia="Arial" w:hAnsi="Arial"/>
                <w:sz w:val="18"/>
                <w:szCs w:val="18"/>
                <w:b w:val="1"/>
                <w:bCs w:val="1"/>
                <w:color w:val="auto"/>
                <w:w w:val="98"/>
              </w:rPr>
              <w:t>Stockholders</w:t>
            </w:r>
          </w:p>
        </w:tc>
        <w:tc>
          <w:tcPr>
            <w:tcW w:w="0" w:type="dxa"/>
            <w:vAlign w:val="bottom"/>
          </w:tcPr>
          <w:p>
            <w:pPr>
              <w:spacing w:after="0"/>
              <w:rPr>
                <w:sz w:val="1"/>
                <w:szCs w:val="1"/>
                <w:color w:val="auto"/>
              </w:rPr>
            </w:pPr>
          </w:p>
        </w:tc>
      </w:tr>
      <w:tr>
        <w:trPr>
          <w:trHeight w:val="198"/>
        </w:trPr>
        <w:tc>
          <w:tcPr>
            <w:tcW w:w="4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gridSpan w:val="7"/>
            <w:vMerge w:val="continue"/>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5"/>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1"/>
        </w:trPr>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Deficit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 December 31, 2020</w:t>
            </w:r>
          </w:p>
        </w:tc>
        <w:tc>
          <w:tcPr>
            <w:tcW w:w="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26,192</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540,343</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(143,816</w:t>
            </w:r>
          </w:p>
        </w:tc>
        <w:tc>
          <w:tcPr>
            <w:tcW w:w="220" w:type="dxa"/>
            <w:vAlign w:val="bottom"/>
            <w:gridSpan w:val="2"/>
            <w:shd w:val="clear" w:color="auto" w:fill="CFF0FC"/>
          </w:tcPr>
          <w:p>
            <w:pPr>
              <w:jc w:val="right"/>
              <w:ind w:right="7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396,553</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(56,346 )</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(56,346 )</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rPr>
              <w:t>Issuance of common stock related to acquired in-process</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3"/>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06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3"/>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Share-based compensation expense</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6,987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6,987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Issuance of common stock upon exercise of stock options</w:t>
            </w:r>
          </w:p>
        </w:tc>
        <w:tc>
          <w:tcPr>
            <w:tcW w:w="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413</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413</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BALANCE – March 31, 2021</w:t>
            </w:r>
          </w:p>
        </w:tc>
        <w:tc>
          <w:tcPr>
            <w:tcW w:w="10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26,319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552,743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(200,162</w:t>
            </w:r>
          </w:p>
        </w:tc>
        <w:tc>
          <w:tcPr>
            <w:tcW w:w="220" w:type="dxa"/>
            <w:vAlign w:val="bottom"/>
            <w:gridSpan w:val="2"/>
          </w:tcPr>
          <w:p>
            <w:pPr>
              <w:jc w:val="right"/>
              <w:ind w:right="70"/>
              <w:spacing w:after="0" w:line="176" w:lineRule="exact"/>
              <w:rPr>
                <w:sz w:val="20"/>
                <w:szCs w:val="20"/>
                <w:color w:val="auto"/>
              </w:rPr>
            </w:pPr>
            <w:r>
              <w:rPr>
                <w:rFonts w:ascii="Arial" w:cs="Arial" w:eastAsia="Arial" w:hAnsi="Arial"/>
                <w:sz w:val="16"/>
                <w:szCs w:val="16"/>
                <w:b w:val="1"/>
                <w:bCs w:val="1"/>
                <w:color w:val="auto"/>
                <w:w w:val="74"/>
              </w:rPr>
              <w:t>)</w:t>
            </w:r>
          </w:p>
        </w:tc>
        <w:tc>
          <w:tcPr>
            <w:tcW w:w="20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352,607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-2185670</wp:posOffset>
            </wp:positionV>
            <wp:extent cx="431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-2167890</wp:posOffset>
            </wp:positionV>
            <wp:extent cx="431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-2322195</wp:posOffset>
            </wp:positionV>
            <wp:extent cx="43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-2185670</wp:posOffset>
            </wp:positionV>
            <wp:extent cx="431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-2167890</wp:posOffset>
            </wp:positionV>
            <wp:extent cx="431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-2322195</wp:posOffset>
            </wp:positionV>
            <wp:extent cx="43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-2185670</wp:posOffset>
            </wp:positionV>
            <wp:extent cx="342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-2167890</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-2322195</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-2185670</wp:posOffset>
            </wp:positionV>
            <wp:extent cx="431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-2167890</wp:posOffset>
            </wp:positionV>
            <wp:extent cx="431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-2322195</wp:posOffset>
            </wp:positionV>
            <wp:extent cx="431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-2185670</wp:posOffset>
            </wp:positionV>
            <wp:extent cx="43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-2167890</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-2322195</wp:posOffset>
            </wp:positionV>
            <wp:extent cx="431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left="340" w:right="2620"/>
        <w:spacing w:after="0" w:line="239"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CASH FLOWS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8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84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920" w:type="dxa"/>
            <w:vAlign w:val="bottom"/>
          </w:tcPr>
          <w:p>
            <w:pPr>
              <w:jc w:val="right"/>
              <w:ind w:right="785"/>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w w:val="91"/>
              </w:rPr>
              <w:t>(51,169 )</w:t>
            </w:r>
          </w:p>
        </w:tc>
        <w:tc>
          <w:tcPr>
            <w:tcW w:w="900" w:type="dxa"/>
            <w:vAlign w:val="bottom"/>
          </w:tcPr>
          <w:p>
            <w:pPr>
              <w:jc w:val="right"/>
              <w:ind w:right="739"/>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4"/>
              </w:rPr>
              <w:t>(56,346 )</w:t>
            </w:r>
          </w:p>
        </w:tc>
      </w:tr>
      <w:tr>
        <w:trPr>
          <w:trHeight w:val="203"/>
        </w:trPr>
        <w:tc>
          <w:tcPr>
            <w:tcW w:w="7840" w:type="dxa"/>
            <w:vAlign w:val="bottom"/>
            <w:tcBorders>
              <w:right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92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c>
          <w:tcPr>
            <w:tcW w:w="80" w:type="dxa"/>
            <w:vAlign w:val="bottom"/>
          </w:tcPr>
          <w:p>
            <w:pPr>
              <w:spacing w:after="0"/>
              <w:rPr>
                <w:sz w:val="17"/>
                <w:szCs w:val="17"/>
                <w:color w:val="auto"/>
              </w:rPr>
            </w:pPr>
          </w:p>
        </w:tc>
      </w:tr>
      <w:tr>
        <w:trPr>
          <w:trHeight w:val="203"/>
        </w:trPr>
        <w:tc>
          <w:tcPr>
            <w:tcW w:w="78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7,371</w:t>
            </w:r>
          </w:p>
        </w:tc>
        <w:tc>
          <w:tcPr>
            <w:tcW w:w="28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6,987</w:t>
            </w:r>
          </w:p>
        </w:tc>
        <w:tc>
          <w:tcPr>
            <w:tcW w:w="8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Acquired in-process research and development expense</w:t>
            </w:r>
          </w:p>
        </w:tc>
        <w:tc>
          <w:tcPr>
            <w:tcW w:w="920" w:type="dxa"/>
            <w:vAlign w:val="bottom"/>
          </w:tcPr>
          <w:p>
            <w:pPr>
              <w:spacing w:after="0"/>
              <w:rPr>
                <w:sz w:val="17"/>
                <w:szCs w:val="17"/>
                <w:color w:val="auto"/>
              </w:rPr>
            </w:pPr>
          </w:p>
        </w:tc>
        <w:tc>
          <w:tcPr>
            <w:tcW w:w="8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80" w:type="dxa"/>
            <w:vAlign w:val="bottom"/>
          </w:tcPr>
          <w:p>
            <w:pPr>
              <w:spacing w:after="0"/>
              <w:rPr>
                <w:sz w:val="17"/>
                <w:szCs w:val="17"/>
                <w:color w:val="auto"/>
              </w:rPr>
            </w:pPr>
          </w:p>
        </w:tc>
      </w:tr>
      <w:tr>
        <w:trPr>
          <w:trHeight w:val="203"/>
        </w:trPr>
        <w:tc>
          <w:tcPr>
            <w:tcW w:w="78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Loss (gain) from equity-method investment</w:t>
            </w:r>
          </w:p>
        </w:tc>
        <w:tc>
          <w:tcPr>
            <w:tcW w:w="92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384</w:t>
            </w:r>
          </w:p>
        </w:tc>
        <w:tc>
          <w:tcPr>
            <w:tcW w:w="28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(1,248 )</w:t>
            </w: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transaction gain</w:t>
            </w:r>
          </w:p>
        </w:tc>
        <w:tc>
          <w:tcPr>
            <w:tcW w:w="920" w:type="dxa"/>
            <w:vAlign w:val="bottom"/>
          </w:tcPr>
          <w:p>
            <w:pPr>
              <w:spacing w:after="0"/>
              <w:rPr>
                <w:sz w:val="17"/>
                <w:szCs w:val="17"/>
                <w:color w:val="auto"/>
              </w:rPr>
            </w:pPr>
          </w:p>
        </w:tc>
        <w:tc>
          <w:tcPr>
            <w:tcW w:w="8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(158 )</w:t>
            </w:r>
          </w:p>
        </w:tc>
        <w:tc>
          <w:tcPr>
            <w:tcW w:w="9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(440 )</w:t>
            </w:r>
          </w:p>
        </w:tc>
      </w:tr>
      <w:tr>
        <w:trPr>
          <w:trHeight w:val="203"/>
        </w:trPr>
        <w:tc>
          <w:tcPr>
            <w:tcW w:w="78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non-cash expenses</w:t>
            </w:r>
          </w:p>
        </w:tc>
        <w:tc>
          <w:tcPr>
            <w:tcW w:w="92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919</w:t>
            </w:r>
          </w:p>
        </w:tc>
        <w:tc>
          <w:tcPr>
            <w:tcW w:w="28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696</w:t>
            </w:r>
          </w:p>
        </w:tc>
        <w:tc>
          <w:tcPr>
            <w:tcW w:w="80" w:type="dxa"/>
            <w:vAlign w:val="bottom"/>
            <w:shd w:val="clear" w:color="auto" w:fill="CFF0FC"/>
          </w:tcPr>
          <w:p>
            <w:pPr>
              <w:spacing w:after="0"/>
              <w:rPr>
                <w:sz w:val="17"/>
                <w:szCs w:val="17"/>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8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(324 )</w:t>
            </w:r>
          </w:p>
        </w:tc>
        <w:tc>
          <w:tcPr>
            <w:tcW w:w="9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118</w:t>
            </w:r>
          </w:p>
        </w:tc>
        <w:tc>
          <w:tcPr>
            <w:tcW w:w="8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 and other assets</w:t>
            </w:r>
          </w:p>
        </w:tc>
        <w:tc>
          <w:tcPr>
            <w:tcW w:w="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1,466</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1,619</w:t>
            </w:r>
          </w:p>
        </w:tc>
        <w:tc>
          <w:tcPr>
            <w:tcW w:w="80" w:type="dxa"/>
            <w:vAlign w:val="bottom"/>
          </w:tcPr>
          <w:p>
            <w:pPr>
              <w:spacing w:after="0"/>
              <w:rPr>
                <w:sz w:val="17"/>
                <w:szCs w:val="17"/>
                <w:color w:val="auto"/>
              </w:rPr>
            </w:pPr>
          </w:p>
        </w:tc>
      </w:tr>
      <w:tr>
        <w:trPr>
          <w:trHeight w:val="203"/>
        </w:trPr>
        <w:tc>
          <w:tcPr>
            <w:tcW w:w="78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9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(44 )</w:t>
            </w:r>
          </w:p>
        </w:tc>
        <w:tc>
          <w:tcPr>
            <w:tcW w:w="9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(5,415 )</w:t>
            </w: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920" w:type="dxa"/>
            <w:vAlign w:val="bottom"/>
          </w:tcPr>
          <w:p>
            <w:pPr>
              <w:spacing w:after="0"/>
              <w:rPr>
                <w:sz w:val="17"/>
                <w:szCs w:val="17"/>
                <w:color w:val="auto"/>
              </w:rPr>
            </w:pPr>
          </w:p>
        </w:tc>
        <w:tc>
          <w:tcPr>
            <w:tcW w:w="8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(3,998 )</w:t>
            </w:r>
          </w:p>
        </w:tc>
        <w:tc>
          <w:tcPr>
            <w:tcW w:w="9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7,143</w:t>
            </w:r>
          </w:p>
        </w:tc>
        <w:tc>
          <w:tcPr>
            <w:tcW w:w="80" w:type="dxa"/>
            <w:vAlign w:val="bottom"/>
          </w:tcPr>
          <w:p>
            <w:pPr>
              <w:spacing w:after="0"/>
              <w:rPr>
                <w:sz w:val="17"/>
                <w:szCs w:val="17"/>
                <w:color w:val="auto"/>
              </w:rPr>
            </w:pPr>
          </w:p>
        </w:tc>
      </w:tr>
      <w:tr>
        <w:trPr>
          <w:trHeight w:val="203"/>
        </w:trPr>
        <w:tc>
          <w:tcPr>
            <w:tcW w:w="78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9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(3,710 )</w:t>
            </w:r>
          </w:p>
        </w:tc>
        <w:tc>
          <w:tcPr>
            <w:tcW w:w="9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(1,371 )</w:t>
            </w:r>
          </w:p>
        </w:tc>
      </w:tr>
      <w:tr>
        <w:trPr>
          <w:trHeight w:val="20"/>
        </w:trPr>
        <w:tc>
          <w:tcPr>
            <w:tcW w:w="7840" w:type="dxa"/>
            <w:vAlign w:val="bottom"/>
            <w:tcBorders>
              <w:right w:val="single" w:sz="8" w:color="auto"/>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84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Net cash used in operating activities</w:t>
            </w:r>
          </w:p>
        </w:tc>
        <w:tc>
          <w:tcPr>
            <w:tcW w:w="920" w:type="dxa"/>
            <w:vAlign w:val="bottom"/>
          </w:tcPr>
          <w:p>
            <w:pPr>
              <w:spacing w:after="0"/>
              <w:rPr>
                <w:sz w:val="17"/>
                <w:szCs w:val="17"/>
                <w:color w:val="auto"/>
              </w:rPr>
            </w:pPr>
          </w:p>
        </w:tc>
        <w:tc>
          <w:tcPr>
            <w:tcW w:w="88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w w:val="91"/>
              </w:rPr>
              <w:t>(49,039 )</w:t>
            </w:r>
          </w:p>
        </w:tc>
        <w:tc>
          <w:tcPr>
            <w:tcW w:w="90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(42,950 )</w:t>
            </w:r>
          </w:p>
        </w:tc>
      </w:tr>
      <w:tr>
        <w:trPr>
          <w:trHeight w:val="203"/>
        </w:trPr>
        <w:tc>
          <w:tcPr>
            <w:tcW w:w="7840" w:type="dxa"/>
            <w:vAlign w:val="bottom"/>
            <w:tcBorders>
              <w:right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INVESTING ACTIVITIES:</w:t>
            </w:r>
          </w:p>
        </w:tc>
        <w:tc>
          <w:tcPr>
            <w:tcW w:w="92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Acquisition of property and equipment</w:t>
            </w:r>
          </w:p>
        </w:tc>
        <w:tc>
          <w:tcPr>
            <w:tcW w:w="920" w:type="dxa"/>
            <w:vAlign w:val="bottom"/>
          </w:tcPr>
          <w:p>
            <w:pPr>
              <w:spacing w:after="0"/>
              <w:rPr>
                <w:sz w:val="17"/>
                <w:szCs w:val="17"/>
                <w:color w:val="auto"/>
              </w:rPr>
            </w:pPr>
          </w:p>
        </w:tc>
        <w:tc>
          <w:tcPr>
            <w:tcW w:w="8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(2,111 )</w:t>
            </w:r>
          </w:p>
        </w:tc>
        <w:tc>
          <w:tcPr>
            <w:tcW w:w="9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(118 )</w:t>
            </w:r>
          </w:p>
        </w:tc>
      </w:tr>
      <w:tr>
        <w:trPr>
          <w:trHeight w:val="196"/>
        </w:trPr>
        <w:tc>
          <w:tcPr>
            <w:tcW w:w="7840" w:type="dxa"/>
            <w:vAlign w:val="bottom"/>
            <w:tcBorders>
              <w:top w:val="single" w:sz="8" w:color="CFF0FC"/>
              <w:right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9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(2,111</w:t>
            </w:r>
          </w:p>
        </w:tc>
        <w:tc>
          <w:tcPr>
            <w:tcW w:w="280" w:type="dxa"/>
            <w:vAlign w:val="bottom"/>
            <w:tcBorders>
              <w:top w:val="single" w:sz="8" w:color="CFF0FC"/>
              <w:right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w:t>
            </w:r>
          </w:p>
        </w:tc>
        <w:tc>
          <w:tcPr>
            <w:tcW w:w="80" w:type="dxa"/>
            <w:vAlign w:val="bottom"/>
            <w:tcBorders>
              <w:top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8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debt</w:t>
            </w:r>
          </w:p>
        </w:tc>
        <w:tc>
          <w:tcPr>
            <w:tcW w:w="92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46,599</w:t>
            </w:r>
          </w:p>
        </w:tc>
        <w:tc>
          <w:tcPr>
            <w:tcW w:w="80" w:type="dxa"/>
            <w:vAlign w:val="bottom"/>
            <w:shd w:val="clear" w:color="auto" w:fill="CFF0FC"/>
          </w:tcPr>
          <w:p>
            <w:pPr>
              <w:spacing w:after="0"/>
              <w:rPr>
                <w:sz w:val="17"/>
                <w:szCs w:val="17"/>
                <w:color w:val="auto"/>
              </w:rPr>
            </w:pPr>
          </w:p>
        </w:tc>
      </w:tr>
      <w:tr>
        <w:trPr>
          <w:trHeight w:val="203"/>
        </w:trPr>
        <w:tc>
          <w:tcPr>
            <w:tcW w:w="7840" w:type="dxa"/>
            <w:vAlign w:val="bottom"/>
            <w:tcBorders>
              <w:bottom w:val="single" w:sz="8" w:color="CFF0FC"/>
            </w:tcBorders>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w:t>
            </w:r>
          </w:p>
        </w:tc>
        <w:tc>
          <w:tcPr>
            <w:tcW w:w="28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413</w:t>
            </w:r>
          </w:p>
        </w:tc>
        <w:tc>
          <w:tcPr>
            <w:tcW w:w="80" w:type="dxa"/>
            <w:vAlign w:val="bottom"/>
            <w:tcBorders>
              <w:bottom w:val="single" w:sz="8" w:color="CFF0FC"/>
            </w:tcBorders>
          </w:tcPr>
          <w:p>
            <w:pPr>
              <w:spacing w:after="0"/>
              <w:rPr>
                <w:sz w:val="17"/>
                <w:szCs w:val="17"/>
                <w:color w:val="auto"/>
              </w:rPr>
            </w:pPr>
          </w:p>
        </w:tc>
      </w:tr>
      <w:tr>
        <w:trPr>
          <w:trHeight w:val="183"/>
        </w:trPr>
        <w:tc>
          <w:tcPr>
            <w:tcW w:w="7840" w:type="dxa"/>
            <w:vAlign w:val="bottom"/>
            <w:tcBorders>
              <w:bottom w:val="single" w:sz="8" w:color="CFF0FC"/>
              <w:right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b w:val="1"/>
                <w:bCs w:val="1"/>
                <w:color w:val="auto"/>
              </w:rPr>
              <w:t>Net cash provided by financing activities</w:t>
            </w:r>
          </w:p>
        </w:tc>
        <w:tc>
          <w:tcPr>
            <w:tcW w:w="9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336</w:t>
            </w:r>
          </w:p>
        </w:tc>
        <w:tc>
          <w:tcPr>
            <w:tcW w:w="280" w:type="dxa"/>
            <w:vAlign w:val="bottom"/>
            <w:tcBorders>
              <w:bottom w:val="single" w:sz="8" w:color="CFF0FC"/>
              <w:right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47,012</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color w:val="auto"/>
              </w:rPr>
              <w:t>NET (DECREASE) INCREASE IN CASH, CASH EQUIVALENTS AND RESTRICTED CASH</w:t>
            </w:r>
          </w:p>
        </w:tc>
        <w:tc>
          <w:tcPr>
            <w:tcW w:w="920" w:type="dxa"/>
            <w:vAlign w:val="bottom"/>
          </w:tcPr>
          <w:p>
            <w:pPr>
              <w:spacing w:after="0"/>
              <w:rPr>
                <w:sz w:val="17"/>
                <w:szCs w:val="17"/>
                <w:color w:val="auto"/>
              </w:rPr>
            </w:pPr>
          </w:p>
        </w:tc>
        <w:tc>
          <w:tcPr>
            <w:tcW w:w="88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w w:val="91"/>
              </w:rPr>
              <w:t>(50,814 )</w:t>
            </w:r>
          </w:p>
        </w:tc>
        <w:tc>
          <w:tcPr>
            <w:tcW w:w="9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3,944</w:t>
            </w:r>
          </w:p>
        </w:tc>
        <w:tc>
          <w:tcPr>
            <w:tcW w:w="80" w:type="dxa"/>
            <w:vAlign w:val="bottom"/>
          </w:tcPr>
          <w:p>
            <w:pPr>
              <w:spacing w:after="0"/>
              <w:rPr>
                <w:sz w:val="17"/>
                <w:szCs w:val="17"/>
                <w:color w:val="auto"/>
              </w:rPr>
            </w:pPr>
          </w:p>
        </w:tc>
      </w:tr>
      <w:tr>
        <w:trPr>
          <w:trHeight w:val="202"/>
        </w:trPr>
        <w:tc>
          <w:tcPr>
            <w:tcW w:w="7840" w:type="dxa"/>
            <w:vAlign w:val="bottom"/>
            <w:tcBorders>
              <w:bottom w:val="single" w:sz="8" w:color="CFF0FC"/>
              <w:right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the period</w:t>
            </w:r>
          </w:p>
        </w:tc>
        <w:tc>
          <w:tcPr>
            <w:tcW w:w="9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372,569</w:t>
            </w:r>
          </w:p>
        </w:tc>
        <w:tc>
          <w:tcPr>
            <w:tcW w:w="280" w:type="dxa"/>
            <w:vAlign w:val="bottom"/>
            <w:tcBorders>
              <w:bottom w:val="single" w:sz="8" w:color="CFF0FC"/>
              <w:right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463,002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the period</w:t>
            </w:r>
          </w:p>
        </w:tc>
        <w:tc>
          <w:tcPr>
            <w:tcW w:w="920" w:type="dxa"/>
            <w:vAlign w:val="bottom"/>
            <w:tcBorders>
              <w:bottom w:val="single" w:sz="8" w:color="auto"/>
            </w:tcBorders>
          </w:tcPr>
          <w:p>
            <w:pPr>
              <w:jc w:val="right"/>
              <w:ind w:right="785"/>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321,755</w:t>
            </w:r>
          </w:p>
        </w:tc>
        <w:tc>
          <w:tcPr>
            <w:tcW w:w="280" w:type="dxa"/>
            <w:vAlign w:val="bottom"/>
          </w:tcPr>
          <w:p>
            <w:pPr>
              <w:spacing w:after="0"/>
              <w:rPr>
                <w:sz w:val="17"/>
                <w:szCs w:val="17"/>
                <w:color w:val="auto"/>
              </w:rPr>
            </w:pPr>
          </w:p>
        </w:tc>
        <w:tc>
          <w:tcPr>
            <w:tcW w:w="900" w:type="dxa"/>
            <w:vAlign w:val="bottom"/>
            <w:tcBorders>
              <w:bottom w:val="single" w:sz="8" w:color="auto"/>
            </w:tcBorders>
          </w:tcPr>
          <w:p>
            <w:pPr>
              <w:jc w:val="right"/>
              <w:ind w:right="739"/>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466,946</w:t>
            </w:r>
          </w:p>
        </w:tc>
        <w:tc>
          <w:tcPr>
            <w:tcW w:w="80" w:type="dxa"/>
            <w:vAlign w:val="bottom"/>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7840" w:type="dxa"/>
            <w:vAlign w:val="bottom"/>
          </w:tcPr>
          <w:p>
            <w:pPr>
              <w:spacing w:after="0"/>
              <w:rPr>
                <w:sz w:val="24"/>
                <w:szCs w:val="2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7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84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9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right w:val="single" w:sz="8" w:color="CFF0FC"/>
            </w:tcBorders>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interest</w:t>
            </w:r>
          </w:p>
        </w:tc>
        <w:tc>
          <w:tcPr>
            <w:tcW w:w="920" w:type="dxa"/>
            <w:vAlign w:val="bottom"/>
          </w:tcPr>
          <w:p>
            <w:pPr>
              <w:jc w:val="right"/>
              <w:ind w:right="745"/>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280" w:type="dxa"/>
            <w:vAlign w:val="bottom"/>
          </w:tcPr>
          <w:p>
            <w:pPr>
              <w:spacing w:after="0"/>
              <w:rPr>
                <w:sz w:val="17"/>
                <w:szCs w:val="17"/>
                <w:color w:val="auto"/>
              </w:rPr>
            </w:pPr>
          </w:p>
        </w:tc>
        <w:tc>
          <w:tcPr>
            <w:tcW w:w="900" w:type="dxa"/>
            <w:vAlign w:val="bottom"/>
          </w:tcPr>
          <w:p>
            <w:pPr>
              <w:jc w:val="right"/>
              <w:ind w:right="719"/>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80" w:type="dxa"/>
            <w:vAlign w:val="bottom"/>
          </w:tcPr>
          <w:p>
            <w:pPr>
              <w:spacing w:after="0"/>
              <w:rPr>
                <w:sz w:val="17"/>
                <w:szCs w:val="17"/>
                <w:color w:val="auto"/>
              </w:rPr>
            </w:pPr>
          </w:p>
        </w:tc>
      </w:tr>
      <w:tr>
        <w:trPr>
          <w:trHeight w:val="203"/>
        </w:trPr>
        <w:tc>
          <w:tcPr>
            <w:tcW w:w="7840" w:type="dxa"/>
            <w:vAlign w:val="bottom"/>
            <w:tcBorders>
              <w:right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Non-cash investing activities</w:t>
            </w:r>
          </w:p>
        </w:tc>
        <w:tc>
          <w:tcPr>
            <w:tcW w:w="92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Right-of-use asset obtained in exchange for lease liabilities</w:t>
            </w:r>
          </w:p>
        </w:tc>
        <w:tc>
          <w:tcPr>
            <w:tcW w:w="920" w:type="dxa"/>
            <w:vAlign w:val="bottom"/>
          </w:tcPr>
          <w:p>
            <w:pPr>
              <w:jc w:val="right"/>
              <w:ind w:right="745"/>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719"/>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1,828</w:t>
            </w:r>
          </w:p>
        </w:tc>
        <w:tc>
          <w:tcPr>
            <w:tcW w:w="80" w:type="dxa"/>
            <w:vAlign w:val="bottom"/>
          </w:tcPr>
          <w:p>
            <w:pPr>
              <w:spacing w:after="0"/>
              <w:rPr>
                <w:sz w:val="17"/>
                <w:szCs w:val="17"/>
                <w:color w:val="auto"/>
              </w:rPr>
            </w:pPr>
          </w:p>
        </w:tc>
      </w:tr>
      <w:tr>
        <w:trPr>
          <w:trHeight w:val="202"/>
        </w:trPr>
        <w:tc>
          <w:tcPr>
            <w:tcW w:w="78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Acquisition of in-process research and development through issuance of common stock</w:t>
            </w:r>
          </w:p>
        </w:tc>
        <w:tc>
          <w:tcPr>
            <w:tcW w:w="920" w:type="dxa"/>
            <w:vAlign w:val="bottom"/>
            <w:shd w:val="clear" w:color="auto" w:fill="CFF0FC"/>
          </w:tcPr>
          <w:p>
            <w:pPr>
              <w:jc w:val="right"/>
              <w:ind w:right="745"/>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9"/>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5,000</w:t>
            </w:r>
          </w:p>
        </w:tc>
        <w:tc>
          <w:tcPr>
            <w:tcW w:w="80" w:type="dxa"/>
            <w:vAlign w:val="bottom"/>
            <w:shd w:val="clear" w:color="auto" w:fill="CFF0FC"/>
          </w:tcPr>
          <w:p>
            <w:pPr>
              <w:spacing w:after="0"/>
              <w:rPr>
                <w:sz w:val="17"/>
                <w:szCs w:val="17"/>
                <w:color w:val="auto"/>
              </w:rPr>
            </w:pPr>
          </w:p>
        </w:tc>
      </w:tr>
      <w:tr>
        <w:trPr>
          <w:trHeight w:val="230"/>
        </w:trPr>
        <w:tc>
          <w:tcPr>
            <w:tcW w:w="7840" w:type="dxa"/>
            <w:vAlign w:val="bottom"/>
          </w:tcPr>
          <w:p>
            <w:pPr>
              <w:ind w:left="200"/>
              <w:spacing w:after="0"/>
              <w:rPr>
                <w:sz w:val="20"/>
                <w:szCs w:val="20"/>
                <w:color w:val="auto"/>
              </w:rPr>
            </w:pPr>
            <w:r>
              <w:rPr>
                <w:rFonts w:ascii="Arial" w:cs="Arial" w:eastAsia="Arial" w:hAnsi="Arial"/>
                <w:sz w:val="18"/>
                <w:szCs w:val="18"/>
                <w:color w:val="auto"/>
              </w:rPr>
              <w:t>Purchase of property and equipment in accounts payable</w:t>
            </w:r>
          </w:p>
        </w:tc>
        <w:tc>
          <w:tcPr>
            <w:tcW w:w="920" w:type="dxa"/>
            <w:vAlign w:val="bottom"/>
          </w:tcPr>
          <w:p>
            <w:pPr>
              <w:jc w:val="right"/>
              <w:ind w:right="74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-2628900</wp:posOffset>
            </wp:positionV>
            <wp:extent cx="5143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-2628900</wp:posOffset>
            </wp:positionV>
            <wp:extent cx="514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-2237105</wp:posOffset>
            </wp:positionV>
            <wp:extent cx="514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-2237105</wp:posOffset>
            </wp:positionV>
            <wp:extent cx="5143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-1727200</wp:posOffset>
            </wp:positionV>
            <wp:extent cx="7683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-1727200</wp:posOffset>
            </wp:positionV>
            <wp:extent cx="76835"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-1316990</wp:posOffset>
            </wp:positionV>
            <wp:extent cx="5143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-1316990</wp:posOffset>
            </wp:positionV>
            <wp:extent cx="514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left="360" w:right="2600"/>
        <w:spacing w:after="0" w:line="250" w:lineRule="auto"/>
        <w:rPr>
          <w:sz w:val="20"/>
          <w:szCs w:val="20"/>
          <w:color w:val="auto"/>
        </w:rPr>
      </w:pPr>
      <w:r>
        <w:rPr>
          <w:rFonts w:ascii="Arial" w:cs="Arial" w:eastAsia="Arial" w:hAnsi="Arial"/>
          <w:sz w:val="18"/>
          <w:szCs w:val="18"/>
          <w:b w:val="1"/>
          <w:bCs w:val="1"/>
          <w:color w:val="auto"/>
        </w:rPr>
        <w:t>ARCTURUS THERAPEUTICS HOLDINGS INC. AND ITS SUBSIDIARIES NOTES TO CONDENSED CONSOLIDATED FINANCIAL STATEMENTS (Unaudited)</w:t>
      </w:r>
    </w:p>
    <w:p>
      <w:pPr>
        <w:spacing w:after="0" w:line="177" w:lineRule="exact"/>
        <w:rPr>
          <w:sz w:val="20"/>
          <w:szCs w:val="20"/>
          <w:color w:val="auto"/>
        </w:rPr>
      </w:pPr>
    </w:p>
    <w:p>
      <w:pPr>
        <w:ind w:right="3380"/>
        <w:spacing w:after="0" w:line="362" w:lineRule="auto"/>
        <w:rPr>
          <w:sz w:val="20"/>
          <w:szCs w:val="20"/>
          <w:color w:val="auto"/>
        </w:rPr>
      </w:pPr>
      <w:r>
        <w:rPr>
          <w:rFonts w:ascii="Arial" w:cs="Arial" w:eastAsia="Arial" w:hAnsi="Arial"/>
          <w:sz w:val="18"/>
          <w:szCs w:val="18"/>
          <w:b w:val="1"/>
          <w:bCs w:val="1"/>
          <w:color w:val="auto"/>
        </w:rPr>
        <w:t>Note 1. Description of Business, Basis of Presentation and Summary of Significant Accounting Policies Description of Business</w:t>
      </w:r>
    </w:p>
    <w:p>
      <w:pPr>
        <w:spacing w:after="0" w:line="1"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Arcturus Therapeutics Holdings Inc. (the “Company” or "Arcturus") is a late-stage global clinical messenger RNA medicines company focused on the development of infectious disease vaccines and significant opportunities within liver and respiratory rare diseases. The Company became a clinical stage company during 2020 when it announced that its Investigational New Drug (“IND”) application for ornithine transcarbamylase (“OTC”) deficiency and its Clinical Trial Application (“CTA”) candidate LUNAR-COV19 were approved by applicable health authorities.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accompanying condensed consolidated financial statements include the accounts of Arcturus Therapeutics Holdings Inc.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81"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Interim financial results are not necessarily indicative of results anticipated for the full year. These condensed consolidated financial statements should be read in conjunction with the audited financial statements and footnotes included in the Company’s Annual Report on Form 10-K for the year ended December 31, 2021.</w:t>
      </w:r>
    </w:p>
    <w:p>
      <w:pPr>
        <w:spacing w:after="0" w:line="7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These condensed consolidated financial statements are prepared in accordance with GAAP, which requires management to make estimates and assumptions regarding the valuation of debt instruments, the equity-method investment, share-based compensation expense,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 Equity Method Investments and Variable Interest Entities</w:t>
      </w:r>
    </w:p>
    <w:p>
      <w:pPr>
        <w:spacing w:after="0" w:line="108" w:lineRule="exact"/>
        <w:rPr>
          <w:sz w:val="20"/>
          <w:szCs w:val="20"/>
          <w:color w:val="auto"/>
        </w:rPr>
      </w:pPr>
    </w:p>
    <w:p>
      <w:pPr>
        <w:jc w:val="both"/>
        <w:ind w:right="140" w:firstLine="509"/>
        <w:spacing w:after="0" w:line="284" w:lineRule="auto"/>
        <w:rPr>
          <w:sz w:val="20"/>
          <w:szCs w:val="20"/>
          <w:color w:val="auto"/>
        </w:rPr>
      </w:pPr>
      <w:r>
        <w:rPr>
          <w:rFonts w:ascii="Arial" w:cs="Arial" w:eastAsia="Arial" w:hAnsi="Arial"/>
          <w:sz w:val="16"/>
          <w:szCs w:val="16"/>
          <w:color w:val="auto"/>
        </w:rPr>
        <w:t>Investments for which the Company exercises significant influence, but does not have control are accounted for under the equity method. Equity method investment activity is related to a 49% joint venture with Axcelead, Inc. (see the following paragraph for further details) and a 12% ownership in Vallon Pharmaceuticals, Inc. (see “</w:t>
      </w:r>
      <w:r>
        <w:rPr>
          <w:rFonts w:ascii="Arial" w:cs="Arial" w:eastAsia="Arial" w:hAnsi="Arial"/>
          <w:sz w:val="16"/>
          <w:szCs w:val="16"/>
          <w:i w:val="1"/>
          <w:iCs w:val="1"/>
          <w:color w:val="auto"/>
        </w:rPr>
        <w:t>Note 10, Related Party Transactions</w:t>
      </w:r>
      <w:r>
        <w:rPr>
          <w:rFonts w:ascii="Arial" w:cs="Arial" w:eastAsia="Arial" w:hAnsi="Arial"/>
          <w:sz w:val="16"/>
          <w:szCs w:val="16"/>
          <w:color w:val="auto"/>
        </w:rPr>
        <w:t>” for further details). The Company’s share of the investees’ results is presented as either income or loss from equity method investees in the accompanying condensed consolidated statements of operations and comprehensive loss.</w:t>
      </w:r>
    </w:p>
    <w:p>
      <w:pPr>
        <w:spacing w:after="0" w:line="47"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April 2021, Arcturus and Axcelead, Inc., a company existing under the laws of Japan (“Axcelead”), formed a joint venture entity, named Arcalis, Inc. (“JV Entity”), which operates as a corporation under the laws of Japan. Axcelead is an integrated drug discovery solutions provider to the pharmaceutical industry in Japan. On July 1, 2017, Axcelead became the successor to a portion of the drug discovery research department of Takeda Pharmaceutical Company Limited. The goal of the JV Entity is to be a contract development and manufacturing organization focused on mRNA manufacturing that would provide manufacturing services to the Company and also to third parties. The joint venture includes a shareholders agreement which sets forth initial funding of the JV Entity and rights of the JV Entity shareholders, including certain approval rights of Arcturus. As part of the joint venture, the Company entered into a License and Technology Transfer Agreement with the JV Entity, pursuant to which Arcturus grants to JV Entity a nonexclusive license to certain intellectual property for use at the JV Entity’s facilities, and obligates Arcturus to conduct certain technology transfer activities.</w:t>
      </w:r>
    </w:p>
    <w:p>
      <w:pPr>
        <w:spacing w:after="0" w:line="83"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Company consolidates variable interest entities (“VIEs”) where it has been determined that the Company is the primary beneficiary of those entities’ operations. Management believes that power is shared between Arcturus and Axcelead, as unrelated parties. The consent of each of the parties is substantive and is required to make the decisions about the JV Entity’s significant activities. Management does not believe that Arcturus has the power to direct the activities of the JV Entity that most significantly impact the JV Entity’s economic performance. Therefore, the Company concluded it is not required to consolidate the JV Entity under the VIE model.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9" w:name="page10"/>
    <w:bookmarkEnd w:id="9"/>
    <w:p>
      <w:pPr>
        <w:ind w:firstLine="509"/>
        <w:spacing w:after="0" w:line="257" w:lineRule="auto"/>
        <w:rPr>
          <w:sz w:val="20"/>
          <w:szCs w:val="20"/>
          <w:color w:val="auto"/>
        </w:rPr>
      </w:pPr>
      <w:r>
        <w:rPr>
          <w:rFonts w:ascii="Arial" w:cs="Arial" w:eastAsia="Arial" w:hAnsi="Arial"/>
          <w:sz w:val="17"/>
          <w:szCs w:val="17"/>
          <w:color w:val="auto"/>
        </w:rPr>
        <w:t>The equity method of accounting is applicable for the JV Entity as the Company does not own more than 50% of voting power, but has influence over the operation and financial policies of the investee. The Company accounts for its investment in the JV Entity using the equity method of accounting as specified in Accounting Standard Codification (“ASC”) 323, Investments — Equity Method and Joint Ventures. Under ASC 323, equity method investments are recorded initially at cost. The Company’s initial investment in the JV Entity totaled $9.2 million. However, the JV Entity paid the Company back the initial investment of $9.2 million as an upfront fee/consideration for the License and Technology Transfer Agreement. In substance, there was no cash consideration paid by the Company for its 49% equity interest in the JV Entity.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ind w:right="100" w:firstLine="822"/>
        <w:spacing w:after="0" w:line="261" w:lineRule="auto"/>
        <w:rPr>
          <w:sz w:val="20"/>
          <w:szCs w:val="20"/>
          <w:color w:val="auto"/>
        </w:rPr>
      </w:pPr>
      <w:r>
        <w:rPr>
          <w:rFonts w:ascii="Arial" w:cs="Arial" w:eastAsia="Arial" w:hAnsi="Arial"/>
          <w:sz w:val="18"/>
          <w:szCs w:val="18"/>
          <w:color w:val="auto"/>
        </w:rPr>
        <w:t>The Company has incurred significant operating losses since its inception. As of March 31, 2022 and December 31, 2021, the Company had an accumulated deficit of $398.7 million and $347.5 million, respectively.</w:t>
      </w:r>
    </w:p>
    <w:p>
      <w:pPr>
        <w:spacing w:after="0" w:line="63"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March 31, 2022, the Company has funded its operations principally with the proceeds from the sale of capital stock, revenues earned through collaboration agreements and proceeds from long-term debt. During fiscal year 2021, the Company received a term loan of $46.6 million from Economic Development Board of the Republic of Singapore as well as an upfront payment of $40.0 million from Vinbiocare to assist with funding a phase 3 clinical trial in Vietnam. At March 31, 2022, the Company’s balance of cash and cash equivalents, including restricted cash, was $321.8 million.</w:t>
      </w:r>
    </w:p>
    <w:p>
      <w:pPr>
        <w:spacing w:after="0" w:line="72"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condensed consolidated financial statements were available to be issued. There can be no assurance that the Company will be successful in securing additional funding, that the Company’s projections of its future working capital needs will prove accurate, or that any additional funding would be sufficient to continue operations in future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jc w:val="both"/>
        <w:ind w:right="220" w:firstLine="509"/>
        <w:spacing w:after="0" w:line="231" w:lineRule="auto"/>
        <w:rPr>
          <w:sz w:val="20"/>
          <w:szCs w:val="20"/>
          <w:color w:val="auto"/>
        </w:rPr>
      </w:pPr>
      <w:r>
        <w:rPr>
          <w:rFonts w:ascii="Arial" w:cs="Arial" w:eastAsia="Arial" w:hAnsi="Arial"/>
          <w:sz w:val="18"/>
          <w:szCs w:val="18"/>
          <w:color w:val="auto"/>
        </w:rPr>
        <w:t>In making decisions regarding resource allocation and assessing performance, the chief operating decision-maker identifies operating segments as components of an enterprise for which separate discrete financial information is available for evaluation. The Company and its chief operating decision-maker view the Company’s operations and manage its business in one operating segment, which is the research and development of medical applications for the Company’s nucleic acid-focused technology.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ind w:right="240" w:firstLine="509"/>
        <w:spacing w:after="0" w:line="253" w:lineRule="auto"/>
        <w:rPr>
          <w:sz w:val="20"/>
          <w:szCs w:val="20"/>
          <w:color w:val="auto"/>
        </w:rPr>
      </w:pPr>
      <w:r>
        <w:rPr>
          <w:rFonts w:ascii="Arial" w:cs="Arial" w:eastAsia="Arial" w:hAnsi="Arial"/>
          <w:sz w:val="17"/>
          <w:szCs w:val="17"/>
          <w:color w:val="auto"/>
        </w:rPr>
        <w:t>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57" w:lineRule="exact"/>
        <w:rPr>
          <w:sz w:val="20"/>
          <w:szCs w:val="20"/>
          <w:color w:val="auto"/>
        </w:rPr>
      </w:pPr>
    </w:p>
    <w:p>
      <w:pPr>
        <w:ind w:right="80" w:firstLine="509"/>
        <w:spacing w:after="0" w:line="253" w:lineRule="auto"/>
        <w:rPr>
          <w:sz w:val="20"/>
          <w:szCs w:val="20"/>
          <w:color w:val="auto"/>
        </w:rPr>
      </w:pPr>
      <w:r>
        <w:rPr>
          <w:rFonts w:ascii="Arial" w:cs="Arial" w:eastAsia="Arial" w:hAnsi="Arial"/>
          <w:sz w:val="16"/>
          <w:szCs w:val="16"/>
          <w:color w:val="auto"/>
        </w:rPr>
        <w:t>The terms of the Company’s revenue agreements include license fees, upfront payments, milestone payments, reimbursement for research and development activities, option exercise fees, consulting and related technology transfer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58" w:lineRule="exact"/>
        <w:rPr>
          <w:sz w:val="20"/>
          <w:szCs w:val="20"/>
          <w:color w:val="auto"/>
        </w:rPr>
      </w:pPr>
    </w:p>
    <w:p>
      <w:pPr>
        <w:ind w:right="240" w:firstLine="509"/>
        <w:spacing w:after="0" w:line="235"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Collaboration Revenue”</w:t>
      </w:r>
      <w:r>
        <w:rPr>
          <w:rFonts w:ascii="Arial" w:cs="Arial" w:eastAsia="Arial" w:hAnsi="Arial"/>
          <w:sz w:val="18"/>
          <w:szCs w:val="18"/>
          <w:color w:val="auto"/>
        </w:rPr>
        <w:t xml:space="preserve"> for specific details surrounding the Company’s collaboration arrangements.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9, Commitments and Contingencies”</w:t>
      </w:r>
      <w:r>
        <w:rPr>
          <w:rFonts w:ascii="Arial" w:cs="Arial" w:eastAsia="Arial" w:hAnsi="Arial"/>
          <w:sz w:val="18"/>
          <w:szCs w:val="18"/>
          <w:color w:val="auto"/>
        </w:rPr>
        <w:t xml:space="preserve"> for specific details surrounding the Company’s leases.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Research and Development, Net</w:t>
      </w:r>
    </w:p>
    <w:p>
      <w:pPr>
        <w:spacing w:after="0" w:line="108"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w:t>
      </w:r>
    </w:p>
    <w:p>
      <w:pPr>
        <w:ind w:left="60"/>
        <w:spacing w:after="0"/>
        <w:rPr>
          <w:sz w:val="20"/>
          <w:szCs w:val="20"/>
          <w:color w:val="auto"/>
        </w:rPr>
      </w:pPr>
      <w:r>
        <w:rPr>
          <w:rFonts w:ascii="Arial" w:cs="Arial" w:eastAsia="Arial" w:hAnsi="Arial"/>
          <w:sz w:val="18"/>
          <w:szCs w:val="18"/>
          <w:color w:val="auto"/>
        </w:rPr>
        <w:t>prior to the receipt of goods or services to be used in research and development are capitalized until the goods or services are received.</w:t>
      </w:r>
    </w:p>
    <w:p>
      <w:pPr>
        <w:spacing w:after="0" w:line="88"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Clinical trial site costs related to patient enrollment are accrued as patients enter and progress through the trial.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Pre-Launch Inventory</w:t>
      </w:r>
    </w:p>
    <w:p>
      <w:pPr>
        <w:spacing w:after="0" w:line="12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Prior to obtaining initial regulatory approval for an investigational product candidate, the Company expenses costs relating to production of inventory as research and development expense in its condensed consolidated statements of operations and comprehensive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0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319,678</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466,839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Non-current restricted cash</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2,077</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66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Total cash, cash equivalents and restricted</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321,755</w:t>
            </w:r>
          </w:p>
        </w:tc>
        <w:tc>
          <w:tcPr>
            <w:tcW w:w="160" w:type="dxa"/>
            <w:vAlign w:val="bottom"/>
            <w:vMerge w:val="restart"/>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466,946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FF0FC"/>
            </w:tcBorders>
            <w:shd w:val="clear" w:color="auto" w:fill="CFF0FC"/>
          </w:tcPr>
          <w:p>
            <w:pPr>
              <w:ind w:left="140"/>
              <w:spacing w:after="0" w:line="156" w:lineRule="exact"/>
              <w:rPr>
                <w:sz w:val="20"/>
                <w:szCs w:val="20"/>
                <w:color w:val="auto"/>
              </w:rPr>
            </w:pPr>
            <w:r>
              <w:rPr>
                <w:rFonts w:ascii="Arial" w:cs="Arial" w:eastAsia="Arial" w:hAnsi="Arial"/>
                <w:sz w:val="18"/>
                <w:szCs w:val="18"/>
                <w:color w:val="auto"/>
              </w:rPr>
              <w:t>cash shown in the statement of cash flows</w:t>
            </w:r>
          </w:p>
        </w:tc>
        <w:tc>
          <w:tcPr>
            <w:tcW w:w="200" w:type="dxa"/>
            <w:vAlign w:val="bottom"/>
            <w:tcBorders>
              <w:bottom w:val="single" w:sz="8" w:color="auto"/>
            </w:tcBorders>
            <w:vMerge w:val="continue"/>
            <w:shd w:val="clear" w:color="auto" w:fill="CFF0FC"/>
          </w:tcPr>
          <w:p>
            <w:pPr>
              <w:spacing w:after="0"/>
              <w:rPr>
                <w:sz w:val="18"/>
                <w:szCs w:val="18"/>
                <w:color w:val="auto"/>
              </w:rPr>
            </w:pPr>
          </w:p>
        </w:tc>
        <w:tc>
          <w:tcPr>
            <w:tcW w:w="130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vMerge w:val="continue"/>
            <w:shd w:val="clear" w:color="auto" w:fill="CFF0FC"/>
          </w:tcPr>
          <w:p>
            <w:pPr>
              <w:spacing w:after="0"/>
              <w:rPr>
                <w:sz w:val="18"/>
                <w:szCs w:val="18"/>
                <w:color w:val="auto"/>
              </w:rPr>
            </w:pPr>
          </w:p>
        </w:tc>
        <w:tc>
          <w:tcPr>
            <w:tcW w:w="180" w:type="dxa"/>
            <w:vAlign w:val="bottom"/>
            <w:tcBorders>
              <w:bottom w:val="single" w:sz="8" w:color="auto"/>
            </w:tcBorders>
            <w:vMerge w:val="continue"/>
            <w:shd w:val="clear" w:color="auto" w:fill="CFF0FC"/>
          </w:tcPr>
          <w:p>
            <w:pPr>
              <w:spacing w:after="0"/>
              <w:rPr>
                <w:sz w:val="18"/>
                <w:szCs w:val="18"/>
                <w:color w:val="auto"/>
              </w:rPr>
            </w:pPr>
          </w:p>
        </w:tc>
        <w:tc>
          <w:tcPr>
            <w:tcW w:w="1300" w:type="dxa"/>
            <w:vAlign w:val="bottom"/>
            <w:tcBorders>
              <w:bottom w:val="single" w:sz="8" w:color="auto"/>
            </w:tcBorders>
            <w:vMerge w:val="continue"/>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425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425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94" w:lineRule="exact"/>
        <w:rPr>
          <w:sz w:val="20"/>
          <w:szCs w:val="20"/>
          <w:color w:val="auto"/>
        </w:rPr>
      </w:pPr>
    </w:p>
    <w:p>
      <w:pPr>
        <w:ind w:right="160" w:firstLine="509"/>
        <w:spacing w:after="0" w:line="253" w:lineRule="auto"/>
        <w:rPr>
          <w:sz w:val="20"/>
          <w:szCs w:val="20"/>
          <w:color w:val="auto"/>
        </w:rPr>
      </w:pPr>
      <w:r>
        <w:rPr>
          <w:rFonts w:ascii="Arial" w:cs="Arial" w:eastAsia="Arial" w:hAnsi="Arial"/>
          <w:sz w:val="16"/>
          <w:szCs w:val="16"/>
          <w:color w:val="auto"/>
        </w:rPr>
        <w:t>The Company has entered into license agreements and collaborative research and development arrangements with pharmaceutical and biotechnology companies, as well as consulting, related technology transfer and product revenue agreements. Under these arrangements, the Company is entitled to receive license fees, consulting fees, product fees, technological transfer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1" w:name="page12"/>
    <w:bookmarkEnd w:id="11"/>
    <w:p>
      <w:pPr>
        <w:ind w:right="160" w:firstLine="509"/>
        <w:spacing w:after="0" w:line="248" w:lineRule="auto"/>
        <w:rPr>
          <w:sz w:val="20"/>
          <w:szCs w:val="20"/>
          <w:color w:val="auto"/>
        </w:rPr>
      </w:pPr>
      <w:r>
        <w:rPr>
          <w:rFonts w:ascii="Arial" w:cs="Arial" w:eastAsia="Arial" w:hAnsi="Arial"/>
          <w:sz w:val="18"/>
          <w:szCs w:val="18"/>
          <w:color w:val="auto"/>
        </w:rPr>
        <w:t>The following table presents changes during the three months ended March 31, 2022 in the balances of contract assets, including receivables from collaborative partners, consulting and related technology transfer partners, and contract liabilities, including deferred revenue, as compared to what was disclosed in the Company’s Annual Report.</w:t>
      </w: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Contract Assets</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1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BALANCE - December 31, 2021</w:t>
            </w:r>
          </w:p>
        </w:tc>
        <w:tc>
          <w:tcPr>
            <w:tcW w:w="1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3,367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Additions for revenue recognized from billings</w:t>
            </w: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12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Deductions for cash collections</w:t>
            </w:r>
          </w:p>
        </w:tc>
        <w:tc>
          <w:tcPr>
            <w:tcW w:w="1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3"/>
              </w:rPr>
              <w:t>(1,210 )</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120" w:type="dxa"/>
            <w:vAlign w:val="bottom"/>
            <w:tcBorders>
              <w:top w:val="single" w:sz="8" w:color="CFF0FC"/>
            </w:tcBorders>
            <w:gridSpan w:val="2"/>
          </w:tcPr>
          <w:p>
            <w:pPr>
              <w:spacing w:after="0" w:line="196" w:lineRule="exact"/>
              <w:rPr>
                <w:sz w:val="20"/>
                <w:szCs w:val="20"/>
                <w:color w:val="auto"/>
              </w:rPr>
            </w:pPr>
            <w:r>
              <w:rPr>
                <w:rFonts w:ascii="Arial" w:cs="Arial" w:eastAsia="Arial" w:hAnsi="Arial"/>
                <w:sz w:val="18"/>
                <w:szCs w:val="18"/>
                <w:color w:val="auto"/>
              </w:rPr>
              <w:t>BALANCE – March 31, 2022</w:t>
            </w:r>
          </w:p>
        </w:tc>
        <w:tc>
          <w:tcPr>
            <w:tcW w:w="1120" w:type="dxa"/>
            <w:vAlign w:val="bottom"/>
            <w:tcBorders>
              <w:top w:val="single" w:sz="8" w:color="CFF0FC"/>
            </w:tcBorders>
          </w:tcPr>
          <w:p>
            <w:pPr>
              <w:spacing w:after="0"/>
              <w:rPr>
                <w:sz w:val="17"/>
                <w:szCs w:val="17"/>
                <w:color w:val="auto"/>
              </w:rPr>
            </w:pPr>
          </w:p>
        </w:tc>
        <w:tc>
          <w:tcPr>
            <w:tcW w:w="5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3,691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 Liabilities</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1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BALANCE - December 31, 2021</w:t>
            </w:r>
          </w:p>
        </w:tc>
        <w:tc>
          <w:tcPr>
            <w:tcW w:w="1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w w:val="87"/>
              </w:rPr>
              <w:t>63,413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Additions for advanced billings</w:t>
            </w: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12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Deductions for promised services provided in current period</w:t>
            </w:r>
          </w:p>
        </w:tc>
        <w:tc>
          <w:tcPr>
            <w:tcW w:w="1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3"/>
              </w:rPr>
              <w:t>(5,244 )</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120" w:type="dxa"/>
            <w:vAlign w:val="bottom"/>
            <w:tcBorders>
              <w:top w:val="single" w:sz="8" w:color="CFF0FC"/>
            </w:tcBorders>
            <w:gridSpan w:val="2"/>
          </w:tcPr>
          <w:p>
            <w:pPr>
              <w:spacing w:after="0" w:line="196" w:lineRule="exact"/>
              <w:rPr>
                <w:sz w:val="20"/>
                <w:szCs w:val="20"/>
                <w:color w:val="auto"/>
              </w:rPr>
            </w:pPr>
            <w:r>
              <w:rPr>
                <w:rFonts w:ascii="Arial" w:cs="Arial" w:eastAsia="Arial" w:hAnsi="Arial"/>
                <w:sz w:val="18"/>
                <w:szCs w:val="18"/>
                <w:color w:val="auto"/>
              </w:rPr>
              <w:t>BALANCE – March 31, 2022</w:t>
            </w:r>
          </w:p>
        </w:tc>
        <w:tc>
          <w:tcPr>
            <w:tcW w:w="1120" w:type="dxa"/>
            <w:vAlign w:val="bottom"/>
            <w:tcBorders>
              <w:top w:val="single" w:sz="8" w:color="CFF0FC"/>
            </w:tcBorders>
          </w:tcPr>
          <w:p>
            <w:pPr>
              <w:spacing w:after="0"/>
              <w:rPr>
                <w:sz w:val="17"/>
                <w:szCs w:val="17"/>
                <w:color w:val="auto"/>
              </w:rPr>
            </w:pPr>
          </w:p>
        </w:tc>
        <w:tc>
          <w:tcPr>
            <w:tcW w:w="5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87"/>
              </w:rPr>
              <w:t>59,703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gridSpan w:val="4"/>
            <w:vMerge w:val="restart"/>
          </w:tcPr>
          <w:p>
            <w:pPr>
              <w:jc w:val="right"/>
              <w:ind w:right="176"/>
              <w:spacing w:after="0"/>
              <w:rPr>
                <w:sz w:val="20"/>
                <w:szCs w:val="20"/>
                <w:color w:val="auto"/>
              </w:rPr>
            </w:pPr>
            <w:r>
              <w:rPr>
                <w:rFonts w:ascii="Arial" w:cs="Arial" w:eastAsia="Arial" w:hAnsi="Arial"/>
                <w:sz w:val="18"/>
                <w:szCs w:val="18"/>
                <w:color w:val="auto"/>
                <w:w w:val="90"/>
              </w:rPr>
              <w:t>The following table summarizes the Company’s revenues for the periods indicated (in thousands).</w:t>
            </w: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00" w:type="dxa"/>
            <w:vAlign w:val="bottom"/>
            <w:gridSpan w:val="4"/>
            <w:vMerge w:val="continue"/>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gridSpan w:val="4"/>
          </w:tcPr>
          <w:p>
            <w:pPr>
              <w:jc w:val="right"/>
              <w:ind w:right="702"/>
              <w:spacing w:after="0"/>
              <w:rPr>
                <w:sz w:val="20"/>
                <w:szCs w:val="20"/>
                <w:color w:val="auto"/>
              </w:rPr>
            </w:pPr>
            <w:r>
              <w:rPr>
                <w:rFonts w:ascii="Arial" w:cs="Arial" w:eastAsia="Arial" w:hAnsi="Arial"/>
                <w:sz w:val="14"/>
                <w:szCs w:val="14"/>
                <w:b w:val="1"/>
                <w:bCs w:val="1"/>
                <w:color w:val="auto"/>
              </w:rPr>
              <w:t>For the Three Months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Ended March 31,</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9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Vinbiocare</w:t>
            </w:r>
          </w:p>
        </w:tc>
        <w:tc>
          <w:tcPr>
            <w:tcW w:w="18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ind w:right="93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2,858</w:t>
            </w:r>
          </w:p>
        </w:tc>
        <w:tc>
          <w:tcPr>
            <w:tcW w:w="24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ind w:right="1162"/>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Janssen</w:t>
            </w:r>
          </w:p>
        </w:tc>
        <w:tc>
          <w:tcPr>
            <w:tcW w:w="11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1,131</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1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Ultragenyx</w:t>
            </w:r>
          </w:p>
        </w:tc>
        <w:tc>
          <w:tcPr>
            <w:tcW w:w="11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926</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CureVac</w:t>
            </w:r>
          </w:p>
        </w:tc>
        <w:tc>
          <w:tcPr>
            <w:tcW w:w="11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12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105</w:t>
            </w:r>
          </w:p>
        </w:tc>
        <w:tc>
          <w:tcPr>
            <w:tcW w:w="2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153</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120" w:type="dxa"/>
            <w:vAlign w:val="bottom"/>
            <w:gridSpan w:val="2"/>
          </w:tcPr>
          <w:p>
            <w:pPr>
              <w:spacing w:after="0" w:line="196" w:lineRule="exact"/>
              <w:rPr>
                <w:sz w:val="20"/>
                <w:szCs w:val="20"/>
                <w:color w:val="auto"/>
              </w:rPr>
            </w:pPr>
            <w:r>
              <w:rPr>
                <w:rFonts w:ascii="Arial" w:cs="Arial" w:eastAsia="Arial" w:hAnsi="Arial"/>
                <w:sz w:val="18"/>
                <w:szCs w:val="18"/>
                <w:color w:val="auto"/>
              </w:rPr>
              <w:t>Total revenue</w:t>
            </w:r>
          </w:p>
        </w:tc>
        <w:tc>
          <w:tcPr>
            <w:tcW w:w="1120" w:type="dxa"/>
            <w:vAlign w:val="bottom"/>
          </w:tcPr>
          <w:p>
            <w:pPr>
              <w:jc w:val="right"/>
              <w:ind w:right="93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5,244</w:t>
            </w:r>
          </w:p>
        </w:tc>
        <w:tc>
          <w:tcPr>
            <w:tcW w:w="1580" w:type="dxa"/>
            <w:vAlign w:val="bottom"/>
            <w:gridSpan w:val="2"/>
          </w:tcPr>
          <w:p>
            <w:pPr>
              <w:jc w:val="right"/>
              <w:ind w:right="1162"/>
              <w:spacing w:after="0" w:line="196"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w w:val="88"/>
              </w:rPr>
              <w:t>2,127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-2550795</wp:posOffset>
            </wp:positionV>
            <wp:extent cx="6032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-1710690</wp:posOffset>
            </wp:positionV>
            <wp:extent cx="6032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-159385</wp:posOffset>
            </wp:positionV>
            <wp:extent cx="431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-159385</wp:posOffset>
            </wp:positionV>
            <wp:extent cx="3429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right="380" w:firstLine="509"/>
        <w:spacing w:after="0" w:line="360" w:lineRule="auto"/>
        <w:rPr>
          <w:sz w:val="20"/>
          <w:szCs w:val="20"/>
          <w:color w:val="auto"/>
        </w:rPr>
      </w:pPr>
      <w:r>
        <w:rPr>
          <w:rFonts w:ascii="Arial" w:cs="Arial" w:eastAsia="Arial" w:hAnsi="Arial"/>
          <w:sz w:val="18"/>
          <w:szCs w:val="18"/>
          <w:color w:val="auto"/>
        </w:rPr>
        <w:t xml:space="preserve">The following paragraphs provide information regarding the nature and purpose of the Company’s most significant collaboration arrangements. </w:t>
      </w:r>
      <w:r>
        <w:rPr>
          <w:rFonts w:ascii="Arial" w:cs="Arial" w:eastAsia="Arial" w:hAnsi="Arial"/>
          <w:sz w:val="18"/>
          <w:szCs w:val="18"/>
          <w:i w:val="1"/>
          <w:iCs w:val="1"/>
          <w:u w:val="single" w:color="auto"/>
          <w:color w:val="auto"/>
        </w:rPr>
        <w:t>Vinbiocare</w:t>
      </w:r>
    </w:p>
    <w:p>
      <w:pPr>
        <w:ind w:right="20" w:firstLine="509"/>
        <w:spacing w:after="0" w:line="239" w:lineRule="auto"/>
        <w:rPr>
          <w:sz w:val="20"/>
          <w:szCs w:val="20"/>
          <w:color w:val="auto"/>
        </w:rPr>
      </w:pPr>
      <w:r>
        <w:rPr>
          <w:rFonts w:ascii="Arial" w:cs="Arial" w:eastAsia="Arial" w:hAnsi="Arial"/>
          <w:sz w:val="18"/>
          <w:szCs w:val="18"/>
          <w:color w:val="auto"/>
        </w:rPr>
        <w:t>From June 11, 2021 through August 2, 2021, the Company entered into a series of agreements with Vinbiocare, a member of Vingroup Joint Stock Company (collectively, the “Vinbiocare Agreement”), whereby the Company will provide technical expertise and support services to Vinbiocare to assist in the build out of a mRNA drug product manufacturing facility in Vietnam. Such expertise shall include a specified level of access to the Company’s personnel and drug substance necessary to validate the successful set up of the facility. Under the terms of the arrangements, the Company will also provide a specified number of doses of ARCT-154 for use by Vinbiocare in a phase 3 clinical study within Vietnam. The Company received an upfront payment in aggregate of $40.0 million and subsequent to achieving emergency use authorization, the Company will receive low single digit payments per dose for drug substance and related royalties.</w:t>
      </w:r>
    </w:p>
    <w:p>
      <w:pPr>
        <w:spacing w:after="0" w:line="28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evaluating the Vinbiocare Agreement in accordance with ASC Topic 606, the Company concluded that Vinbiocare is a customer. The Company identified all promised goods/services within the Vinbiocare Agreement, and when combining certain promised goods/services, the Company concluded that there are four distinct performance obligations. The four performance obligations include (i) consulting to support the build out of the manufacturing facility and technical transfer, (ii) shipment of 80 grams of drug substance to validate the manufacturing facility, (iii) the sale of 2,500 vials of drug product to support the phase 3 clinical trial and (iv) consulting to support the phase 3 clinical trial and related regulatory filings. For each performance obligation, the Company estimated the standalone selling price based on cost plus margin for drug substance and drug product as well as estimated headcount and full-time equivalent (“FTE”) rates for consulting services to support the phase 3 clinical trial, the build out of the manufacturing facility and the technology transfer.</w:t>
      </w:r>
    </w:p>
    <w:p>
      <w:pPr>
        <w:spacing w:after="0" w:line="8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of March 31, 2022, the transaction price consists of upfront consideration received and budgeted reimbursable out-of-pocket costs to support the build out of the manufacturing facility and technology transfer. The Company allocated the transaction price to the performance obligations in proportion to their standalone selling price, the relative standalone selling price basis. The drug substance and drug product performance obligations are recognized at the point in time the goods are transferred. The consulting performance obligations are recognized over a period of time based on the percentage of services rendered, meaning actual costs incurred divided by total costs budgeted to satisfy the performance obligation. Any consideration related to sales-based royalties will be recognized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ind w:right="640"/>
        <w:spacing w:after="0" w:line="261" w:lineRule="auto"/>
        <w:rPr>
          <w:sz w:val="20"/>
          <w:szCs w:val="20"/>
          <w:color w:val="auto"/>
        </w:rPr>
      </w:pPr>
      <w:r>
        <w:rPr>
          <w:rFonts w:ascii="Arial" w:cs="Arial" w:eastAsia="Arial" w:hAnsi="Arial"/>
          <w:sz w:val="18"/>
          <w:szCs w:val="18"/>
          <w:color w:val="auto"/>
        </w:rPr>
        <w:t>when the drug product is manufactured as they are constrained. The revenue recognized in 2022 relates to consulting to support the build out of the manufacturing facility and technical transfer and consulting to support the phase 3 clinical trial.</w:t>
      </w:r>
    </w:p>
    <w:p>
      <w:pPr>
        <w:spacing w:after="0" w:line="63" w:lineRule="exact"/>
        <w:rPr>
          <w:sz w:val="20"/>
          <w:szCs w:val="20"/>
          <w:color w:val="auto"/>
        </w:rPr>
      </w:pPr>
    </w:p>
    <w:p>
      <w:pPr>
        <w:ind w:right="900" w:firstLine="509"/>
        <w:spacing w:after="0" w:line="261" w:lineRule="auto"/>
        <w:rPr>
          <w:sz w:val="20"/>
          <w:szCs w:val="20"/>
          <w:color w:val="auto"/>
        </w:rPr>
      </w:pPr>
      <w:r>
        <w:rPr>
          <w:rFonts w:ascii="Arial" w:cs="Arial" w:eastAsia="Arial" w:hAnsi="Arial"/>
          <w:sz w:val="18"/>
          <w:szCs w:val="18"/>
          <w:color w:val="auto"/>
        </w:rPr>
        <w:t>Total deferred revenue as of March 31, 2022 and December 31, 2021 for the Vinbiocare agreement was $34.8 million and $37.2 million,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Janssen Pharmaceuticals, Inc., Ultragenyx Pharmaceutical Inc., CureVac AG</w:t>
      </w:r>
    </w:p>
    <w:p>
      <w:pPr>
        <w:spacing w:after="0" w:line="212"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For each of Janssen Pharmaceuticals, Inc. (“Janssen”), Ultragenyx Pharmaceutical Inc. (“Ultragenyx”) and CureVac AG (“CureVac”), the Company evaluated the respective agreement in accordance with ASC Topic 606. The Company concluded that the contract counterparty is a customer. The Company identified all promised goods/services within each agreement, and concluded that the promised goods/services are incapable of being distinct and consequently do not have any value on a standalone basis. Accordingly, the promised goods/services within each agreement were determined to represent a single performance obligation. Lastly, the Company concluded that any options to select additional collaboration targets and to license rights to selected targets were not priced at a discount and therefore do not represent performance obligations for which the transaction price would be allocated.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In October 2017, the Company entered into a research collaboration and license agreement with Janssen (the “2017 Agreement”) to collaborate on developing candidates for treating HBV with RNA therapeutics. The 2017 Agreement allocated discovery, development, funding obligations, and ownership of related intellectual property among the Company and Janssen.</w:t>
      </w:r>
    </w:p>
    <w:p>
      <w:pPr>
        <w:spacing w:after="0" w:line="60" w:lineRule="exact"/>
        <w:rPr>
          <w:sz w:val="20"/>
          <w:szCs w:val="20"/>
          <w:color w:val="auto"/>
        </w:rPr>
      </w:pPr>
    </w:p>
    <w:p>
      <w:pPr>
        <w:ind w:firstLine="509"/>
        <w:spacing w:after="0"/>
        <w:rPr>
          <w:sz w:val="20"/>
          <w:szCs w:val="20"/>
          <w:color w:val="auto"/>
        </w:rPr>
      </w:pPr>
      <w:r>
        <w:rPr>
          <w:rFonts w:ascii="Arial" w:cs="Arial" w:eastAsia="Arial" w:hAnsi="Arial"/>
          <w:sz w:val="17"/>
          <w:szCs w:val="17"/>
          <w:color w:val="auto"/>
        </w:rPr>
        <w:t>As of March 31, 2022, the remaining transaction price consisting of upfront consideration received and budgeted reimbursable out-of-pocket costs, is expected to be recognized using an input method over the remaining research period of 12 months. None of the development and commercialization milestones were included in the transaction price as they are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deferred revenue as of March 31, 2022 and December 31, 2021 for Janssen was $6.2 million and $6.3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Ultragenyx</w:t>
      </w:r>
    </w:p>
    <w:p>
      <w:pPr>
        <w:spacing w:after="0" w:line="90" w:lineRule="exact"/>
        <w:rPr>
          <w:sz w:val="20"/>
          <w:szCs w:val="20"/>
          <w:color w:val="auto"/>
        </w:rPr>
      </w:pPr>
    </w:p>
    <w:p>
      <w:pPr>
        <w:ind w:right="20" w:firstLine="509"/>
        <w:spacing w:after="0"/>
        <w:rPr>
          <w:sz w:val="20"/>
          <w:szCs w:val="20"/>
          <w:color w:val="auto"/>
        </w:rPr>
      </w:pPr>
      <w:r>
        <w:rPr>
          <w:rFonts w:ascii="Arial" w:cs="Arial" w:eastAsia="Arial" w:hAnsi="Arial"/>
          <w:sz w:val="17"/>
          <w:szCs w:val="17"/>
          <w:color w:val="auto"/>
        </w:rPr>
        <w:t>In October 2015 the Company entered into a research collaboration and license agreement with Ultragenyx (as amended, the “Ultragenyx Agreement”), whereby Arcturus granted to Ultragenyx a co-exclusive license to certain Arcturus technology, which is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w:t>
      </w:r>
    </w:p>
    <w:p>
      <w:pPr>
        <w:spacing w:after="0" w:line="83"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The current potential development, regulatory and commercial milestone payments for the existing development targets as of March 31, 2022 are $138.0 million. Ultragenyx will pay royalties as a single-digit percentage of net sales on a product-by-product and country-by-country basis during the applicable royalty term. As of March 31, 2022, Ultragenyx is working to identify and enroll patients in a Phase 1/2 study.</w:t>
      </w:r>
    </w:p>
    <w:p>
      <w:pPr>
        <w:spacing w:after="0" w:line="56"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As of March 31, 2022, the transaction price included the upfront consideration received, option payments, exclusivity extension payments and additional consideration received pursuant to Amendment 3 of the Ultragenyx Agreement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FDA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ind w:right="100" w:firstLine="509"/>
        <w:spacing w:after="0" w:line="243" w:lineRule="auto"/>
        <w:rPr>
          <w:sz w:val="20"/>
          <w:szCs w:val="20"/>
          <w:color w:val="auto"/>
        </w:rPr>
      </w:pPr>
      <w:r>
        <w:rPr>
          <w:rFonts w:ascii="Arial" w:cs="Arial" w:eastAsia="Arial" w:hAnsi="Arial"/>
          <w:sz w:val="18"/>
          <w:szCs w:val="18"/>
          <w:color w:val="auto"/>
        </w:rPr>
        <w:t>Amendment 3 was deemed a contract modification and accounted for as part of the original Ultragenyx Agreement. The transaction price is recognized to revenue on a straight-line basis using an input method over the 4-year reserve target exclusivity period. The reserve target exclusivity period represents the timing over which promised goods/services will be provided. Total deferred revenue at March 31, 2022 and December 31, 2021 from Ultragenyx was $4.6 million and $5.5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CureVac</w:t>
      </w:r>
    </w:p>
    <w:p>
      <w:pPr>
        <w:spacing w:after="0" w:line="90" w:lineRule="exact"/>
        <w:rPr>
          <w:sz w:val="20"/>
          <w:szCs w:val="20"/>
          <w:color w:val="auto"/>
        </w:rPr>
      </w:pPr>
    </w:p>
    <w:p>
      <w:pPr>
        <w:ind w:right="160" w:firstLine="509"/>
        <w:spacing w:after="0" w:line="214" w:lineRule="auto"/>
        <w:rPr>
          <w:sz w:val="20"/>
          <w:szCs w:val="20"/>
          <w:color w:val="auto"/>
        </w:rPr>
      </w:pPr>
      <w:r>
        <w:rPr>
          <w:rFonts w:ascii="Arial" w:cs="Arial" w:eastAsia="Arial" w:hAnsi="Arial"/>
          <w:sz w:val="18"/>
          <w:szCs w:val="18"/>
          <w:color w:val="auto"/>
        </w:rPr>
        <w:t>In January 2018, the Company entered into a Development and Option Agreement (the “Development and Option Agreement”) with CureVac.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LUNAR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delivery technology (the “Arcturus Delivery Technology”), and CureVac patents and know-how related to mRNA technology.</w:t>
      </w:r>
    </w:p>
    <w:p>
      <w:pPr>
        <w:spacing w:after="0" w:line="69" w:lineRule="exact"/>
        <w:rPr>
          <w:sz w:val="20"/>
          <w:szCs w:val="20"/>
          <w:color w:val="auto"/>
        </w:rPr>
      </w:pPr>
    </w:p>
    <w:p>
      <w:pPr>
        <w:ind w:right="160" w:firstLine="509"/>
        <w:spacing w:after="0" w:line="256" w:lineRule="auto"/>
        <w:rPr>
          <w:sz w:val="20"/>
          <w:szCs w:val="20"/>
          <w:color w:val="auto"/>
        </w:rPr>
      </w:pPr>
      <w:r>
        <w:rPr>
          <w:rFonts w:ascii="Arial" w:cs="Arial" w:eastAsia="Arial" w:hAnsi="Arial"/>
          <w:sz w:val="16"/>
          <w:szCs w:val="16"/>
          <w:color w:val="auto"/>
        </w:rPr>
        <w:t>As of March 31, 2022,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As of March 31, 2022, no adjustments were made to the transaction price.</w:t>
      </w:r>
    </w:p>
    <w:p>
      <w:pPr>
        <w:spacing w:after="0" w:line="246" w:lineRule="exact"/>
        <w:rPr>
          <w:sz w:val="20"/>
          <w:szCs w:val="20"/>
          <w:color w:val="auto"/>
        </w:rPr>
      </w:pPr>
    </w:p>
    <w:p>
      <w:pPr>
        <w:ind w:right="260" w:firstLine="509"/>
        <w:spacing w:after="0" w:line="253" w:lineRule="auto"/>
        <w:rPr>
          <w:sz w:val="20"/>
          <w:szCs w:val="20"/>
          <w:color w:val="auto"/>
        </w:rPr>
      </w:pPr>
      <w:r>
        <w:rPr>
          <w:rFonts w:ascii="Arial" w:cs="Arial" w:eastAsia="Arial" w:hAnsi="Arial"/>
          <w:sz w:val="17"/>
          <w:szCs w:val="17"/>
          <w:color w:val="auto"/>
        </w:rPr>
        <w:t>The upfront consideration of $5.0 million was recorded as deferred revenue in the Company’s balance sheet upon receipt and is currently being recognized as revenue on a straight-line basis using an input method over the remaining 16 month contractual term as of March 31, 2022. Total deferred revenue as of March 31, 2022 and December 31, 2021 for CureVac was $1.2 million and $1.4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Agreements</w:t>
      </w:r>
    </w:p>
    <w:p>
      <w:pPr>
        <w:spacing w:after="0" w:line="144" w:lineRule="exact"/>
        <w:rPr>
          <w:sz w:val="20"/>
          <w:szCs w:val="20"/>
          <w:color w:val="auto"/>
        </w:rPr>
      </w:pPr>
    </w:p>
    <w:p>
      <w:pPr>
        <w:ind w:firstLine="509"/>
        <w:spacing w:after="0" w:line="231" w:lineRule="auto"/>
        <w:rPr>
          <w:sz w:val="20"/>
          <w:szCs w:val="20"/>
          <w:color w:val="auto"/>
        </w:rPr>
      </w:pPr>
      <w:r>
        <w:rPr>
          <w:rFonts w:ascii="Arial" w:cs="Arial" w:eastAsia="Arial" w:hAnsi="Arial"/>
          <w:sz w:val="18"/>
          <w:szCs w:val="18"/>
          <w:color w:val="auto"/>
        </w:rPr>
        <w:t>In January 2022, the Company entered into an agreement with a pharmaceutical company, whereby the pharmaceutical company agreed to fund up to $25 million for a clinical trial for a LUNAR-COV19 vaccine candidate as a booster. As of March 31, 2022, the Company has submitted to such company billings from a third party related to the clinical trial of approximately $4.9 million, which falls under the expected funding of $25.0 million of the booster program, but has not yet been reimbursed as of March 31,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Israeli Ministry of Health</w:t>
      </w:r>
    </w:p>
    <w:p>
      <w:pPr>
        <w:spacing w:after="0" w:line="158"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On August 17, 2020, the Company entered into an agreement with the Israeli Ministry of Health (the “MOH”) to supply the Company’s COVID-19 vaccine candidate to Israel (the “Israel Supply Agreement”) subject to certain conditions, including applicable regulatory approvals. In October 2020, and in association with the Israel Supply Agreement, the Company received a non-refundable payment of $12.5 million from the MOH which is included in deferred revenue as of March 31, 2022. This payment of $12.5 million is associated with a specified clinical trial milestone and serves as an initial reserve payment for a specified number of doses of the LUNAR-COV19 vaccine candidate pursuant to the Israel Supply Agreement. As a result of the making of this payment, the MOH became bound to purchase an initial quantity of 500,000 reserved vaccine doses, as set forth in and subject to the terms and conditions of the Israel Supply Agreement. Furthermore, the Israel Supply Agreement may be terminated immediately by the MOH upon written notice to Arcturus if the Company has not obtained the required regulatory approvals by December 31, 2021. On April 14, 2022, Arcturus received notice from the MOH to terminate the Israel Supply Agreement. No termination penalties were incurred by the Company connection therewith.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08"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04" w:lineRule="exact"/>
        <w:rPr>
          <w:sz w:val="20"/>
          <w:szCs w:val="20"/>
          <w:color w:val="auto"/>
        </w:rPr>
      </w:pPr>
    </w:p>
    <w:p>
      <w:pPr>
        <w:ind w:left="520" w:right="200"/>
        <w:spacing w:after="0" w:line="261"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63"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The carrying value of cash, restricted cash, accounts receivable, accounts payable, accrued liabilities and the Singapore loan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74"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As of March 31, 2022 and December 31, 2021, all assets measured at fair value on a recurring basis consisted of cash equivalents and money market funds, which were classified within Level 1 of the fair value hierarchy. The fair value of these financial instruments was measured based on quoted prices.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balances consisted of the following:</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2021</w:t>
            </w:r>
          </w:p>
        </w:tc>
      </w:tr>
      <w:tr>
        <w:trPr>
          <w:trHeight w:val="196"/>
        </w:trPr>
        <w:tc>
          <w:tcPr>
            <w:tcW w:w="4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equipment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6,902</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6,735</w:t>
            </w: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Computers and software</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377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488</w:t>
            </w:r>
          </w:p>
        </w:tc>
        <w:tc>
          <w:tcPr>
            <w:tcW w:w="100" w:type="dxa"/>
            <w:vAlign w:val="bottom"/>
          </w:tcPr>
          <w:p>
            <w:pPr>
              <w:spacing w:after="0"/>
              <w:rPr>
                <w:sz w:val="17"/>
                <w:szCs w:val="17"/>
                <w:color w:val="auto"/>
              </w:rPr>
            </w:pPr>
          </w:p>
        </w:tc>
      </w:tr>
      <w:tr>
        <w:trPr>
          <w:trHeight w:val="203"/>
        </w:trPr>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Office equipment and furniture</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574</w:t>
            </w: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r>
      <w:tr>
        <w:trPr>
          <w:trHeight w:val="203"/>
        </w:trPr>
        <w:tc>
          <w:tcPr>
            <w:tcW w:w="47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4,120</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12,010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9,899</w:t>
            </w:r>
          </w:p>
        </w:tc>
        <w:tc>
          <w:tcPr>
            <w:tcW w:w="100" w:type="dxa"/>
            <w:vAlign w:val="bottom"/>
          </w:tcPr>
          <w:p>
            <w:pPr>
              <w:spacing w:after="0"/>
              <w:rPr>
                <w:sz w:val="17"/>
                <w:szCs w:val="17"/>
                <w:color w:val="auto"/>
              </w:rPr>
            </w:pPr>
          </w:p>
        </w:tc>
      </w:tr>
      <w:tr>
        <w:trPr>
          <w:trHeight w:val="203"/>
        </w:trPr>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(4,480 )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(4,256 )</w:t>
            </w:r>
          </w:p>
        </w:tc>
      </w:tr>
      <w:tr>
        <w:trPr>
          <w:trHeight w:val="196"/>
        </w:trPr>
        <w:tc>
          <w:tcPr>
            <w:tcW w:w="47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7,530</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5,643</w:t>
            </w:r>
          </w:p>
        </w:tc>
        <w:tc>
          <w:tcPr>
            <w:tcW w:w="100" w:type="dxa"/>
            <w:vAlign w:val="bottom"/>
            <w:tcBorders>
              <w:top w:val="single" w:sz="8" w:color="CFF0FC"/>
            </w:tcBorders>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-424815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-424815</wp:posOffset>
            </wp:positionV>
            <wp:extent cx="6032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-159385</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wp:posOffset>
            </wp:positionV>
            <wp:extent cx="6032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55" w:lineRule="exact"/>
        <w:rPr>
          <w:sz w:val="20"/>
          <w:szCs w:val="20"/>
          <w:color w:val="auto"/>
        </w:rPr>
      </w:pPr>
    </w:p>
    <w:p>
      <w:pPr>
        <w:ind w:right="440" w:firstLine="509"/>
        <w:spacing w:after="0" w:line="274" w:lineRule="auto"/>
        <w:rPr>
          <w:sz w:val="20"/>
          <w:szCs w:val="20"/>
          <w:color w:val="auto"/>
        </w:rPr>
      </w:pPr>
      <w:r>
        <w:rPr>
          <w:rFonts w:ascii="Arial" w:cs="Arial" w:eastAsia="Arial" w:hAnsi="Arial"/>
          <w:sz w:val="17"/>
          <w:szCs w:val="17"/>
          <w:color w:val="auto"/>
        </w:rPr>
        <w:t>Depreciation and amortization expense was $0.2 million and $0.3 million for the three months ended March 31, 2022 and December 31, 2021, respectively. Construction in progress primarily includes research equipment that is expected to be placed into service during 2022.</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3"/>
              </w:rPr>
              <w:t>December 31, 2021</w:t>
            </w:r>
          </w:p>
        </w:tc>
        <w:tc>
          <w:tcPr>
            <w:tcW w:w="60" w:type="dxa"/>
            <w:vAlign w:val="bottom"/>
          </w:tcPr>
          <w:p>
            <w:pPr>
              <w:spacing w:after="0"/>
              <w:rPr>
                <w:sz w:val="16"/>
                <w:szCs w:val="16"/>
                <w:color w:val="auto"/>
              </w:rPr>
            </w:pPr>
          </w:p>
        </w:tc>
      </w:tr>
      <w:tr>
        <w:trPr>
          <w:trHeight w:val="196"/>
        </w:trPr>
        <w:tc>
          <w:tcPr>
            <w:tcW w:w="4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5,171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3,578</w:t>
            </w:r>
          </w:p>
        </w:tc>
        <w:tc>
          <w:tcPr>
            <w:tcW w:w="6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Cystic Fibrosis Foundation Liability (Note 9)</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2,777</w:t>
            </w:r>
          </w:p>
        </w:tc>
        <w:tc>
          <w:tcPr>
            <w:tcW w:w="60" w:type="dxa"/>
            <w:vAlign w:val="bottom"/>
          </w:tcPr>
          <w:p>
            <w:pPr>
              <w:spacing w:after="0"/>
              <w:rPr>
                <w:sz w:val="17"/>
                <w:szCs w:val="17"/>
                <w:color w:val="auto"/>
              </w:rPr>
            </w:pPr>
          </w:p>
        </w:tc>
      </w:tr>
      <w:tr>
        <w:trPr>
          <w:trHeight w:val="203"/>
        </w:trPr>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portion of operating lease liability</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1,537</w:t>
            </w:r>
          </w:p>
        </w:tc>
        <w:tc>
          <w:tcPr>
            <w:tcW w:w="6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Clinical accruals</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3,801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8,675</w:t>
            </w:r>
          </w:p>
        </w:tc>
        <w:tc>
          <w:tcPr>
            <w:tcW w:w="60" w:type="dxa"/>
            <w:vAlign w:val="bottom"/>
          </w:tcPr>
          <w:p>
            <w:pPr>
              <w:spacing w:after="0"/>
              <w:rPr>
                <w:sz w:val="17"/>
                <w:szCs w:val="17"/>
                <w:color w:val="auto"/>
              </w:rPr>
            </w:pPr>
          </w:p>
        </w:tc>
      </w:tr>
      <w:tr>
        <w:trPr>
          <w:trHeight w:val="202"/>
        </w:trPr>
        <w:tc>
          <w:tcPr>
            <w:tcW w:w="47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accrued research and development expenses</w:t>
            </w:r>
          </w:p>
        </w:tc>
        <w:tc>
          <w:tcPr>
            <w:tcW w:w="1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7,519</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6,956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19,970</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23,523</w:t>
            </w:r>
          </w:p>
        </w:tc>
        <w:tc>
          <w:tcPr>
            <w:tcW w:w="6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-159385</wp:posOffset>
            </wp:positionV>
            <wp:extent cx="4254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Manufacturing Supply Agreement</w:t>
      </w:r>
    </w:p>
    <w:p>
      <w:pPr>
        <w:spacing w:after="0" w:line="90" w:lineRule="exact"/>
        <w:rPr>
          <w:sz w:val="20"/>
          <w:szCs w:val="20"/>
          <w:color w:val="auto"/>
        </w:rPr>
      </w:pPr>
    </w:p>
    <w:p>
      <w:pPr>
        <w:ind w:right="40" w:firstLine="509"/>
        <w:spacing w:after="0" w:line="222" w:lineRule="auto"/>
        <w:rPr>
          <w:sz w:val="20"/>
          <w:szCs w:val="20"/>
          <w:color w:val="auto"/>
        </w:rPr>
      </w:pPr>
      <w:r>
        <w:rPr>
          <w:rFonts w:ascii="Arial" w:cs="Arial" w:eastAsia="Arial" w:hAnsi="Arial"/>
          <w:sz w:val="17"/>
          <w:szCs w:val="17"/>
          <w:color w:val="auto"/>
        </w:rPr>
        <w:t>On November 7, 2020, the Company’s wholly-owned subsidiary, Arcturus Therapeutics, Inc., entered into a Manufacturing Support Agreement (the “Support Agreement”) with the Economic Development Board of the Republic of Singapore (the “EDB”). Pursuant to the Support Agreement, the EDB agreed to make a term loan (the “Singapore Loan”) of S$62.1 million to the Company, subject to the satisfaction of customary deliveries, to support the manufacture of the LUNAR-COV19 vaccine candidate (ARCT-021). The EDB has agreed to an extension of the reconciliation period to March 31, 2022 with unused funds as of such date to be subsequently returned within thirty days, subject to any further agreed upon extension of the reconciliation date. The parties are in continued negotiations with respect to amendments of the Singapore Loan terms. Under current terms, (i) the Company will provide a quarterly reconciliation report within forty-five days of each financial quarter end, (ii) the Company will provide a projection of expenditures through March 31, 2022 followed by an audited statement of actual expenditures through March 31, 2022 by June 30, 2022, (iii) the Company will provide EDB with a right of first refusal on GMP manufacturing slots of the LUNAR-COV19 vaccine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5" w:name="page16"/>
    <w:bookmarkEnd w:id="15"/>
    <w:p>
      <w:pPr>
        <w:ind w:right="40"/>
        <w:spacing w:after="0" w:line="234" w:lineRule="auto"/>
        <w:rPr>
          <w:sz w:val="20"/>
          <w:szCs w:val="20"/>
          <w:color w:val="auto"/>
        </w:rPr>
      </w:pPr>
      <w:r>
        <w:rPr>
          <w:rFonts w:ascii="Arial" w:cs="Arial" w:eastAsia="Arial" w:hAnsi="Arial"/>
          <w:sz w:val="16"/>
          <w:szCs w:val="16"/>
          <w:color w:val="auto"/>
        </w:rPr>
        <w:t>candidate up to an agreed-upon maximum amount, (iv) and the obligation to repay the Singapore Loan will be secured by an interest in the raw materials and manufacturing equipment purchased by the Company with the funds from the Singapore Loan in form and substance satisfactory to the EDB in its sole discretion. The Company elected to borrow the full amount available under the Support Agreement of S $62.1 million ($46.6 million) on January 29, 2021. As of March 31, 2022, the Company has reported a portion of the Singapore Loan as current to reflect a potential principal repayment of approximately</w:t>
      </w:r>
    </w:p>
    <w:p>
      <w:pPr>
        <w:ind w:right="80"/>
        <w:spacing w:after="0" w:line="226" w:lineRule="auto"/>
        <w:rPr>
          <w:sz w:val="20"/>
          <w:szCs w:val="20"/>
          <w:color w:val="auto"/>
        </w:rPr>
      </w:pPr>
      <w:r>
        <w:rPr>
          <w:rFonts w:ascii="Arial" w:cs="Arial" w:eastAsia="Arial" w:hAnsi="Arial"/>
          <w:sz w:val="18"/>
          <w:szCs w:val="18"/>
          <w:color w:val="auto"/>
        </w:rPr>
        <w:t>20.9 million Singapore dollars (US $15.4 million) in fiscal year 2022 based on amounts not used toward the manufacture of ARCT-021 and is expecting to refund this portion during the third quarter of 2022.</w:t>
      </w:r>
    </w:p>
    <w:p>
      <w:pPr>
        <w:spacing w:after="0" w:line="53" w:lineRule="exact"/>
        <w:rPr>
          <w:sz w:val="20"/>
          <w:szCs w:val="20"/>
          <w:color w:val="auto"/>
        </w:rPr>
      </w:pPr>
    </w:p>
    <w:p>
      <w:pPr>
        <w:ind w:right="300" w:firstLine="509"/>
        <w:spacing w:after="0" w:line="212" w:lineRule="auto"/>
        <w:rPr>
          <w:sz w:val="20"/>
          <w:szCs w:val="20"/>
          <w:color w:val="auto"/>
        </w:rPr>
      </w:pPr>
      <w:r>
        <w:rPr>
          <w:rFonts w:ascii="Arial" w:cs="Arial" w:eastAsia="Arial" w:hAnsi="Arial"/>
          <w:sz w:val="18"/>
          <w:szCs w:val="18"/>
          <w:color w:val="auto"/>
        </w:rPr>
        <w:t>The Singapore Loan accrues interest at a rate of 4.5% per annum calculated on a daily basis. Subject to certain exceptions, the Singapore Loan is intended to be a limited recourse loan that will be repaid solely through a royalty</w:t>
      </w:r>
    </w:p>
    <w:p>
      <w:pPr>
        <w:spacing w:after="0" w:line="1" w:lineRule="exact"/>
        <w:rPr>
          <w:sz w:val="20"/>
          <w:szCs w:val="20"/>
          <w:color w:val="auto"/>
        </w:rPr>
      </w:pPr>
    </w:p>
    <w:p>
      <w:pPr>
        <w:ind w:right="20" w:firstLine="45"/>
        <w:spacing w:after="0" w:line="223" w:lineRule="auto"/>
        <w:rPr>
          <w:sz w:val="20"/>
          <w:szCs w:val="20"/>
          <w:color w:val="auto"/>
        </w:rPr>
      </w:pPr>
      <w:r>
        <w:rPr>
          <w:rFonts w:ascii="Arial" w:cs="Arial" w:eastAsia="Arial" w:hAnsi="Arial"/>
          <w:sz w:val="17"/>
          <w:szCs w:val="17"/>
          <w:color w:val="auto"/>
        </w:rPr>
        <w:t>payment of 10% of net sales proceeds of the LUNAR-COV19 vaccine candidate, up to the amount of the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the Company obtains clearance to sell the vaccine in specified jurisdictions. Unpaid principal and interest under the Singapore Loan will also become due and payable upon an event of default under the Support Agreement. The first vaccine sales, including the amount of net sales, shall be reported to EDB within 10 days of delivery and quarterly reports of aggregate vaccine sales, including net sales proceeds shall be provided within 30 days after quarter end.</w:t>
      </w:r>
    </w:p>
    <w:p>
      <w:pPr>
        <w:spacing w:after="0" w:line="55" w:lineRule="exact"/>
        <w:rPr>
          <w:sz w:val="20"/>
          <w:szCs w:val="20"/>
          <w:color w:val="auto"/>
        </w:rPr>
      </w:pPr>
    </w:p>
    <w:p>
      <w:pPr>
        <w:ind w:right="20" w:firstLine="509"/>
        <w:spacing w:after="0" w:line="228" w:lineRule="auto"/>
        <w:rPr>
          <w:sz w:val="20"/>
          <w:szCs w:val="20"/>
          <w:color w:val="auto"/>
        </w:rPr>
      </w:pPr>
      <w:r>
        <w:rPr>
          <w:rFonts w:ascii="Arial" w:cs="Arial" w:eastAsia="Arial" w:hAnsi="Arial"/>
          <w:sz w:val="17"/>
          <w:szCs w:val="17"/>
          <w:color w:val="auto"/>
        </w:rPr>
        <w:t>The Singapore Loan is forgivable if the Company has not obtained regulatory approval by the final repayment date and net sales of the LUNAR-COV19 vaccine candidate are less than $100 million. If, any portion of the Singapore Loan is required to be forgiven pursuant to the terms of the Support Agreement, the EDB has the right to take ownership of certain raw materials and equipment that were purchased by the Company with proceeds of the Singapore Loan (the “Specified Assets”). The Company entered into a security agreement (the “Security Agreement”) for the benefit of the EDB to provide that repayment of the Singapore Loan and related obligations are secured by a lien on the Specified Assets.</w:t>
      </w:r>
    </w:p>
    <w:p>
      <w:pPr>
        <w:spacing w:after="0" w:line="57" w:lineRule="exact"/>
        <w:rPr>
          <w:sz w:val="20"/>
          <w:szCs w:val="20"/>
          <w:color w:val="auto"/>
        </w:rPr>
      </w:pPr>
    </w:p>
    <w:p>
      <w:pPr>
        <w:ind w:right="140" w:firstLine="509"/>
        <w:spacing w:after="0" w:line="237" w:lineRule="auto"/>
        <w:rPr>
          <w:sz w:val="20"/>
          <w:szCs w:val="20"/>
          <w:color w:val="auto"/>
        </w:rPr>
      </w:pPr>
      <w:r>
        <w:rPr>
          <w:rFonts w:ascii="Arial" w:cs="Arial" w:eastAsia="Arial" w:hAnsi="Arial"/>
          <w:sz w:val="17"/>
          <w:szCs w:val="17"/>
          <w:color w:val="auto"/>
        </w:rPr>
        <w:t>In connection with the entry into the Support Agreement, the Company entered into a consent agreement with Western Alliance Bank (the “Bank”) and an amendment to the Loan and Security Agreement, dated as of October 12, 2018, between Western Alliance Bank and the Company (the “Loan Agreement”), to exclude the Specified Assets from Western Alliance Bank’s lien on certain assets of the Company.</w:t>
      </w:r>
    </w:p>
    <w:p>
      <w:pPr>
        <w:spacing w:after="0" w:line="55" w:lineRule="exact"/>
        <w:rPr>
          <w:sz w:val="20"/>
          <w:szCs w:val="20"/>
          <w:color w:val="auto"/>
        </w:rPr>
      </w:pPr>
    </w:p>
    <w:p>
      <w:pPr>
        <w:ind w:right="80" w:firstLine="509"/>
        <w:spacing w:after="0" w:line="239" w:lineRule="auto"/>
        <w:rPr>
          <w:sz w:val="20"/>
          <w:szCs w:val="20"/>
          <w:color w:val="auto"/>
        </w:rPr>
      </w:pPr>
      <w:r>
        <w:rPr>
          <w:rFonts w:ascii="Arial" w:cs="Arial" w:eastAsia="Arial" w:hAnsi="Arial"/>
          <w:sz w:val="16"/>
          <w:szCs w:val="16"/>
          <w:color w:val="auto"/>
        </w:rPr>
        <w:t>The Singapore Loan was initially recorded as long-term debt at $46.6 million, the amount of cash proceeds at the time the Company received the funding. As of March 31, 2022, accrued interest of $1.9 million related to 2021 was added to the principal debt balance in accordance with the terms of the Support Agreement and the balance was adjusted to reflect the current exchange rate resulting in an increase in the debt balance to $47.8 million and a net foreign currency transaction gain of $0.2 million for the three months ended March 31, 2022 compared to a net foreign currency transaction gain of $0.4 million for the three months ended March 31, 2021. For the three months ended March 31, 2022, the Company recorded interest expense and a corresponding liability of $0.5 million compared to interest expense and a corresponding liability of $0.4 million for the three months ended March 31, 2021. Lastly, the Company was in compliance with all covenants under the Singapore Loan and related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debt with Western Alliance Bank</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October 12, 2018, Arcturus Therapeutics, Inc. entered into the Loan with the Bank, whereby it received $10.0 million.</w:t>
      </w:r>
    </w:p>
    <w:p>
      <w:pPr>
        <w:spacing w:after="0" w:line="77" w:lineRule="exact"/>
        <w:rPr>
          <w:sz w:val="20"/>
          <w:szCs w:val="20"/>
          <w:color w:val="auto"/>
        </w:rPr>
      </w:pPr>
    </w:p>
    <w:p>
      <w:pPr>
        <w:ind w:right="60" w:firstLine="509"/>
        <w:spacing w:after="0" w:line="249" w:lineRule="auto"/>
        <w:rPr>
          <w:sz w:val="20"/>
          <w:szCs w:val="20"/>
          <w:color w:val="auto"/>
        </w:rPr>
      </w:pPr>
      <w:r>
        <w:rPr>
          <w:rFonts w:ascii="Arial" w:cs="Arial" w:eastAsia="Arial" w:hAnsi="Arial"/>
          <w:sz w:val="16"/>
          <w:szCs w:val="16"/>
          <w:color w:val="auto"/>
        </w:rPr>
        <w:t>The Loan is collateralized by all of the assets of Arcturus Therapeutics, Inc., excluding intellectual property, which is subject to a negative pledge. The Loan contains customary conditions of borrowing, events of default and covenants, including covenants that restrict Arcturus Therapeutics, Inc.’s ability to dispose of assets, merge with or acquire other entities, incur indebtedness and make distributions to holders of its capital stock. In addition, Arcturus Therapeutics, Inc. is required to maintain at least 100% of its consolidated, unrestricted cash, or $15.0 million, whichever is lower, with the Bank.</w:t>
      </w:r>
    </w:p>
    <w:p>
      <w:pPr>
        <w:spacing w:after="0" w:line="46" w:lineRule="exact"/>
        <w:rPr>
          <w:sz w:val="20"/>
          <w:szCs w:val="20"/>
          <w:color w:val="auto"/>
        </w:rPr>
      </w:pPr>
    </w:p>
    <w:p>
      <w:pPr>
        <w:ind w:right="700" w:firstLine="509"/>
        <w:spacing w:after="0" w:line="235" w:lineRule="auto"/>
        <w:rPr>
          <w:sz w:val="20"/>
          <w:szCs w:val="20"/>
          <w:color w:val="auto"/>
        </w:rPr>
      </w:pPr>
      <w:r>
        <w:rPr>
          <w:rFonts w:ascii="Arial" w:cs="Arial" w:eastAsia="Arial" w:hAnsi="Arial"/>
          <w:sz w:val="18"/>
          <w:szCs w:val="18"/>
          <w:color w:val="auto"/>
        </w:rPr>
        <w:t>On October 30, 2019, Arcturus Therapeutics, Inc. and the Bank entered into a Third Amendment (the “Third Amendment”) to the Loan (as amended, the “Loan Agreement”).</w:t>
      </w:r>
    </w:p>
    <w:p>
      <w:pPr>
        <w:spacing w:after="0" w:line="54" w:lineRule="exact"/>
        <w:rPr>
          <w:sz w:val="20"/>
          <w:szCs w:val="20"/>
          <w:color w:val="auto"/>
        </w:rPr>
      </w:pPr>
    </w:p>
    <w:p>
      <w:pPr>
        <w:ind w:firstLine="509"/>
        <w:spacing w:after="0" w:line="211" w:lineRule="auto"/>
        <w:rPr>
          <w:sz w:val="20"/>
          <w:szCs w:val="20"/>
          <w:color w:val="auto"/>
        </w:rPr>
      </w:pPr>
      <w:r>
        <w:rPr>
          <w:rFonts w:ascii="Arial" w:cs="Arial" w:eastAsia="Arial" w:hAnsi="Arial"/>
          <w:sz w:val="18"/>
          <w:szCs w:val="18"/>
          <w:color w:val="auto"/>
        </w:rPr>
        <w:t>Pursuant to the amendment, the Bank agreed to make a term loan to Arcturus Therapeutics, Inc. on October 30, 2019, in the amount of $15.0 million (the “Term Loan”). The resulting net increase in the indebtedness of Arcturus Therapeutics, Inc. was $5.0 million. The Term Loan bears interest at a floating rate ranging from 1.25% to 2.75% above the prime rate. The amendment further provides that the Term Loan has a maturity date of October 30, 2023. Arcturus Therapeutics, Inc. will make monthly payments of interest only until October 1, 2021. The Fourth Amendment was executed in connection with the Singapore Loan. In October of 2021, the Company and the Bank entered into a Fifth Amendment to Loan Agreement that provided for a six month extension to the interest only period which moved the first principal payment to May 1, 2022. In April of 2022, the Company and the Bank entered into a Sixth Amendment to Loan Agreement that provided for a three month extension to the interest only period which moved the first principal payment to August 1, 2022.</w:t>
      </w:r>
    </w:p>
    <w:p>
      <w:pPr>
        <w:spacing w:after="0" w:line="56" w:lineRule="exact"/>
        <w:rPr>
          <w:sz w:val="20"/>
          <w:szCs w:val="20"/>
          <w:color w:val="auto"/>
        </w:rPr>
      </w:pPr>
    </w:p>
    <w:p>
      <w:pPr>
        <w:jc w:val="both"/>
        <w:ind w:right="140" w:firstLine="509"/>
        <w:spacing w:after="0" w:line="235" w:lineRule="auto"/>
        <w:rPr>
          <w:sz w:val="20"/>
          <w:szCs w:val="20"/>
          <w:color w:val="auto"/>
        </w:rPr>
      </w:pPr>
      <w:r>
        <w:rPr>
          <w:rFonts w:ascii="Arial" w:cs="Arial" w:eastAsia="Arial" w:hAnsi="Arial"/>
          <w:sz w:val="18"/>
          <w:szCs w:val="18"/>
          <w:color w:val="auto"/>
        </w:rPr>
        <w:t>Arcturus Therapeutics, Inc. paid a loan origination fee of $54,000 which was recorded as a debt discount along with the remaining loan origination fee from the Loan and is being accreted over the term of the Term Loan. In addition, Arcturus Therapeutics, Inc. is required to pay a fee of $525,000 upon certain change of control events.</w:t>
      </w:r>
    </w:p>
    <w:p>
      <w:pPr>
        <w:spacing w:after="0" w:line="67" w:lineRule="exact"/>
        <w:rPr>
          <w:sz w:val="20"/>
          <w:szCs w:val="20"/>
          <w:color w:val="auto"/>
        </w:rPr>
      </w:pPr>
    </w:p>
    <w:p>
      <w:pPr>
        <w:ind w:right="560" w:firstLine="509"/>
        <w:spacing w:after="0" w:line="246" w:lineRule="auto"/>
        <w:rPr>
          <w:sz w:val="20"/>
          <w:szCs w:val="20"/>
          <w:color w:val="auto"/>
        </w:rPr>
      </w:pPr>
      <w:r>
        <w:rPr>
          <w:rFonts w:ascii="Arial" w:cs="Arial" w:eastAsia="Arial" w:hAnsi="Arial"/>
          <w:sz w:val="18"/>
          <w:szCs w:val="18"/>
          <w:color w:val="auto"/>
        </w:rPr>
        <w:t>The Term Loan may be prepaid in full at any time, subject to a prepayment fee ranging from 0.50% to 2.00% of the prepaid principal amount depending upon the date of the prepayment.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6" w:name="page17"/>
    <w:bookmarkEnd w:id="16"/>
    <w:p>
      <w:pPr>
        <w:ind w:right="40" w:firstLine="509"/>
        <w:spacing w:after="0" w:line="235" w:lineRule="auto"/>
        <w:rPr>
          <w:sz w:val="20"/>
          <w:szCs w:val="20"/>
          <w:color w:val="auto"/>
        </w:rPr>
      </w:pPr>
      <w:r>
        <w:rPr>
          <w:rFonts w:ascii="Arial" w:cs="Arial" w:eastAsia="Arial" w:hAnsi="Arial"/>
          <w:sz w:val="18"/>
          <w:szCs w:val="18"/>
          <w:color w:val="auto"/>
        </w:rPr>
        <w:t>Upon maturity or prepayment (as previously discussed), Arcturus Therapeutics, Inc. will be required to pay a 2% fee as a result of the FDA’s approval to proceed with the Company’s LUNAR-OTC program based on its IND submission. Such fee is accreted to the long-term debt balance using the effective interest method over the term of the Loan Agreement.</w:t>
      </w:r>
    </w:p>
    <w:p>
      <w:pPr>
        <w:spacing w:after="0" w:line="256" w:lineRule="exact"/>
        <w:rPr>
          <w:sz w:val="20"/>
          <w:szCs w:val="20"/>
          <w:color w:val="auto"/>
        </w:rPr>
      </w:pPr>
    </w:p>
    <w:p>
      <w:pPr>
        <w:ind w:right="40" w:firstLine="509"/>
        <w:spacing w:after="0" w:line="274" w:lineRule="auto"/>
        <w:rPr>
          <w:sz w:val="20"/>
          <w:szCs w:val="20"/>
          <w:color w:val="auto"/>
        </w:rPr>
      </w:pPr>
      <w:r>
        <w:rPr>
          <w:rFonts w:ascii="Arial" w:cs="Arial" w:eastAsia="Arial" w:hAnsi="Arial"/>
          <w:sz w:val="17"/>
          <w:szCs w:val="17"/>
          <w:color w:val="auto"/>
        </w:rPr>
        <w:t>Should an event of default occur, including the occurrence of a material adverse effect, the Company could be liable for immediate repayment of all obligations under the Loan Agreement. As of March 31, 2022, the Company was in compliance with all covenants under the Loan Agreement.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Principal payments, including the final payment due at repayment, on the long-term debt are as follows as of March 31, 2022:</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2022</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Borders>
              <w:bottom w:val="single" w:sz="8" w:color="CFF0FC"/>
            </w:tcBorders>
          </w:tcPr>
          <w:p>
            <w:pPr>
              <w:ind w:left="100"/>
              <w:spacing w:after="0" w:line="202" w:lineRule="exact"/>
              <w:rPr>
                <w:sz w:val="20"/>
                <w:szCs w:val="20"/>
                <w:color w:val="auto"/>
              </w:rPr>
            </w:pPr>
            <w:r>
              <w:rPr>
                <w:rFonts w:ascii="Arial" w:cs="Arial" w:eastAsia="Arial" w:hAnsi="Arial"/>
                <w:sz w:val="18"/>
                <w:szCs w:val="18"/>
                <w:color w:val="auto"/>
              </w:rPr>
              <w:t>2023</w:t>
            </w:r>
          </w:p>
        </w:tc>
        <w:tc>
          <w:tcPr>
            <w:tcW w:w="8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10,300,000</w:t>
            </w:r>
          </w:p>
        </w:tc>
        <w:tc>
          <w:tcPr>
            <w:tcW w:w="60" w:type="dxa"/>
            <w:vAlign w:val="bottom"/>
            <w:tcBorders>
              <w:bottom w:val="single" w:sz="8" w:color="CFF0FC"/>
            </w:tcBorders>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15,300,000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-25400</wp:posOffset>
            </wp:positionV>
            <wp:extent cx="342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-162560</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Company recognized interest expense related to its long-term debt of $0.7 million and $0.2 million during the three months ended March 31, 2022 and 2021,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Alexion Pharmaceuticals License Agreement</w:t>
      </w:r>
    </w:p>
    <w:p>
      <w:pPr>
        <w:spacing w:after="0" w:line="108"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On February 17, 2021, the Company entered into an exclusive license agreement with Alexion Pharmaceuticals, Inc. (“</w:t>
      </w:r>
      <w:r>
        <w:rPr>
          <w:rFonts w:ascii="Arial" w:cs="Arial" w:eastAsia="Arial" w:hAnsi="Arial"/>
          <w:sz w:val="16"/>
          <w:szCs w:val="16"/>
          <w:u w:val="single" w:color="auto"/>
          <w:color w:val="auto"/>
        </w:rPr>
        <w:t>Alexion</w:t>
      </w:r>
      <w:r>
        <w:rPr>
          <w:rFonts w:ascii="Arial" w:cs="Arial" w:eastAsia="Arial" w:hAnsi="Arial"/>
          <w:sz w:val="16"/>
          <w:szCs w:val="16"/>
          <w:color w:val="auto"/>
        </w:rPr>
        <w:t>”) pursuant to which Alexion granted to the Company an exclusive, worldwide license to exploit certain specified Alexion patent applications. In accordance with the terms of the license agreement, and in exchange for the license, the Company issued 74,713 shares of its common stock to Alexion on February 19, 2021 valued at approximately $5.0 million. The number of shares issued under the agreement was calculated by dividing (i) five million dollars ($5.0 million) by (ii) the volume-weighted average price per share of the Company’s common stock on the Nasdaq Global Market for the thirty (30) trading days immediately preceding the Effective Date (rounded to the nearest whole share). The Company recorded the transaction as an asset purchase as management concluded that all of the value received was related to a single identifiable asset. Further, the Company concluded that there was no alternative future use for the asset and recorded a charge at the closing of the transaction for the full $5.0 million value assigned to the shares issued in connection with the license agreement. This non-cash charge was recorded as acquired in-process research and development expense in the statements of operations and comprehensive loss.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Dilutive securities that were not included in the calculation of diluted net loss per share for the three months ended March 31, 2022 and 2021 as they were anti-dilutive totaled 824,792 and 1,320,390,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Share-Based Compensation Expense</w:t>
      </w:r>
    </w:p>
    <w:p>
      <w:pPr>
        <w:spacing w:after="0" w:line="108"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In June 2020, the stockholders of the Company approved an increase to the number of shares authorized for use in making awards under the 2019 Omnibus Equity Incentive Plan (the “2019 Plan”) by 2,400,000 shares to 5,000,000. Accordingly, as of March 31, 2022, a total of 344,428 shares remain available for future issuance under the 2019 Plan, subject to the terms of the 2019 Plan.</w:t>
      </w:r>
    </w:p>
    <w:p>
      <w:pPr>
        <w:spacing w:after="0" w:line="7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October 2021, the Company adopted the 2021 Inducement Equity Incentive Plan which covers the award of up to 1,000,000 shares of common stock (the “2021 Plan”) effective as of October 15, 2021. Approval of the Company’s stockholders will not be required as a condition to the effectiveness of the 2021 Plan for so long as the plan is in compliance with applicable Nasdaq inducement plan rules. On October 20, 2021, the Company filed a Form S-8 with the United States Securities and Exchange Commission to register the issuance of up to 1,000,000 shares underlying awards under the 2021 Plan. As of March 31, 2022, a total of 745,300 shares remain available for future issuance under the 2021 Plan, subject to the terms of the 2021 Plan. In April 2022, the compensation committee of the Company’s board of directors approved a proposal to reduce the total number of shares available for future issuance under the 2021 Plan to 130,000.</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Share-based compensation expense included in the Company’s condensed consolidated statements of operations and comprehensive loss for the three March 31, 2022 and 2021 was as follows: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5"/>
        </w:trPr>
        <w:tc>
          <w:tcPr>
            <w:tcW w:w="6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Ended March 31,</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66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r>
      <w:tr>
        <w:trPr>
          <w:trHeight w:val="196"/>
        </w:trPr>
        <w:tc>
          <w:tcPr>
            <w:tcW w:w="6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3,455</w:t>
            </w:r>
          </w:p>
        </w:tc>
        <w:tc>
          <w:tcPr>
            <w:tcW w:w="4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3,246</w:t>
            </w:r>
          </w:p>
        </w:tc>
        <w:tc>
          <w:tcPr>
            <w:tcW w:w="20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3,916</w:t>
            </w:r>
          </w:p>
        </w:tc>
        <w:tc>
          <w:tcPr>
            <w:tcW w:w="4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3,741</w:t>
            </w:r>
          </w:p>
        </w:tc>
        <w:tc>
          <w:tcPr>
            <w:tcW w:w="200" w:type="dxa"/>
            <w:vAlign w:val="bottom"/>
          </w:tcPr>
          <w:p>
            <w:pPr>
              <w:spacing w:after="0"/>
              <w:rPr>
                <w:sz w:val="17"/>
                <w:szCs w:val="17"/>
                <w:color w:val="auto"/>
              </w:rPr>
            </w:pPr>
          </w:p>
        </w:tc>
      </w:tr>
      <w:tr>
        <w:trPr>
          <w:trHeight w:val="236"/>
        </w:trPr>
        <w:tc>
          <w:tcPr>
            <w:tcW w:w="66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7,371</w:t>
            </w:r>
          </w:p>
        </w:tc>
        <w:tc>
          <w:tcPr>
            <w:tcW w:w="4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6,987</w:t>
            </w:r>
          </w:p>
        </w:tc>
        <w:tc>
          <w:tcPr>
            <w:tcW w:w="2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-24765</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43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-24765</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-7620</wp:posOffset>
            </wp:positionV>
            <wp:extent cx="342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jc w:val="both"/>
        <w:ind w:right="200" w:firstLine="509"/>
        <w:spacing w:after="0" w:line="270" w:lineRule="auto"/>
        <w:rPr>
          <w:sz w:val="20"/>
          <w:szCs w:val="20"/>
          <w:color w:val="auto"/>
        </w:rPr>
      </w:pPr>
      <w:r>
        <w:rPr>
          <w:rFonts w:ascii="Arial" w:cs="Arial" w:eastAsia="Arial" w:hAnsi="Arial"/>
          <w:sz w:val="17"/>
          <w:szCs w:val="17"/>
          <w:color w:val="auto"/>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relates to the valuation allowances on the Company’s net operating losses.</w:t>
      </w:r>
    </w:p>
    <w:p>
      <w:pPr>
        <w:spacing w:after="0" w:line="56"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For the three months ended March 31, 2022 and 2021, the Company recorded no income tax expense. No tax benefit was provided for losses incurred in United States because those losses are offset by a full valuation allowance.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COVID-19 Vaccine Development</w:t>
      </w:r>
    </w:p>
    <w:p>
      <w:pPr>
        <w:spacing w:after="0" w:line="104" w:lineRule="exact"/>
        <w:rPr>
          <w:sz w:val="20"/>
          <w:szCs w:val="20"/>
          <w:color w:val="auto"/>
        </w:rPr>
      </w:pPr>
    </w:p>
    <w:p>
      <w:pPr>
        <w:ind w:right="80" w:firstLine="578"/>
        <w:spacing w:after="0" w:line="253" w:lineRule="auto"/>
        <w:rPr>
          <w:sz w:val="20"/>
          <w:szCs w:val="20"/>
          <w:color w:val="auto"/>
        </w:rPr>
      </w:pPr>
      <w:r>
        <w:rPr>
          <w:rFonts w:ascii="Arial" w:cs="Arial" w:eastAsia="Arial" w:hAnsi="Arial"/>
          <w:sz w:val="17"/>
          <w:szCs w:val="17"/>
          <w:color w:val="auto"/>
        </w:rPr>
        <w:t>On March 4, 2020, the Company was awarded a grant (“Grant 1”) from the Singapore EDB to support the co-development of a potential COVID-19 vaccine with the Duke-NUS Medical School. The Grant provides for up to S$14.0 million (approximately US$10.0 million using the exchange rate at the time the grant contract was entered into) in grants to support the development of the vaccine. The Grant has been paid in full by the EDB as a result of the achievement of certain milestones related to the progress of the development of the vaccine, as set forth in the award agreement. The funds received have been recognized as contra research and development expense. The parties are in continued negotiations with respect to amendments of Grant 1. Currently, the Company is liable for certain expenses during the program and is also subject to certain conditions including the requirement to pay an agreed upon royalty rate to Duke-NUS on future net sales of the LUNAR-COV19 vaccine candidate developed with Duke-NUS in markets or jurisdictions outside of Singapore. For the three months ended March 31, 2021, the Company recognized $1.3 million of contra expense for Grant 1. As of March 31, 2022 and December 31, 2021, no amount remained in accrued expenses.</w:t>
      </w:r>
    </w:p>
    <w:p>
      <w:pPr>
        <w:spacing w:after="0" w:line="76" w:lineRule="exact"/>
        <w:rPr>
          <w:sz w:val="20"/>
          <w:szCs w:val="20"/>
          <w:color w:val="auto"/>
        </w:rPr>
      </w:pPr>
    </w:p>
    <w:p>
      <w:pPr>
        <w:ind w:right="80" w:firstLine="578"/>
        <w:spacing w:after="0" w:line="241" w:lineRule="auto"/>
        <w:rPr>
          <w:sz w:val="20"/>
          <w:szCs w:val="20"/>
          <w:color w:val="auto"/>
        </w:rPr>
      </w:pPr>
      <w:r>
        <w:rPr>
          <w:rFonts w:ascii="Arial" w:cs="Arial" w:eastAsia="Arial" w:hAnsi="Arial"/>
          <w:sz w:val="18"/>
          <w:szCs w:val="18"/>
          <w:color w:val="auto"/>
        </w:rPr>
        <w:t>On October 2, 2020, the Company was awarded another grant (“Grant 2”) from the Singapore EDB to support the clinical development of a potential COVID-19 vaccine (ARCT-021). The grant provides for up to S $9.3 million (approximately US $6.7 million) to support the clinical development of the vaccine candidate for costs incurred in Singapore subject to certain conditions. The grant is paid in two installments upon the achievement of certain milestones related to the progress of the development of the vaccine candidate. The Company received the first installment of $3.6 million in the fourth quarter of 2020. The funds received are recognized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8" w:name="page19"/>
    <w:bookmarkEnd w:id="18"/>
    <w:p>
      <w:pPr>
        <w:spacing w:after="0" w:line="270" w:lineRule="auto"/>
        <w:rPr>
          <w:sz w:val="20"/>
          <w:szCs w:val="20"/>
          <w:color w:val="auto"/>
        </w:rPr>
      </w:pPr>
      <w:r>
        <w:rPr>
          <w:rFonts w:ascii="Arial" w:cs="Arial" w:eastAsia="Arial" w:hAnsi="Arial"/>
          <w:sz w:val="17"/>
          <w:szCs w:val="17"/>
          <w:color w:val="auto"/>
        </w:rPr>
        <w:t>as contra research and development expense as costs are incurred. During 2021, the Company recognized the remaining amount of the first installment as contra research and development expense for Grant 2. During the first quarter of 2022, the Company and EDB concluded negotiations on this Contract, and thereby reduced the overall amount received by the Company under the Grant to the first installment of $3.6 million.</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Cystic Fibrosis Foundation Agreement</w:t>
      </w:r>
    </w:p>
    <w:p>
      <w:pPr>
        <w:spacing w:after="0" w:line="104" w:lineRule="exact"/>
        <w:rPr>
          <w:sz w:val="20"/>
          <w:szCs w:val="20"/>
          <w:color w:val="auto"/>
        </w:rPr>
      </w:pPr>
    </w:p>
    <w:p>
      <w:pPr>
        <w:ind w:right="40" w:firstLine="578"/>
        <w:spacing w:after="0" w:line="253" w:lineRule="auto"/>
        <w:rPr>
          <w:sz w:val="20"/>
          <w:szCs w:val="20"/>
          <w:color w:val="auto"/>
        </w:rPr>
      </w:pPr>
      <w:r>
        <w:rPr>
          <w:rFonts w:ascii="Arial" w:cs="Arial" w:eastAsia="Arial" w:hAnsi="Arial"/>
          <w:sz w:val="17"/>
          <w:szCs w:val="17"/>
          <w:color w:val="auto"/>
        </w:rPr>
        <w:t>On August 1, 2019, the Company amended its Development Program Letter Agreement, dated May 16, 2017 and as amended July 13, 2018, with the Cystic Fibrosis Foundation (“CFF”). Pursuant to the amendment, (i) CFF increased the amount it will award to advance LUNAR-CF to $15.0 million from approximately $3.2 million, (ii) the Company will provide $5.0 million in matching funds for remaining budgeted costs, (iii) the related disbursement schedule from CFF to Arcturus will be modified such that (a) $4.0 million will be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$2.3 million, will be disbursed upon Arcturus Sub invoicing CFF to meet good manufacturing practices and opening an Investigational New Drug (“IND”) application. The funds received from CFF are recognized as contra research and development expense in proportion to the percentage covered by CFF of the overall budget. For the three months ended March 31, 2022 and 2021, the Company recognized $1.4 million and $0.6 million, respectively, of contra expense with $1.8 million and $2.8 million remaining in accrued expenses at March 31, 2022 and December 31, 2021, respectively</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76" w:lineRule="exact"/>
        <w:rPr>
          <w:sz w:val="20"/>
          <w:szCs w:val="20"/>
          <w:color w:val="auto"/>
        </w:rPr>
      </w:pPr>
    </w:p>
    <w:p>
      <w:pPr>
        <w:ind w:right="240" w:firstLine="509"/>
        <w:spacing w:after="0" w:line="270" w:lineRule="auto"/>
        <w:rPr>
          <w:sz w:val="20"/>
          <w:szCs w:val="20"/>
          <w:color w:val="auto"/>
        </w:rPr>
      </w:pPr>
      <w:r>
        <w:rPr>
          <w:rFonts w:ascii="Arial" w:cs="Arial" w:eastAsia="Arial" w:hAnsi="Arial"/>
          <w:sz w:val="17"/>
          <w:szCs w:val="17"/>
          <w:color w:val="auto"/>
        </w:rPr>
        <w:t>In February 2020, the Company entered into a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w:t>
      </w:r>
    </w:p>
    <w:p>
      <w:pPr>
        <w:spacing w:after="0" w:line="56"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In February 2021, the Company entered into a third non-cancellable operating lease agreement for office space near its current headquarters. The lease extends for 12 months from the commencement date with monthly base rent of approximately $11,000. During the third quarter of 2021, the Company opted to extend the lease for an additional 12 months.</w:t>
      </w:r>
    </w:p>
    <w:p>
      <w:pPr>
        <w:spacing w:after="0" w:line="74"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the remaining payments of the operating lease liability were as follows: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7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2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Remaining Lease Payments</w:t>
            </w:r>
          </w:p>
        </w:tc>
      </w:tr>
      <w:tr>
        <w:trPr>
          <w:trHeight w:val="196"/>
        </w:trPr>
        <w:tc>
          <w:tcPr>
            <w:tcW w:w="7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1,536</w:t>
            </w:r>
          </w:p>
        </w:tc>
        <w:tc>
          <w:tcPr>
            <w:tcW w:w="24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2,185</w:t>
            </w:r>
          </w:p>
        </w:tc>
        <w:tc>
          <w:tcPr>
            <w:tcW w:w="240" w:type="dxa"/>
            <w:vAlign w:val="bottom"/>
          </w:tcPr>
          <w:p>
            <w:pPr>
              <w:spacing w:after="0"/>
              <w:rPr>
                <w:sz w:val="17"/>
                <w:szCs w:val="17"/>
                <w:color w:val="auto"/>
              </w:rPr>
            </w:pPr>
          </w:p>
        </w:tc>
      </w:tr>
      <w:tr>
        <w:trPr>
          <w:trHeight w:val="203"/>
        </w:trPr>
        <w:tc>
          <w:tcPr>
            <w:tcW w:w="7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2,251</w:t>
            </w:r>
          </w:p>
        </w:tc>
        <w:tc>
          <w:tcPr>
            <w:tcW w:w="24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8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521</w:t>
            </w:r>
          </w:p>
        </w:tc>
        <w:tc>
          <w:tcPr>
            <w:tcW w:w="240" w:type="dxa"/>
            <w:vAlign w:val="bottom"/>
          </w:tcPr>
          <w:p>
            <w:pPr>
              <w:spacing w:after="0"/>
              <w:rPr>
                <w:sz w:val="17"/>
                <w:szCs w:val="17"/>
                <w:color w:val="auto"/>
              </w:rPr>
            </w:pPr>
          </w:p>
        </w:tc>
      </w:tr>
      <w:tr>
        <w:trPr>
          <w:trHeight w:val="203"/>
        </w:trPr>
        <w:tc>
          <w:tcPr>
            <w:tcW w:w="77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Total remaining lease payments</w:t>
            </w:r>
          </w:p>
        </w:tc>
        <w:tc>
          <w:tcPr>
            <w:tcW w:w="18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6,493</w:t>
            </w:r>
          </w:p>
        </w:tc>
        <w:tc>
          <w:tcPr>
            <w:tcW w:w="24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7"/>
                <w:szCs w:val="17"/>
                <w:color w:val="auto"/>
              </w:rPr>
            </w:pPr>
          </w:p>
        </w:tc>
        <w:tc>
          <w:tcPr>
            <w:tcW w:w="2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(783 )</w:t>
            </w:r>
          </w:p>
        </w:tc>
      </w:tr>
      <w:tr>
        <w:trPr>
          <w:trHeight w:val="236"/>
        </w:trPr>
        <w:tc>
          <w:tcPr>
            <w:tcW w:w="770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operating lease liabilities</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5,710</w:t>
            </w:r>
          </w:p>
        </w:tc>
        <w:tc>
          <w:tcPr>
            <w:tcW w:w="240" w:type="dxa"/>
            <w:vAlign w:val="bottom"/>
            <w:tcBorders>
              <w:bottom w:val="single" w:sz="8" w:color="CFF0FC"/>
            </w:tcBorders>
            <w:shd w:val="clear" w:color="auto" w:fill="CFF0FC"/>
          </w:tcPr>
          <w:p>
            <w:pPr>
              <w:spacing w:after="0"/>
              <w:rPr>
                <w:sz w:val="20"/>
                <w:szCs w:val="20"/>
                <w:color w:val="auto"/>
              </w:rPr>
            </w:pPr>
          </w:p>
        </w:tc>
      </w:tr>
      <w:tr>
        <w:trPr>
          <w:trHeight w:val="183"/>
        </w:trPr>
        <w:tc>
          <w:tcPr>
            <w:tcW w:w="7700" w:type="dxa"/>
            <w:vAlign w:val="bottom"/>
          </w:tcPr>
          <w:p>
            <w:pPr>
              <w:spacing w:after="0" w:line="183" w:lineRule="exact"/>
              <w:rPr>
                <w:sz w:val="20"/>
                <w:szCs w:val="20"/>
                <w:color w:val="auto"/>
              </w:rPr>
            </w:pPr>
            <w:r>
              <w:rPr>
                <w:rFonts w:ascii="Arial" w:cs="Arial" w:eastAsia="Arial" w:hAnsi="Arial"/>
                <w:sz w:val="18"/>
                <w:szCs w:val="18"/>
                <w:color w:val="auto"/>
              </w:rPr>
              <w:t>Weighted-average remaining lease term</w:t>
            </w:r>
          </w:p>
        </w:tc>
        <w:tc>
          <w:tcPr>
            <w:tcW w:w="180" w:type="dxa"/>
            <w:vAlign w:val="bottom"/>
          </w:tcPr>
          <w:p>
            <w:pPr>
              <w:spacing w:after="0"/>
              <w:rPr>
                <w:sz w:val="15"/>
                <w:szCs w:val="15"/>
                <w:color w:val="auto"/>
              </w:rPr>
            </w:pPr>
          </w:p>
        </w:tc>
        <w:tc>
          <w:tcPr>
            <w:tcW w:w="2220" w:type="dxa"/>
            <w:vAlign w:val="bottom"/>
            <w:gridSpan w:val="2"/>
          </w:tcPr>
          <w:p>
            <w:pPr>
              <w:jc w:val="right"/>
              <w:ind w:right="240"/>
              <w:spacing w:after="0" w:line="183" w:lineRule="exact"/>
              <w:rPr>
                <w:sz w:val="20"/>
                <w:szCs w:val="20"/>
                <w:color w:val="auto"/>
              </w:rPr>
            </w:pPr>
            <w:r>
              <w:rPr>
                <w:rFonts w:ascii="Arial" w:cs="Arial" w:eastAsia="Arial" w:hAnsi="Arial"/>
                <w:sz w:val="18"/>
                <w:szCs w:val="18"/>
                <w:color w:val="auto"/>
              </w:rPr>
              <w:t>3.0 years</w:t>
            </w:r>
          </w:p>
        </w:tc>
      </w:tr>
      <w:tr>
        <w:trPr>
          <w:trHeight w:val="203"/>
        </w:trPr>
        <w:tc>
          <w:tcPr>
            <w:tcW w:w="7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discount rate</w:t>
            </w:r>
          </w:p>
        </w:tc>
        <w:tc>
          <w:tcPr>
            <w:tcW w:w="180" w:type="dxa"/>
            <w:vAlign w:val="bottom"/>
            <w:shd w:val="clear" w:color="auto" w:fill="CFF0FC"/>
          </w:tcPr>
          <w:p>
            <w:pPr>
              <w:spacing w:after="0"/>
              <w:rPr>
                <w:sz w:val="17"/>
                <w:szCs w:val="17"/>
                <w:color w:val="auto"/>
              </w:rPr>
            </w:pPr>
          </w:p>
        </w:tc>
        <w:tc>
          <w:tcPr>
            <w:tcW w:w="22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6631305</wp:posOffset>
            </wp:positionH>
            <wp:positionV relativeFrom="paragraph">
              <wp:posOffset>-281940</wp:posOffset>
            </wp:positionV>
            <wp:extent cx="1460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-264795</wp:posOffset>
            </wp:positionV>
            <wp:extent cx="1460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95"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Operating lease costs consist of the fixed lease payments included in operating lease liability and are recorded on a straight-line basis over the lease terms. Operating lease costs were $0.5 million for the three months ended March 31, 2022 and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9" w:name="page20"/>
    <w:bookmarkEnd w:id="19"/>
    <w:p>
      <w:pPr>
        <w:ind w:right="80" w:firstLine="509"/>
        <w:spacing w:after="0" w:line="243" w:lineRule="auto"/>
        <w:rPr>
          <w:sz w:val="20"/>
          <w:szCs w:val="20"/>
          <w:color w:val="auto"/>
        </w:rPr>
      </w:pPr>
      <w:r>
        <w:rPr>
          <w:rFonts w:ascii="Arial" w:cs="Arial" w:eastAsia="Arial" w:hAnsi="Arial"/>
          <w:sz w:val="18"/>
          <w:szCs w:val="18"/>
          <w:color w:val="auto"/>
        </w:rPr>
        <w:t>In September 2021, the Company entered into a non-cancellable lease agreement for office, research and development, engineering and laboratory space near its current headquarters. The initial term of the lease will extend ten years and eight months from the date of possession, and the Company will have the right to extend the term of the lease for an additional five-year period. The lease has a monthly base rent ranging from $268,000 to $360,000 which escalates over the lease term.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Equity-Method Investment</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June 2018, the Company completed the sale of its intangible asset related to the ADAIR technology. Pursuant to the asset purchase agreement for ADAIR, the Company received a 30% ownership interest in the common stock of Vallon Pharmaceuticals, Inc. (“Vallon”) in consideration for the sale of the ADAIR technology. The Company has no requirement to invest further in Vallon. Vallon completed an initial public offering and began trading on The Nasdaq Stock Market under the ticker “VLON” in February 2021. Immediately after this offering, Arcturus owned 843,750 shares of Vallon, or approximately 12%. Based on the Company’s ownership and the Vallon board of directors seat held by an executive of Arcturus, the Company has the ability to exercise significant influence over the operating and financial policies of Vallon; therefore, the Company accounts for this investment as an equity-method investment. The Company accounts for its share of the earnings or losses of the investee with a reporting lag of three months, as the financial statements of the investee are not completed on a basis that is sufficient for the Company to apply the equity method on a current basis. The offering was at a share price of $8.00, greater than the initial investment which resulted in the Company recording a gain in its equity-method investment. Using a three month lag, the gain has been offset by losses incurred by Vallon through December 31, 2021.</w:t>
      </w:r>
    </w:p>
    <w:p>
      <w:pPr>
        <w:spacing w:after="0" w:line="50"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Joint Ventures, Equity Method Investments and Variable Interest Entities”</w:t>
      </w:r>
      <w:r>
        <w:rPr>
          <w:rFonts w:ascii="Arial" w:cs="Arial" w:eastAsia="Arial" w:hAnsi="Arial"/>
          <w:sz w:val="18"/>
          <w:szCs w:val="18"/>
          <w:color w:val="auto"/>
        </w:rPr>
        <w:t xml:space="preserve"> for specific details surrounding the Company’s agreement with Axcelead to form the joint venture entity, Arcalis, Inc.</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20" w:firstLine="509"/>
        <w:spacing w:after="0" w:line="207" w:lineRule="exact"/>
        <w:rPr>
          <w:sz w:val="20"/>
          <w:szCs w:val="20"/>
          <w:color w:val="auto"/>
        </w:rPr>
      </w:pPr>
      <w:r>
        <w:rPr>
          <w:rFonts w:ascii="Arial" w:cs="Arial" w:eastAsia="Arial" w:hAnsi="Arial"/>
          <w:sz w:val="16"/>
          <w:szCs w:val="16"/>
          <w:i w:val="1"/>
          <w:iCs w:val="1"/>
          <w:color w:val="auto"/>
        </w:rPr>
        <w:t>The following is a discussion of the financial condition and results of operations of Arcturus Therapeutics Holdings Inc. for the three month period ended March 31, 2022.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for the year ended December 31, 2021 (the “2021 Annual Report”), which was filed with the U.S. Securities and Exchange Commission (the “Commission”) on March 1, 2022. Unless otherwise defined herein, capitalized words and expressions used herein shall have the same meanings ascribed to them in the 2021 Annual Report.</w:t>
      </w:r>
    </w:p>
    <w:p>
      <w:pPr>
        <w:spacing w:after="0" w:line="8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60" w:lineRule="exact"/>
        <w:rPr>
          <w:sz w:val="20"/>
          <w:szCs w:val="20"/>
          <w:color w:val="auto"/>
        </w:rPr>
      </w:pPr>
    </w:p>
    <w:p>
      <w:pPr>
        <w:ind w:right="220" w:firstLine="509"/>
        <w:spacing w:after="0" w:line="235" w:lineRule="auto"/>
        <w:rPr>
          <w:sz w:val="20"/>
          <w:szCs w:val="20"/>
          <w:color w:val="auto"/>
        </w:rPr>
      </w:pPr>
      <w:r>
        <w:rPr>
          <w:rFonts w:ascii="Arial" w:cs="Arial" w:eastAsia="Arial" w:hAnsi="Arial"/>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26" w:lineRule="auto"/>
        <w:rPr>
          <w:sz w:val="20"/>
          <w:szCs w:val="20"/>
          <w:color w:val="auto"/>
        </w:rPr>
      </w:pPr>
      <w:r>
        <w:rPr>
          <w:rFonts w:ascii="Arial" w:cs="Arial" w:eastAsia="Arial" w:hAnsi="Arial"/>
          <w:sz w:val="18"/>
          <w:szCs w:val="18"/>
          <w:color w:val="auto"/>
        </w:rPr>
        <w:t>Arcturus is a global late-stage clinical messenger RNA medicines company focused on the development of infectious disease vaccines and significant opportunities within liver and respiratory rare diseases. In addition to our messenger RNA (“mRNA”) platform, our proprietary lipid nanoparticle delivery system, LUNAR</w:t>
      </w:r>
      <w:r>
        <w:rPr>
          <w:rFonts w:ascii="Arial" w:cs="Arial" w:eastAsia="Arial" w:hAnsi="Arial"/>
          <w:sz w:val="24"/>
          <w:szCs w:val="24"/>
          <w:color w:val="auto"/>
          <w:vertAlign w:val="superscript"/>
        </w:rPr>
        <w:t>®</w:t>
      </w:r>
      <w:r>
        <w:rPr>
          <w:rFonts w:ascii="Arial" w:cs="Arial" w:eastAsia="Arial" w:hAnsi="Arial"/>
          <w:sz w:val="18"/>
          <w:szCs w:val="18"/>
          <w:color w:val="auto"/>
        </w:rPr>
        <w:t>, has the potential to enable multiple nucleic acid medicines, and our proprietary self-amplifying mRNA technology (Self-Transcribing and Replicating RNA or STARR™) technology has the potential to provide longer-lasting RNA and sustained protein expression at lower dose levels.</w:t>
      </w:r>
    </w:p>
    <w:p>
      <w:pPr>
        <w:spacing w:after="0" w:line="8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are leveraging our proprietary platform relating to LUNAR and our nucleic acid technologies to develop and advance a pipeline of mRNA based vaccines and therapeutics for the prevention of infectious diseases and treatment of rare genetic disorders with significant unmet medical needs. We continue to expand this platform with innovative delivery solutions that allow us to expand our discovery efforts. Our proprietary LUNAR technology is intended to address the major hurdles in RNA drug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will allow us to deliver on the next generation of nucleic acid medicines.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represents our current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72200" cy="254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7220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Key Updates on our COVID-19 Vaccine Program</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Phase 1/2 Study in United States and Singapore</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January 2022, we published (01/24/2022) immunogenicity data for participants of a Phase 1/2 booster study being conducted in the U.S. and Singapore. Results from the arms where participants were dosed with 5 mcg of ARCT-154 as a booster after at least five months of being vaccinated with two doses of Comirnaty showed encouraging increases in levels of neutralizing antibody activity against D614G and several variants of concern (VoCs) and variants of interest (VoIs). In May 2022, we provided additional neutralization antibody activity data from Day 91 showing durability of neutralizing antibody response. Validated pseudovirus microneutralization (MNT) assay results for D614G variant showed a 28- and 40-fold increase in geometric mean fold rise (GMFR) on Day 15 and 29 after booster dose compared to pre-dose levels, respectively. The antibody levels remained elevated at 30-fold for D91 over pre-boost levels indicating the durability of the neutralizing antibody response. We also shared immunogenicity data obtained in a validated MNT assay against Beta variant and the data indicated similar durability of the neutralizing antibody response with the increases in GMFR of 26-, 31-, and -24 at days 15, 29, and 91,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121920</wp:posOffset>
            </wp:positionV>
            <wp:extent cx="3600450" cy="3549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0045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Figure: </w:t>
      </w:r>
      <w:r>
        <w:rPr>
          <w:rFonts w:ascii="Arial" w:cs="Arial" w:eastAsia="Arial" w:hAnsi="Arial"/>
          <w:sz w:val="17"/>
          <w:szCs w:val="17"/>
          <w:color w:val="auto"/>
        </w:rPr>
        <w:t>Validated pseudovirus microneutralization (MNT) assay results (left: D614G; right: Beta), showing GMFR levels of neutralizing antibody</w:t>
      </w:r>
      <w:r>
        <w:rPr>
          <w:rFonts w:ascii="Arial" w:cs="Arial" w:eastAsia="Arial" w:hAnsi="Arial"/>
          <w:sz w:val="17"/>
          <w:szCs w:val="17"/>
          <w:b w:val="1"/>
          <w:bCs w:val="1"/>
          <w:color w:val="auto"/>
        </w:rPr>
        <w:t xml:space="preserve"> </w:t>
      </w:r>
      <w:r>
        <w:rPr>
          <w:rFonts w:ascii="Arial" w:cs="Arial" w:eastAsia="Arial" w:hAnsi="Arial"/>
          <w:sz w:val="17"/>
          <w:szCs w:val="17"/>
          <w:color w:val="auto"/>
        </w:rPr>
        <w:t>responses over Day 1 (baseline levels prior to boosting with ARCT-154) based on geometric mean concentrations (with 95% confidence intervals) obtained for participants (for D614G: n = 12/12 for Days 1, 91 and 11/12 for Days 15 29; For Beta: n = 12/12 for Days 1, 29, 91 and 11/12 for Day 15)</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2" w:name="page23"/>
    <w:bookmarkEnd w:id="22"/>
    <w:p>
      <w:pPr>
        <w:ind w:firstLine="509"/>
        <w:spacing w:after="0" w:line="248" w:lineRule="auto"/>
        <w:rPr>
          <w:sz w:val="20"/>
          <w:szCs w:val="20"/>
          <w:color w:val="auto"/>
        </w:rPr>
      </w:pPr>
      <w:r>
        <w:rPr>
          <w:rFonts w:ascii="Arial" w:cs="Arial" w:eastAsia="Arial" w:hAnsi="Arial"/>
          <w:sz w:val="18"/>
          <w:szCs w:val="18"/>
          <w:color w:val="auto"/>
        </w:rPr>
        <w:t>In the May 2022 press release, we announced that ARCT-154 booster administered arms also demonstrated robust and durable neutralizing antibody responses against VOCs strains including the Beta and the Delta, and VOIs SARS-CoV-2 strains in a surrogate virus neutralization (sVNT) assay through Day 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b w:val="1"/>
          <w:bCs w:val="1"/>
          <w:color w:val="auto"/>
        </w:rPr>
        <w:t xml:space="preserve">Figure: </w:t>
      </w:r>
      <w:r>
        <w:rPr>
          <w:rFonts w:ascii="Arial" w:cs="Arial" w:eastAsia="Arial" w:hAnsi="Arial"/>
          <w:sz w:val="17"/>
          <w:szCs w:val="17"/>
          <w:color w:val="auto"/>
        </w:rPr>
        <w:t>Surrogate virus neutralization (sVNT) assay results for SARS-CoV-2 variants. The panel shows GMFR on Days 15, 29, and 91 over Day 1 (pre-boost baseline levels; n = 12/12 for Days 1, 29, 91; n = 11/12 for Day 15). VOCs = Variants of Concern; VOIs = Variants of Interest</w:t>
      </w:r>
    </w:p>
    <w:p>
      <w:pPr>
        <w:spacing w:after="0" w:line="143"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From the same Phase 1/2 booster trial, we also reported data (exploratory MNT assay; Moore Laboratory, National Institute for Communicable Diseases and University of the Witwatersrand, South Africa) demonstrating neutralizing antibody immune response to SARS-CoV-2 Omicron variants, BA.1 and BA.2, in participants that received ARCT-154 as booster. Omicron-specific pseudovirus MNT assay results demonstrated neutralizing antibody titers of 54-fold (BA.1) and 46-fold (BA.2) GMFRs over baseline on Day 29 post-boost in ARCT-154 arm (n=12). The sera samples from study participants will be further analyzed for neutralizing antibody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activity post-boost with ARCT-154 against different strains of SARS-CoV-2 over a period of timepoints to assess magnitude and duration of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142240</wp:posOffset>
            </wp:positionV>
            <wp:extent cx="2391410" cy="36601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91410"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b w:val="1"/>
          <w:bCs w:val="1"/>
          <w:color w:val="auto"/>
        </w:rPr>
        <w:t xml:space="preserve">Figure: </w:t>
      </w:r>
      <w:r>
        <w:rPr>
          <w:rFonts w:ascii="Arial" w:cs="Arial" w:eastAsia="Arial" w:hAnsi="Arial"/>
          <w:sz w:val="16"/>
          <w:szCs w:val="16"/>
          <w:color w:val="auto"/>
        </w:rPr>
        <w:t>Pseudovirus MNT assay (exploratory assay; Moore Laboratory, National Institute for Communicable Diseases and University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Witwatersrand, South Africa) showing GMFR levels of neutralizing antibody responses over Day 1 (baseline levels prior to boosting with ARCT-154) calculated using geometric mean concentrations (with 95% confidence intervals) obtained from participants measured at Days 1 and 29 (n = 12/12).</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Phase 1/2/3 Study in Vietnam</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During 2021, we entered into a significant collaboration with Vinbiocare Biotechnology Joint Stock Company (Vinbiocare), a member company of the Vingroup Joint Stock Company (Vingroup) group of companies, whereby we provide technical expertise and support services to Vinbiocare to assist in the build out of a manufacturing facility in Vietnam. Together with Vinbiocare, we advanced ARCT-154, our investigational next generation, self-amplifying mRNA-based vaccine for COVID-19, into a Phase 1/2/3 study in Vietnam, which is being funded and sponsored by Vinbiocare. The trial is randomized, observer-blinded, placebo and active-controlled and is intended to assess the safety, immunogenicity and efficacy of ARCT-154. The Phase 3 arm of the Phase 1/2/3 study was initiated in September 2021. The study enrolled over 19,000 adult subjects in Vietnam, including individuals with medical conditions putting them at higher risk of severe complications of COVID-19. The Phase 3 placebo-controlled efficacy portion of the study enrolled over 16,000 participants.</w:t>
      </w:r>
    </w:p>
    <w:p>
      <w:pPr>
        <w:spacing w:after="0" w:line="8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February 2022, our partner, Vinbiocare, completed the submission to the Vietnam Ministry of Health of ARCT-154 Emergency Use Authorization (EUA) application, which includes the safety and immunogenicity data from the placebo-controlled Phase 1/2/3a portions of the study with approximately 1,000 participants. In April 2022, Vinbiocare submitted results from the vaccine safety and efficacy analysis of the Phase 3b portion study to the Vietnam Ministry of Health to complement the data package under review for potential EUA of ARCT-154. The vaccine primary efficacy endpoint in the placebo-controlled Phase 3b portion of the study was met. Analysis of the data demonstrated that two 5-mcg doses of ARCT-154 administered 28 days apart resulted in vaccine efficacy of 55.0% (95% CI; 46.9% - 61.9%) for protection against COVID-19 overall and 95.3% (95% CI; 80.4% - 98.9%) against severe and fatal COVID-19, respectively. Nine COVID-19 related deaths were reported in the placebo group and one in the ARCT-154 vaccinated group. The single death in the ARCT-154 vaccination arm occurred in an older age group participant who was also at increased risk of severe COVID-19. During the window when COVID-19 cases in the study were detected, the prevalent SARS-CoV-2 strains associated with COVID-19 infections in Vietnam were Delta and Omicron (https://covariants.org/per-country; https://covid19.who.int/region/wpro/country/vn; https://ourworldindata.org COVID-19 Data Explorer - Vietnam Link).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ind w:right="40" w:firstLine="509"/>
        <w:spacing w:after="0" w:line="262" w:lineRule="auto"/>
        <w:rPr>
          <w:sz w:val="20"/>
          <w:szCs w:val="20"/>
          <w:color w:val="auto"/>
        </w:rPr>
      </w:pPr>
      <w:r>
        <w:rPr>
          <w:rFonts w:ascii="Arial" w:cs="Arial" w:eastAsia="Arial" w:hAnsi="Arial"/>
          <w:sz w:val="17"/>
          <w:szCs w:val="17"/>
          <w:color w:val="auto"/>
        </w:rPr>
        <w:t>Review of safety data has been performed by Vinbiocare from over 17,000 participants in the placebo-controlled Phase 1/2/3 portions through one month after second dose of ARCT-154. The incidence of unsolicited events was found to be comparable in the vaccinated and placebo groups and no incidence of myocarditis or pericarditis have been reported so far. Analysis of solicited events also demonstrated that most events were mild or moderate in severity. An independent review by the Data Safety Monitoring Board has advised for the study to continue without modification.</w:t>
      </w:r>
    </w:p>
    <w:p>
      <w:pPr>
        <w:spacing w:after="0" w:line="64"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Additional data shared by Vinbiocare shows that the study also met the immunogenicity primary endpoint, with 98.4% 4-fold seroconversion for ancestral (Wuhan) strain, measured by surrogate virus neuralization test (sVNT) 28 days after the second dose of ARCT-154. This analysis was conducted in the first approximately 1,000 participants enrolled in the Phase 1/2/3a study and was provided earlier by Vinbiocare to the Vietnam Ministry of Health as part of the filing for EUA. More comprehensive immunogenicity, efficacy and safety data from the study will be disclosed at a later time.</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Pivotal Booster Study</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Based on the encouraging Phase 3 results of ARCT-154, which became the first documented instance of a self-amplifying mRNA vaccine candidate to demonstrate meaningful protection against COVID-19 disease in a pivotal primary vaccination trial, we have initiated start-up activities with an international CRO toward a pivotal booster trial intended to support global registration as a booster vaccination.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Updates on our Other Development Candidates</w:t>
      </w:r>
    </w:p>
    <w:p>
      <w:pPr>
        <w:spacing w:after="0" w:line="108" w:lineRule="exact"/>
        <w:rPr>
          <w:sz w:val="20"/>
          <w:szCs w:val="20"/>
          <w:color w:val="auto"/>
        </w:rPr>
      </w:pPr>
    </w:p>
    <w:p>
      <w:pPr>
        <w:ind w:left="1020" w:right="100" w:hanging="503"/>
        <w:spacing w:after="0" w:line="291"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LUNAR-FLU - We have added a self-amplifying mRNA approach for our LUNAR-FLU program as well. A clinical candidate based on our STARR™ platform is expected to be identified by the year end and a Clinical Trial Application is anticipated to be filed in 2023.</w:t>
      </w:r>
    </w:p>
    <w:p>
      <w:pPr>
        <w:spacing w:after="0" w:line="38" w:lineRule="exact"/>
        <w:rPr>
          <w:rFonts w:ascii="Arial" w:cs="Arial" w:eastAsia="Arial" w:hAnsi="Arial"/>
          <w:sz w:val="17"/>
          <w:szCs w:val="17"/>
          <w:color w:val="auto"/>
        </w:rPr>
      </w:pPr>
    </w:p>
    <w:p>
      <w:pPr>
        <w:ind w:left="1020" w:right="20" w:hanging="503"/>
        <w:spacing w:after="0" w:line="272"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LUNAR-OTC/ARCT-810 - Our rare disease program for ornithine transcarbamylase (OTC) deficiency is continuing to advance. With the improvement of the COVID-19 scenario, there was a significant uptick in recruitment and enrollment activity for the Phase 1b ascending-dose study of ARCT-810 in 12 adults with OTC deficiency. Dosing of the first cohort (0.2 mg/kg) has completed, and the Safety Review Committee has approved dose escalation for the second cohort. Screening for the second cohort has commenced, and sites have identified a sufficient number of subjects to potentially complete study enrollment in the second half of 2022. The study is expected to complete in the fourth quarter of this year. In addition, health authorities in the UK, Belgium and Spain have approved a randomized, double-blind, placebo-controlled, nested single and multiple ascending dose Phase 2 study of ARCT-810 in 24 adolescent and adult patients with OTC-deficiency. We anticipate dosing to commence in the second quarter of 2022 and to receive interim data in a subset of patients in the second half of 2022.</w:t>
      </w:r>
    </w:p>
    <w:p>
      <w:pPr>
        <w:spacing w:after="0" w:line="59" w:lineRule="exact"/>
        <w:rPr>
          <w:rFonts w:ascii="Arial" w:cs="Arial" w:eastAsia="Arial" w:hAnsi="Arial"/>
          <w:sz w:val="16"/>
          <w:szCs w:val="16"/>
          <w:color w:val="auto"/>
        </w:rPr>
      </w:pPr>
    </w:p>
    <w:p>
      <w:pPr>
        <w:ind w:left="1020" w:hanging="503"/>
        <w:spacing w:after="0" w:line="24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LUNAR-CF/ARCT-032 – In our preclinical program for cystic fibrosis, which is being supported in part by the Cystic Fibrosis Foundation, nonclinical and preclinical studies have led to the identification of a Preclinical Candidate and nebulizer system that should allow this product to be advanced into clinical development. We expect to file an application for a first-in-human study for ARCT-032 , our mRNA therapeutic candidate for CF, in the second half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Updates on our Research and Platform Activities</w:t>
      </w:r>
    </w:p>
    <w:p>
      <w:pPr>
        <w:spacing w:after="0" w:line="108" w:lineRule="exact"/>
        <w:rPr>
          <w:sz w:val="20"/>
          <w:szCs w:val="20"/>
          <w:color w:val="auto"/>
        </w:rPr>
      </w:pPr>
    </w:p>
    <w:p>
      <w:pPr>
        <w:ind w:left="1020" w:right="260" w:hanging="503"/>
        <w:spacing w:after="0" w:line="270"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several partnered programs. Recently, we reported achieving an R&amp;D milestone in the LUNAR-HBV program as part of our collaboration with Janssen Pharmaceuticals, Inc. A LUNAR-GSDIII candidate, developed by Arcturus in collaboration with Ultragenyx is being evaluated in a Phase 1/2 clinical trial in adults with Glycogen Storage Disease Type III sponsored by Ultragenyx.</w:t>
      </w:r>
    </w:p>
    <w:p>
      <w:pPr>
        <w:spacing w:after="0" w:line="55" w:lineRule="exact"/>
        <w:rPr>
          <w:rFonts w:ascii="Arial" w:cs="Arial" w:eastAsia="Arial" w:hAnsi="Arial"/>
          <w:sz w:val="17"/>
          <w:szCs w:val="17"/>
          <w:color w:val="auto"/>
        </w:rPr>
      </w:pPr>
    </w:p>
    <w:p>
      <w:pPr>
        <w:ind w:left="1020" w:right="560" w:hanging="503"/>
        <w:spacing w:after="0" w:line="22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conduct exploratory platform development activities, including the evaluation of genome editing, and new targeting approaches, where our LUNAR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STARR™ platforms could potentially be useful for identification and development of additional products for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120" w:firstLine="509"/>
        <w:spacing w:after="0" w:line="23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2021. Our historical results of operations and the year-to-year comparisons of our results of operations that follow are not necessarily indicative of future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60" w:firstLine="509"/>
        <w:spacing w:after="0" w:line="231" w:lineRule="auto"/>
        <w:rPr>
          <w:sz w:val="20"/>
          <w:szCs w:val="20"/>
          <w:color w:val="auto"/>
        </w:rPr>
      </w:pPr>
      <w:r>
        <w:rPr>
          <w:rFonts w:ascii="Arial" w:cs="Arial" w:eastAsia="Arial" w:hAnsi="Arial"/>
          <w:sz w:val="18"/>
          <w:szCs w:val="18"/>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royalties on future sales, consulting fees and payments for technology transfers. The following table summarizes our total revenues for the periods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2021 to 2022</w:t>
            </w: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r>
      <w:tr>
        <w:trPr>
          <w:trHeight w:val="236"/>
        </w:trPr>
        <w:tc>
          <w:tcPr>
            <w:tcW w:w="424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Revenue</w:t>
            </w:r>
          </w:p>
        </w:tc>
        <w:tc>
          <w:tcPr>
            <w:tcW w:w="1040" w:type="dxa"/>
            <w:vAlign w:val="bottom"/>
            <w:tcBorders>
              <w:bottom w:val="single" w:sz="8" w:color="auto"/>
            </w:tcBorders>
            <w:shd w:val="clear" w:color="auto" w:fill="CFF0FC"/>
          </w:tcPr>
          <w:p>
            <w:pPr>
              <w:jc w:val="right"/>
              <w:ind w:right="862"/>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5,244</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39"/>
              <w:spacing w:after="0" w:line="182"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2,127</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3,117</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146.5 %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-25400</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431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431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342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34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49"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Revenue increased by $3.1 million during the three months ended March 31, 2022 as compared to the three months ended March 31, 2021. The increase in revenue primarily relates to $2.9 million revenue from the new agreement with Vinbiocare. The remaining increase of $0.2 million was from our existing collaboration partners.</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2021 to 2022</w:t>
            </w: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4"/>
                <w:szCs w:val="14"/>
                <w:color w:val="auto"/>
              </w:rPr>
            </w:pPr>
          </w:p>
        </w:tc>
        <w:tc>
          <w:tcPr>
            <w:tcW w:w="118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ind w:left="20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r>
      <w:tr>
        <w:trPr>
          <w:trHeight w:val="196"/>
        </w:trPr>
        <w:tc>
          <w:tcPr>
            <w:tcW w:w="40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and development, net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44,893</w:t>
            </w: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50,050</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(5,157 )</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3"/>
        </w:trPr>
        <w:tc>
          <w:tcPr>
            <w:tcW w:w="424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10,730</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9,743</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987</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10.1 %</w:t>
            </w:r>
          </w:p>
        </w:tc>
      </w:tr>
      <w:tr>
        <w:trPr>
          <w:trHeight w:val="196"/>
        </w:trPr>
        <w:tc>
          <w:tcPr>
            <w:tcW w:w="4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55,623</w:t>
            </w:r>
          </w:p>
        </w:tc>
        <w:tc>
          <w:tcPr>
            <w:tcW w:w="60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59,793</w:t>
            </w:r>
          </w:p>
        </w:tc>
        <w:tc>
          <w:tcPr>
            <w:tcW w:w="5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(4,170 )</w:t>
            </w:r>
          </w:p>
        </w:tc>
        <w:tc>
          <w:tcPr>
            <w:tcW w:w="340" w:type="dxa"/>
            <w:vAlign w:val="bottom"/>
          </w:tcPr>
          <w:p>
            <w:pPr>
              <w:spacing w:after="0"/>
              <w:rPr>
                <w:sz w:val="17"/>
                <w:szCs w:val="17"/>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-159385</wp:posOffset>
            </wp:positionV>
            <wp:extent cx="431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-159385</wp:posOffset>
            </wp:positionV>
            <wp:extent cx="431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-159385</wp:posOffset>
            </wp:positionV>
            <wp:extent cx="6032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Greater than 100%</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total research and development expenses by category: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2021 to 2022</w:t>
            </w:r>
          </w:p>
        </w:tc>
        <w:tc>
          <w:tcPr>
            <w:tcW w:w="1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3"/>
          </w:tcPr>
          <w:p>
            <w:pPr>
              <w:ind w:left="20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369"/>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External pipeline development expenses:</w:t>
            </w:r>
          </w:p>
        </w:tc>
        <w:tc>
          <w:tcPr>
            <w:tcW w:w="16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gridSpan w:val="2"/>
          </w:tcPr>
          <w:p>
            <w:pPr>
              <w:ind w:left="200"/>
              <w:spacing w:after="0"/>
              <w:rPr>
                <w:sz w:val="20"/>
                <w:szCs w:val="20"/>
                <w:color w:val="auto"/>
              </w:rPr>
            </w:pPr>
            <w:r>
              <w:rPr>
                <w:rFonts w:ascii="Arial" w:cs="Arial" w:eastAsia="Arial" w:hAnsi="Arial"/>
                <w:sz w:val="14"/>
                <w:szCs w:val="14"/>
                <w:color w:val="auto"/>
              </w:rPr>
              <w:t>LUNAR-COVID, net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27,816</w:t>
            </w:r>
          </w:p>
        </w:tc>
        <w:tc>
          <w:tcPr>
            <w:tcW w:w="5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29,312</w:t>
            </w:r>
          </w:p>
        </w:tc>
        <w:tc>
          <w:tcPr>
            <w:tcW w:w="4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(1,496 )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-5.1 %</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LUNAR-CF, net</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1,127</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1,404</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(277 )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-19.7 %</w:t>
            </w:r>
          </w:p>
        </w:tc>
        <w:tc>
          <w:tcPr>
            <w:tcW w:w="0" w:type="dxa"/>
            <w:vAlign w:val="bottom"/>
          </w:tcPr>
          <w:p>
            <w:pPr>
              <w:spacing w:after="0"/>
              <w:rPr>
                <w:sz w:val="1"/>
                <w:szCs w:val="1"/>
                <w:color w:val="auto"/>
              </w:rPr>
            </w:pPr>
          </w:p>
        </w:tc>
      </w:tr>
      <w:tr>
        <w:trPr>
          <w:trHeight w:val="175"/>
        </w:trPr>
        <w:tc>
          <w:tcPr>
            <w:tcW w:w="4240" w:type="dxa"/>
            <w:vAlign w:val="bottom"/>
            <w:gridSpan w:val="2"/>
          </w:tcPr>
          <w:p>
            <w:pPr>
              <w:ind w:left="200"/>
              <w:spacing w:after="0"/>
              <w:rPr>
                <w:sz w:val="20"/>
                <w:szCs w:val="20"/>
                <w:color w:val="auto"/>
              </w:rPr>
            </w:pPr>
            <w:r>
              <w:rPr>
                <w:rFonts w:ascii="Arial" w:cs="Arial" w:eastAsia="Arial" w:hAnsi="Arial"/>
                <w:sz w:val="14"/>
                <w:szCs w:val="14"/>
                <w:color w:val="auto"/>
              </w:rPr>
              <w:t>LUNAR-OTC</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1,645</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3,086</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(1,441 )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-46.7 %</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Discovery technologies</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1,365</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7,845</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(6,480 )</w:t>
            </w: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External platform development expenses: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4"/>
                <w:szCs w:val="14"/>
                <w:color w:val="auto"/>
              </w:rPr>
              <w:t>Partnered discovery technologies</w:t>
            </w:r>
          </w:p>
        </w:tc>
        <w:tc>
          <w:tcPr>
            <w:tcW w:w="3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779</w:t>
            </w: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w:t>
            </w:r>
          </w:p>
        </w:tc>
        <w:tc>
          <w:tcPr>
            <w:tcW w:w="2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Total development expenses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32,732</w:t>
            </w:r>
          </w:p>
        </w:tc>
        <w:tc>
          <w:tcPr>
            <w:tcW w:w="5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42,110</w:t>
            </w:r>
          </w:p>
        </w:tc>
        <w:tc>
          <w:tcPr>
            <w:tcW w:w="4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(9,378 )</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Personnel related expenses</w:t>
            </w:r>
          </w:p>
        </w:tc>
        <w:tc>
          <w:tcPr>
            <w:tcW w:w="38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10,317</w:t>
            </w:r>
          </w:p>
        </w:tc>
        <w:tc>
          <w:tcPr>
            <w:tcW w:w="22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6,909</w:t>
            </w:r>
          </w:p>
        </w:tc>
        <w:tc>
          <w:tcPr>
            <w:tcW w:w="20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3,408</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Facilities and equipment expenses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78.9 %</w:t>
            </w:r>
          </w:p>
        </w:tc>
        <w:tc>
          <w:tcPr>
            <w:tcW w:w="0" w:type="dxa"/>
            <w:vAlign w:val="bottom"/>
          </w:tcPr>
          <w:p>
            <w:pPr>
              <w:spacing w:after="0"/>
              <w:rPr>
                <w:sz w:val="1"/>
                <w:szCs w:val="1"/>
                <w:color w:val="auto"/>
              </w:rPr>
            </w:pPr>
          </w:p>
        </w:tc>
      </w:tr>
      <w:tr>
        <w:trPr>
          <w:trHeight w:val="137"/>
        </w:trPr>
        <w:tc>
          <w:tcPr>
            <w:tcW w:w="4240" w:type="dxa"/>
            <w:vAlign w:val="bottom"/>
            <w:gridSpan w:val="2"/>
            <w:shd w:val="clear" w:color="auto" w:fill="CFF0FC"/>
          </w:tcPr>
          <w:p>
            <w:pPr>
              <w:ind w:left="20"/>
              <w:spacing w:after="0" w:line="137" w:lineRule="exact"/>
              <w:rPr>
                <w:sz w:val="20"/>
                <w:szCs w:val="20"/>
                <w:color w:val="auto"/>
              </w:rPr>
            </w:pPr>
            <w:r>
              <w:rPr>
                <w:rFonts w:ascii="Arial" w:cs="Arial" w:eastAsia="Arial" w:hAnsi="Arial"/>
                <w:sz w:val="14"/>
                <w:szCs w:val="14"/>
                <w:color w:val="auto"/>
              </w:rPr>
              <w:t>Total research and development</w:t>
            </w:r>
          </w:p>
        </w:tc>
        <w:tc>
          <w:tcPr>
            <w:tcW w:w="380" w:type="dxa"/>
            <w:vAlign w:val="bottom"/>
            <w:vMerge w:val="restart"/>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44,893</w:t>
            </w:r>
          </w:p>
        </w:tc>
        <w:tc>
          <w:tcPr>
            <w:tcW w:w="220" w:type="dxa"/>
            <w:vAlign w:val="bottom"/>
            <w:vMerge w:val="restart"/>
            <w:shd w:val="clear" w:color="auto" w:fill="CFF0FC"/>
          </w:tcPr>
          <w:p>
            <w:pPr>
              <w:spacing w:after="0"/>
              <w:rPr>
                <w:sz w:val="11"/>
                <w:szCs w:val="11"/>
                <w:color w:val="auto"/>
              </w:rPr>
            </w:pPr>
          </w:p>
        </w:tc>
        <w:tc>
          <w:tcPr>
            <w:tcW w:w="360" w:type="dxa"/>
            <w:vAlign w:val="bottom"/>
            <w:vMerge w:val="restart"/>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50,050</w:t>
            </w:r>
          </w:p>
        </w:tc>
        <w:tc>
          <w:tcPr>
            <w:tcW w:w="200" w:type="dxa"/>
            <w:vAlign w:val="bottom"/>
            <w:vMerge w:val="restart"/>
            <w:shd w:val="clear" w:color="auto" w:fill="CFF0FC"/>
          </w:tcPr>
          <w:p>
            <w:pPr>
              <w:spacing w:after="0"/>
              <w:rPr>
                <w:sz w:val="11"/>
                <w:szCs w:val="11"/>
                <w:color w:val="auto"/>
              </w:rPr>
            </w:pPr>
          </w:p>
        </w:tc>
        <w:tc>
          <w:tcPr>
            <w:tcW w:w="280" w:type="dxa"/>
            <w:vAlign w:val="bottom"/>
            <w:vMerge w:val="restart"/>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4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(5,157 )</w:t>
            </w:r>
          </w:p>
        </w:tc>
        <w:tc>
          <w:tcPr>
            <w:tcW w:w="3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240" w:type="dxa"/>
            <w:vAlign w:val="bottom"/>
            <w:gridSpan w:val="2"/>
            <w:shd w:val="clear" w:color="auto" w:fill="CFF0FC"/>
          </w:tcPr>
          <w:p>
            <w:pPr>
              <w:ind w:left="120"/>
              <w:spacing w:after="0" w:line="121" w:lineRule="exact"/>
              <w:rPr>
                <w:sz w:val="20"/>
                <w:szCs w:val="20"/>
                <w:color w:val="auto"/>
              </w:rPr>
            </w:pPr>
            <w:r>
              <w:rPr>
                <w:rFonts w:ascii="Arial" w:cs="Arial" w:eastAsia="Arial" w:hAnsi="Arial"/>
                <w:sz w:val="13"/>
                <w:szCs w:val="13"/>
                <w:color w:val="auto"/>
              </w:rPr>
              <w:t>expenses, net</w:t>
            </w:r>
          </w:p>
        </w:tc>
        <w:tc>
          <w:tcPr>
            <w:tcW w:w="380" w:type="dxa"/>
            <w:vAlign w:val="bottom"/>
            <w:vMerge w:val="continue"/>
            <w:shd w:val="clear" w:color="auto" w:fill="CFF0FC"/>
          </w:tcPr>
          <w:p>
            <w:pPr>
              <w:spacing w:after="0"/>
              <w:rPr>
                <w:sz w:val="13"/>
                <w:szCs w:val="13"/>
                <w:color w:val="auto"/>
              </w:rPr>
            </w:pPr>
          </w:p>
        </w:tc>
        <w:tc>
          <w:tcPr>
            <w:tcW w:w="120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360" w:type="dxa"/>
            <w:vAlign w:val="bottom"/>
            <w:vMerge w:val="continue"/>
            <w:shd w:val="clear" w:color="auto" w:fill="CFF0FC"/>
          </w:tcPr>
          <w:p>
            <w:pPr>
              <w:spacing w:after="0"/>
              <w:rPr>
                <w:sz w:val="13"/>
                <w:szCs w:val="13"/>
                <w:color w:val="auto"/>
              </w:rPr>
            </w:pPr>
          </w:p>
        </w:tc>
        <w:tc>
          <w:tcPr>
            <w:tcW w:w="122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280" w:type="dxa"/>
            <w:vAlign w:val="bottom"/>
            <w:vMerge w:val="continue"/>
            <w:shd w:val="clear" w:color="auto" w:fill="CFF0FC"/>
          </w:tcPr>
          <w:p>
            <w:pPr>
              <w:spacing w:after="0"/>
              <w:rPr>
                <w:sz w:val="13"/>
                <w:szCs w:val="13"/>
                <w:color w:val="auto"/>
              </w:rPr>
            </w:pPr>
          </w:p>
        </w:tc>
        <w:tc>
          <w:tcPr>
            <w:tcW w:w="1460" w:type="dxa"/>
            <w:vAlign w:val="bottom"/>
            <w:gridSpan w:val="2"/>
            <w:vMerge w:val="continue"/>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21"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-561975</wp:posOffset>
            </wp:positionV>
            <wp:extent cx="3429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-561975</wp:posOffset>
            </wp:positionV>
            <wp:extent cx="2603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-561975</wp:posOffset>
            </wp:positionV>
            <wp:extent cx="431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342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342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260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260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Greater than 100%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04" w:lineRule="exact"/>
        <w:rPr>
          <w:sz w:val="20"/>
          <w:szCs w:val="20"/>
          <w:color w:val="auto"/>
        </w:rPr>
      </w:pPr>
    </w:p>
    <w:p>
      <w:pPr>
        <w:jc w:val="both"/>
        <w:ind w:right="140" w:firstLine="509"/>
        <w:spacing w:after="0" w:line="243" w:lineRule="auto"/>
        <w:rPr>
          <w:sz w:val="20"/>
          <w:szCs w:val="20"/>
          <w:color w:val="auto"/>
        </w:rPr>
      </w:pPr>
      <w:r>
        <w:rPr>
          <w:rFonts w:ascii="Arial" w:cs="Arial" w:eastAsia="Arial" w:hAnsi="Arial"/>
          <w:sz w:val="18"/>
          <w:szCs w:val="18"/>
          <w:color w:val="auto"/>
        </w:rPr>
        <w:t>Our research and development expenses consist primarily of external manufacturing costs, in-vivo research studies and clinical trials performed by contract research organizations, clinical and regulatory consultants, personnel related expenses and laboratory supplies related to conducting research and development activities. Costs to acquire and manufacture pre-launch inventory, mRNA supply for preclinical studies and clinical trials are recognized and included in external pipeline development expenses for the specific program.</w:t>
      </w:r>
    </w:p>
    <w:p>
      <w:pPr>
        <w:spacing w:after="0" w:line="80"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LUNAR-COVID expenses decreased by $1.5 million during the three months ended March 31, 2022, respectively, as compared to 2021. The decrease in the current period is primarily due increased manufacturing during the three months ended March 31, 2021 which was related to the build up of pre-launch inventory. The expense for the three months ended March 31, 2021 was partially offset by funds awarded by the Singapore EDB.</w:t>
      </w:r>
    </w:p>
    <w:p>
      <w:pPr>
        <w:spacing w:after="0" w:line="39"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LUNAR-CF expenses were relatively consistent during the three months ended March 31, 2022 when compared to the three months ended March 31, 2021, decreasing by $0.3 million. Expenses incurred were partially offset with funds awarded by the CFF. We expect that our development efforts and associated costs will increase over the next several years as the LUNAR-CF program moves toward expected CTA submission in the third quarter of 2022.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6" w:name="page27"/>
    <w:bookmarkEnd w:id="26"/>
    <w:p>
      <w:pPr>
        <w:ind w:right="100" w:firstLine="509"/>
        <w:spacing w:after="0" w:line="291" w:lineRule="auto"/>
        <w:rPr>
          <w:sz w:val="20"/>
          <w:szCs w:val="20"/>
          <w:color w:val="auto"/>
        </w:rPr>
      </w:pPr>
      <w:r>
        <w:rPr>
          <w:rFonts w:ascii="Arial" w:cs="Arial" w:eastAsia="Arial" w:hAnsi="Arial"/>
          <w:sz w:val="17"/>
          <w:szCs w:val="17"/>
          <w:color w:val="auto"/>
        </w:rPr>
        <w:t>LUNAR-OTC expenses decreased by $1.4 million during the three months ended March 31, 2022, respectively, as compared to 2021. The decrease is related to slower than expected recruiting for the ARCT-810 clinical trial caused in part by the ongoing Covid environment.</w:t>
      </w:r>
    </w:p>
    <w:p>
      <w:pPr>
        <w:spacing w:after="0" w:line="3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Discovery technologies represents our efforts to expand our product pipeline and are expected to remain relatively consistent in the near future. Partnered discovery technologies decreased by $6.5 million during the three months ended March 31, 2022, respectively, as compared to 2021. The decrease is primarily because in the first quarter of 2021 we acquired an exclusive license from Alexion Pharmaceuticals to certain intellectual property for approximately $5.0 million of our common stock, which we expensed in the first quarter of 2021. The remaining decrease of $1.5 million was primarily due to decreased utilization of external development resources.</w:t>
      </w:r>
    </w:p>
    <w:p>
      <w:pPr>
        <w:spacing w:after="0" w:line="81"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Within our platform development expenses, our partnered discovery expenses with our current partners are expected to fluctuate based on the needs of our collaboration partners. Platform development expenses were relatively consistent, increasing by $0.3 million during the three months ended March 31, 2022 when compared to the three months ended March 31, 2021.</w:t>
      </w:r>
    </w:p>
    <w:p>
      <w:pPr>
        <w:spacing w:after="0" w:line="74"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Personnel related expenses, net of funds received from CFF, increased by $3.4 million during the three months ended March 31, 2022, respectively, as compared to 2021. The increases were associated with increased headcount costs necessary to advance our external pipeline, platform and clinical trial efforts as well as increased share-based compensation expense.</w:t>
      </w:r>
    </w:p>
    <w:p>
      <w:pPr>
        <w:spacing w:after="0" w:line="74"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Facilities and equipment expenses increased by $0.8 million during the three months ended March 31, 2022, respectively, as compared to 2021. The increase is primarily due to higher rent and costs associated with preparing our additional facility to be ready for occupancy in the second quarter of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63"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General and administrative expenses increased by $1.0 million during the three months ended March 31, 2022, as compared to 2021. The increases resulted primarily from personnel expense due to increased headcount and increased share-based compensation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2021 to 2022</w:t>
            </w: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40" w:type="dxa"/>
            <w:vAlign w:val="bottom"/>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r>
      <w:tr>
        <w:trPr>
          <w:trHeight w:val="196"/>
        </w:trPr>
        <w:tc>
          <w:tcPr>
            <w:tcW w:w="40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5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w:t>
            </w:r>
          </w:p>
        </w:tc>
        <w:tc>
          <w:tcPr>
            <w:tcW w:w="24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188</w:t>
            </w:r>
          </w:p>
        </w:tc>
        <w:tc>
          <w:tcPr>
            <w:tcW w:w="26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ind w:right="39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7"/>
                <w:szCs w:val="17"/>
                <w:color w:val="auto"/>
              </w:rPr>
            </w:pPr>
          </w:p>
        </w:tc>
        <w:tc>
          <w:tcPr>
            <w:tcW w:w="7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(718 )</w:t>
            </w:r>
          </w:p>
        </w:tc>
        <w:tc>
          <w:tcPr>
            <w:tcW w:w="1060" w:type="dxa"/>
            <w:vAlign w:val="bottom"/>
          </w:tcPr>
          <w:p>
            <w:pPr>
              <w:spacing w:after="0"/>
              <w:rPr>
                <w:sz w:val="17"/>
                <w:szCs w:val="17"/>
                <w:color w:val="auto"/>
              </w:rPr>
            </w:pPr>
          </w:p>
        </w:tc>
        <w:tc>
          <w:tcPr>
            <w:tcW w:w="7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(546 )</w:t>
            </w:r>
          </w:p>
        </w:tc>
        <w:tc>
          <w:tcPr>
            <w:tcW w:w="58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(172 )</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36"/>
        </w:trPr>
        <w:tc>
          <w:tcPr>
            <w:tcW w:w="4240" w:type="dxa"/>
            <w:vAlign w:val="bottom"/>
            <w:tcBorders>
              <w:top w:val="single" w:sz="8" w:color="CFF0FC"/>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FF0FC"/>
          </w:tcPr>
          <w:p>
            <w:pPr>
              <w:jc w:val="right"/>
              <w:ind w:right="859"/>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(564</w:t>
            </w:r>
          </w:p>
        </w:tc>
        <w:tc>
          <w:tcPr>
            <w:tcW w:w="240" w:type="dxa"/>
            <w:vAlign w:val="bottom"/>
            <w:tcBorders>
              <w:top w:val="single" w:sz="8" w:color="CFF0FC"/>
              <w:bottom w:val="single" w:sz="8" w:color="CFF0FC"/>
            </w:tcBorders>
            <w:shd w:val="clear" w:color="auto" w:fill="CFF0FC"/>
          </w:tcPr>
          <w:p>
            <w:pPr>
              <w:jc w:val="right"/>
              <w:ind w:right="101"/>
              <w:spacing w:after="0" w:line="176" w:lineRule="exact"/>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bottom w:val="single" w:sz="8" w:color="auto"/>
            </w:tcBorders>
            <w:shd w:val="clear" w:color="auto" w:fill="CFF0FC"/>
          </w:tcPr>
          <w:p>
            <w:pPr>
              <w:jc w:val="right"/>
              <w:ind w:right="856"/>
              <w:spacing w:after="0" w:line="182"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(358</w:t>
            </w:r>
          </w:p>
        </w:tc>
        <w:tc>
          <w:tcPr>
            <w:tcW w:w="260" w:type="dxa"/>
            <w:vAlign w:val="bottom"/>
            <w:tcBorders>
              <w:top w:val="single" w:sz="8" w:color="CFF0FC"/>
              <w:bottom w:val="single" w:sz="8" w:color="CFF0FC"/>
            </w:tcBorders>
            <w:shd w:val="clear" w:color="auto" w:fill="CFF0FC"/>
          </w:tcPr>
          <w:p>
            <w:pPr>
              <w:jc w:val="right"/>
              <w:ind w:right="90"/>
              <w:spacing w:after="0" w:line="17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FF0FC"/>
          </w:tcPr>
          <w:p>
            <w:pPr>
              <w:jc w:val="right"/>
              <w:ind w:right="396"/>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(206</w:t>
            </w:r>
          </w:p>
        </w:tc>
        <w:tc>
          <w:tcPr>
            <w:tcW w:w="220" w:type="dxa"/>
            <w:vAlign w:val="bottom"/>
            <w:tcBorders>
              <w:top w:val="single" w:sz="8" w:color="CFF0FC"/>
              <w:bottom w:val="single" w:sz="8" w:color="CFF0FC"/>
            </w:tcBorders>
            <w:shd w:val="clear" w:color="auto" w:fill="CFF0FC"/>
          </w:tcPr>
          <w:p>
            <w:pPr>
              <w:jc w:val="right"/>
              <w:ind w:right="50"/>
              <w:spacing w:after="0" w:line="17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12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-24765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-8255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-162560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-162560</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-162560</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Greater than 100%</w:t>
      </w:r>
    </w:p>
    <w:p>
      <w:pPr>
        <w:spacing w:after="0" w:line="10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Interest income is generated on cash and cash equivalents. The decrease in interest income for the three months ended March 31, 2022 as compared to the prior year period was a result of decreased cash and cash equivalents balances. Interest expense was incurred in conjunction with our Loan and Security Agreement with Western Alliance Bank and the Singapore Loan. The increase in interest expense for the three months ended March 31, 2022 as compared to the prior year period was primarily a result of additional accrued interest expense related to the Singapore Loan that was funded in January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Other income and expense items relate to gains and losses from foreign currency transactions and from equity-method investments. During the three months ended March 31, 2022 and March 31, 2021, we recorded a loss of $0.4 million and a gain of $1.2 million, respectively, in connection with our equity-method investment in Vallon Pharmaceuticals, Inc., of which we hold approximately 12%.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120" w:firstLine="509"/>
        <w:spacing w:after="0" w:line="235" w:lineRule="auto"/>
        <w:rPr>
          <w:sz w:val="20"/>
          <w:szCs w:val="20"/>
          <w:color w:val="auto"/>
        </w:rPr>
      </w:pPr>
      <w:r>
        <w:rPr>
          <w:rFonts w:ascii="Arial" w:cs="Arial" w:eastAsia="Arial" w:hAnsi="Arial"/>
          <w:sz w:val="18"/>
          <w:szCs w:val="18"/>
          <w:color w:val="auto"/>
        </w:rPr>
        <w:t>Through March 31, 2022,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360" w:firstLine="509"/>
        <w:spacing w:after="0" w:line="256" w:lineRule="auto"/>
        <w:rPr>
          <w:sz w:val="20"/>
          <w:szCs w:val="20"/>
          <w:color w:val="auto"/>
        </w:rPr>
      </w:pPr>
      <w:r>
        <w:rPr>
          <w:rFonts w:ascii="Arial" w:cs="Arial" w:eastAsia="Arial" w:hAnsi="Arial"/>
          <w:sz w:val="18"/>
          <w:szCs w:val="18"/>
          <w:color w:val="auto"/>
        </w:rPr>
        <w:t>From the Company’s inception through the quarter ended March 31, 2022, the Company has funded its operations principally with the proceeds from the sale of capital stock, long-term debt and revenues earned through collaboration agreements. At March 31, 2022, we had $319.7 million in unrestricted cash and cash equivalents.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10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On October 12, 2018, we entered into a Loan and Security Agreement with Western Alliance Bank whereby we received gross proceeds of $10.0 million under a long-term debt agreement (the “Loan Agreement”).</w:t>
      </w:r>
    </w:p>
    <w:p>
      <w:pPr>
        <w:spacing w:after="0" w:line="63"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On October 30, 2019, we and the Bank entered into a Third Amendment (the “Third Amendment”) to the Loan Agreement and on December 31, 2020 Arcturus Therapeutics, Inc. and the Bank entered into a Fourth Amendment (the “Fourth Amendment”) to the Loan Agreement (as amended, the “Loan Agreement”). The Fourth Amendment was executed in connection with the Singapore Loan.</w:t>
      </w:r>
    </w:p>
    <w:p>
      <w:pPr>
        <w:spacing w:after="0" w:line="7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Pursuant to the Third Amendment, the Bank agreed to make a term loan to us on October 30, 2019, in the amount of $15.0 million (the “Term Loan”). The resulting net increase in the indebtedness of us was $5.0 million. The Term Loan bears interest at a floating rate ranging from 1.25% to 2.75% above the prime rate. The amendment further provides that the Term Loan has a maturity date of October 30, 2023. We shall make monthly payments of interest only until the interest-only end date of August 1,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Support Agreement</w:t>
      </w:r>
    </w:p>
    <w:p>
      <w:pPr>
        <w:spacing w:after="0" w:line="10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On November 7, 2020, we entered into a Manufacturing Support Agreement (the “Support Agreement”) with the EDB. Pursuant to the Support Agreement, the EDB agreed to make a term loan of S$62.1 million, subject to the satisfaction of customary deliveries, to support the manufacture of the LUNAR-COV19 vaccine candidate (the “Singapore Loan”). The EDB has agreed to an extension of the reconciliation period to March 31, 2022 with unused funds as of such date to be subsequently returned within thirty days, subject to any further agreed upon extension of the reconciliation date. The parties are in continued negotiations with respect to amendments of the Singapore Loan terms. Under current terms, (i) we are to provide a quarterly reconciliation report within forty-five days of each financial quarter end, (ii) we provided a schedule of expenditures through March 31, 2022 which will be followed by an audited statement of actual expenditures through March 31, 2022 by June 30, 2022, (iii) we are to provide EDB with a right of first refusal on GMP manufacturing slots of the LUNAR-COV19 vaccine candidate up to an agreed-upon maximum amount, (iv) and the obligation to repay the Singapore Loan will be secured by an interest in the raw materials and manufacturing equipment purchased by us with the funds from the Singapore Loan in form and substance satisfactory to the EDB in its sole discretion. We elected to borrow the full amount available under the Support Agreement of S$62.1 million ($46.6 million) on January 29, 2021. As of March 31, 2022, the Company has reported a portion of the Singapore Loan as current to reflect a potential principal repayment of approximately 20.9 million Singapore dollars (US $15.4 million) in fiscal year 2022 based on amounts not used toward the manufacture of ARCT-021 and is expecting to refund this portion during the third quarter of 2022.</w:t>
      </w:r>
    </w:p>
    <w:p>
      <w:pPr>
        <w:spacing w:after="0" w:line="72"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The Singapore Loan accrues interest at a rate of 4.5% per annum calculated on a daily basis. At the end of each fiscal year, accrued interest is added to the principal amount of the loan and bears additional interest accordingly. Subject to certain exceptions, the Singapore Loan is intended to be a limited recourse loan that will be repaid solely through a royalty payment of 10% of net sales proceeds of the LUNAR-COV19 vaccine candidate, up to the amount of the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we obtain clearance to sell the vaccine in specified jurisdictions. Unpaid principal and interest under the Singapore Loan will also become due and payable upon an event of default under the Support Agreement. The first vaccine sales, including the amount of net sales, shall be reported to EDB within 10 days of delivery and quarterly reports of aggregate vaccine sales, including net sales proceeds shall be provided within 30 days after quarter end.</w:t>
      </w:r>
    </w:p>
    <w:p>
      <w:pPr>
        <w:spacing w:after="0" w:line="6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Singapore Loan is forgivable if we have not obtained regulatory approval by the final repayment date and net sales of LUNAR-COV19 are less than $100 million. If, any portion of the Singapore Loan is required to be forgiven pursuant to the terms of the Support Agreement, the EDB has the right to take ownership of certain raw materials and equipment that were purchased by us with proceeds of the Singapore Loan (the “Specified Assets”). We entered into a security agreement (the “Security Agreement”) for the benefit of the EDB to provide that repayment of the Singapore Loan and related obligations are secured by a lien on the Specified Assets.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8" w:name="page29"/>
    <w:bookmarkEnd w:id="28"/>
    <w:p>
      <w:pPr>
        <w:jc w:val="both"/>
        <w:ind w:right="340" w:firstLine="509"/>
        <w:spacing w:after="0" w:line="248" w:lineRule="auto"/>
        <w:rPr>
          <w:sz w:val="20"/>
          <w:szCs w:val="20"/>
          <w:color w:val="auto"/>
        </w:rPr>
      </w:pPr>
      <w:r>
        <w:rPr>
          <w:rFonts w:ascii="Arial" w:cs="Arial" w:eastAsia="Arial" w:hAnsi="Arial"/>
          <w:sz w:val="18"/>
          <w:szCs w:val="18"/>
          <w:color w:val="auto"/>
        </w:rPr>
        <w:t>In connection with the entry into the Support Agreement, we entered into a consent agreement with Western Alliance Bank (the “Bank”) and an amendment to the Loan and Security Agreement, dated as of October 12, 2018, to exclude the Specified Assets from Western Alliance Bank’s lien on certain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Vinbiocare Agreement</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On August 2, 2021, we announced an agreement with Vinbiocare, a member of Vingroup Joint Stock Company, to establish a manufacturing facility in Vietnam for the manufacture of our investigational COVID-19 vaccine program, for sale and use within Vietnam. In addition, Vinbiocare agreed to execute a phase 1/2/3 study in Vietnam.</w:t>
      </w:r>
    </w:p>
    <w:p>
      <w:pPr>
        <w:spacing w:after="0" w:line="74"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Under the terms of the arrangement, Vinbiocare is building out a manufacturing facility in Vietnam, and we have provided to Vinbiocare access to proprietary technologies and processes for the manufacture of our investigational COVID-19 vaccine candidate. We also provided Vinbiocare with an exclusive license to manufacture the vaccines in Vietnam at the facility solely for distribution in Vietnam. The license and technology transfer applies toward drug product manufacturing but not toward mRNA drug substance manufacturing. Vinbiocare made an upfront payment of $40 million and is responsible for costs associated with the technology transfer. Vinbiocare will also pay for mRNA drug substance supplied by us and royalties on vaccines produced at the manufacturing facility.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Financial Resources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 significant portion of our current unrestricted cash and cash equivalents balance of $319.7 million is expected to be utilized during fiscal year 2022 to fund (i) a portion of the planned COVID Booster trial, (ii) further progress of our FLU vaccine programs, (iii) the continued Phase 2 trial of ARCT-810, our LUNAR-OTC candidate, (iv) advances to our LUNAR-CF program toward submission of a CTA during the second half of 2022 and (v) continued expansion of our platform and other general administrative activities.</w:t>
      </w:r>
    </w:p>
    <w:p>
      <w:pPr>
        <w:spacing w:after="0" w:line="80" w:lineRule="exact"/>
        <w:rPr>
          <w:sz w:val="20"/>
          <w:szCs w:val="20"/>
          <w:color w:val="auto"/>
        </w:rPr>
      </w:pPr>
    </w:p>
    <w:p>
      <w:pPr>
        <w:ind w:right="360" w:firstLine="509"/>
        <w:spacing w:after="0" w:line="243" w:lineRule="auto"/>
        <w:rPr>
          <w:sz w:val="20"/>
          <w:szCs w:val="20"/>
          <w:color w:val="auto"/>
        </w:rPr>
      </w:pPr>
      <w:r>
        <w:rPr>
          <w:rFonts w:ascii="Arial" w:cs="Arial" w:eastAsia="Arial" w:hAnsi="Arial"/>
          <w:sz w:val="18"/>
          <w:szCs w:val="18"/>
          <w:color w:val="auto"/>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spacing w:after="0" w:line="80"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expect to continue to incur additional losses for the foreseeable future, and we will need to raise additional debt or equity financing or enter into additional partnerships to fund development. The ability of our Company to transition to profitability is dependent on identifying and developing successful mRNA drug candidates. If we are not able to achieve planned milestones, incur costs in excess of our forecasts, or do not meet covenant requirements of our debt, we will need to reduce discretionary spending, discontinue the development of some or all of our products, which will delay part of our development programs, all of which will have a material adverse effect on our ability to achieve our intended business objectives.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three months ended March 31, 2022 and 2021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8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Cash provided by (used in):</w:t>
            </w:r>
          </w:p>
        </w:tc>
        <w:tc>
          <w:tcPr>
            <w:tcW w:w="18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Operating activities</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(49,039 )</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(42,950 )</w:t>
            </w:r>
          </w:p>
        </w:tc>
      </w:tr>
      <w:tr>
        <w:trPr>
          <w:trHeight w:val="203"/>
        </w:trPr>
        <w:tc>
          <w:tcPr>
            <w:tcW w:w="60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Investing activities</w:t>
            </w:r>
          </w:p>
        </w:tc>
        <w:tc>
          <w:tcPr>
            <w:tcW w:w="44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(2,111 )</w:t>
            </w:r>
          </w:p>
        </w:tc>
        <w:tc>
          <w:tcPr>
            <w:tcW w:w="4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(118 )</w:t>
            </w: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Financing activities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47,012</w:t>
            </w:r>
          </w:p>
        </w:tc>
        <w:tc>
          <w:tcPr>
            <w:tcW w:w="100" w:type="dxa"/>
            <w:vAlign w:val="bottom"/>
          </w:tcPr>
          <w:p>
            <w:pPr>
              <w:spacing w:after="0"/>
              <w:rPr>
                <w:sz w:val="17"/>
                <w:szCs w:val="17"/>
                <w:color w:val="auto"/>
              </w:rPr>
            </w:pPr>
          </w:p>
        </w:tc>
      </w:tr>
      <w:tr>
        <w:trPr>
          <w:trHeight w:val="236"/>
        </w:trPr>
        <w:tc>
          <w:tcPr>
            <w:tcW w:w="6040" w:type="dxa"/>
            <w:vAlign w:val="bottom"/>
            <w:tcBorders>
              <w:bottom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Net (decrease) increase in cash, cash equivalents and restricted cash</w:t>
            </w: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(50,814</w:t>
            </w:r>
          </w:p>
        </w:tc>
        <w:tc>
          <w:tcPr>
            <w:tcW w:w="280" w:type="dxa"/>
            <w:vAlign w:val="bottom"/>
            <w:tcBorders>
              <w:bottom w:val="single" w:sz="8" w:color="CFF0FC"/>
            </w:tcBorders>
            <w:shd w:val="clear" w:color="auto" w:fill="CFF0FC"/>
          </w:tcPr>
          <w:p>
            <w:pPr>
              <w:jc w:val="right"/>
              <w:ind w:right="141"/>
              <w:spacing w:after="0" w:line="183" w:lineRule="exact"/>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3,944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00" w:firstLine="509"/>
        <w:spacing w:after="0" w:line="260" w:lineRule="auto"/>
        <w:rPr>
          <w:sz w:val="20"/>
          <w:szCs w:val="20"/>
          <w:color w:val="auto"/>
        </w:rPr>
      </w:pPr>
      <w:r>
        <w:rPr>
          <w:rFonts w:ascii="Arial" w:cs="Arial" w:eastAsia="Arial" w:hAnsi="Arial"/>
          <w:sz w:val="16"/>
          <w:szCs w:val="16"/>
          <w:color w:val="auto"/>
        </w:rPr>
        <w:t>Our primary use of cash is to fund operating expenses, which consist mainly of research and development, clinical studies, manufacturing drug substance and drug product and general and administrative expenditures. We have incurred significant expenses which have been partially offset by cash collected through our collaboration agreements. Cash collections under the collaboration agreements can vary from year to year depending on the terms of the agreement and work performed. These changes in cash flows primarily relate to the timing of cash receipts for upfront payments, reimbursable</w:t>
      </w:r>
    </w:p>
    <w:p>
      <w:pPr>
        <w:spacing w:after="0"/>
        <w:rPr>
          <w:sz w:val="20"/>
          <w:szCs w:val="20"/>
          <w:color w:val="auto"/>
        </w:rPr>
      </w:pPr>
      <w:r>
        <w:rPr>
          <w:rFonts w:ascii="Arial" w:cs="Arial" w:eastAsia="Arial" w:hAnsi="Arial"/>
          <w:sz w:val="18"/>
          <w:szCs w:val="18"/>
          <w:color w:val="auto"/>
        </w:rPr>
        <w:t>expenses and achievement of milestones under these collaborative agreements.</w:t>
      </w:r>
    </w:p>
    <w:p>
      <w:pPr>
        <w:spacing w:after="0" w:line="11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Net cash used in operating activities was $49.0 million on a net loss of $54.1 million for the three months ended March 31, 2022, compared to net cash used of $42.9 million on a net loss of $56.3 million for the three months ended March 31, 2021. Adjustments for non-cash charges which includes share-based compensation expense and depreciation and amortization were $8.7 million and $11.3 million for the three months ended March 31, 2022 and 2021, respectively. Changes in working capital resulted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9" w:name="page30"/>
    <w:bookmarkEnd w:id="29"/>
    <w:p>
      <w:pPr>
        <w:spacing w:after="0" w:line="284" w:lineRule="auto"/>
        <w:rPr>
          <w:sz w:val="20"/>
          <w:szCs w:val="20"/>
          <w:color w:val="auto"/>
        </w:rPr>
      </w:pPr>
      <w:r>
        <w:rPr>
          <w:rFonts w:ascii="Arial" w:cs="Arial" w:eastAsia="Arial" w:hAnsi="Arial"/>
          <w:sz w:val="16"/>
          <w:szCs w:val="16"/>
          <w:color w:val="auto"/>
        </w:rPr>
        <w:t>adjustments to operating net cash outflows of $3.7 million and inflows of $2.1 million for the three months ended March 31, 2022 and 2021, respectively. Changes in working capital for the three months ended March 31, 2022 were primarily driven by decreases in deferred revenue and accrued liabilities, partly offset by increases in accounts payable and prepaid expenses. Changes in working capital for the three months ended March 31, 2021 were primarily driven by an increase in accounts payable and accrued liabilities and a decrease in prepaid expenses, partly offset by a decrease in deferred 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Net cash used in investing activities of $2.1 million and $0.1 million for the three months ended March 31, 2022 and 2021, respectively, reflects cash used to purchase property and equipment.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Net cash provided by financing activities of $0.3 million for the three months ended March 31, 2022 consisted of net proceeds from the exercise of stock options. Net cash provided by financing activities of $47.0 million for the three months ended March 31, 2021 consisted of net proceeds from debt related to the Singapore Loan of $46.6 million and proceeds from the exercises of stock options of $0.4 million.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77" w:lineRule="exact"/>
        <w:rPr>
          <w:sz w:val="20"/>
          <w:szCs w:val="20"/>
          <w:color w:val="auto"/>
        </w:rPr>
      </w:pPr>
    </w:p>
    <w:p>
      <w:pPr>
        <w:ind w:right="120" w:firstLine="509"/>
        <w:spacing w:after="0" w:line="237" w:lineRule="auto"/>
        <w:rPr>
          <w:sz w:val="20"/>
          <w:szCs w:val="20"/>
          <w:color w:val="auto"/>
        </w:rPr>
      </w:pPr>
      <w:r>
        <w:rPr>
          <w:rFonts w:ascii="Arial" w:cs="Arial" w:eastAsia="Arial" w:hAnsi="Arial"/>
          <w:sz w:val="17"/>
          <w:szCs w:val="17"/>
          <w:color w:val="auto"/>
        </w:rPr>
        <w:t>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continued funding from partners at anticipated levels and our payment obligations continuing to follow the current maturity schedule under our long-term credit facility referenced in Note 5.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90"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of our LUNAR-COV19 and LUNAR-FLU vaccine candidates;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and/or expanding our manufacturing network and capabilities;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disruptions, including significant volatility in the financial markets caused by the Russia/Ukraine conflict.</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We prepare our condensed consolidated financial statements in conformity with GAAP. As such, we make certain estimates, judgments and assumptions that we believe are reasonable, based upon information available to us. These judgements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2021.</w:t>
      </w:r>
    </w:p>
    <w:p>
      <w:pPr>
        <w:spacing w:after="0" w:line="64"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Item 7, Management’s Discussion and Analysis of Financial Condition and Results of Operations, included in the 2021 Annual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 xml:space="preserve">Our primary exposure to market risk is interest income and expense sensitivity and foreign currency exchange rates. Interest income and expense sensitivity is affected by changes in the general level of interest rates in the United States. Foreign exchange market risks relate to the grants and loan from the Singapore Economic Development Board which is discussed in this Quarterly Report </w:t>
      </w:r>
      <w:r>
        <w:rPr>
          <w:rFonts w:ascii="Arial" w:cs="Arial" w:eastAsia="Arial" w:hAnsi="Arial"/>
          <w:sz w:val="16"/>
          <w:szCs w:val="16"/>
          <w:color w:val="212529"/>
        </w:rPr>
        <w:t>in “Notes to Condensed Consolidated Financial Statements, Note</w:t>
      </w:r>
    </w:p>
    <w:p>
      <w:pPr>
        <w:ind w:right="80" w:firstLine="8"/>
        <w:spacing w:after="0" w:line="238" w:lineRule="auto"/>
        <w:tabs>
          <w:tab w:leader="none" w:pos="180" w:val="left"/>
        </w:tabs>
        <w:numPr>
          <w:ilvl w:val="0"/>
          <w:numId w:val="8"/>
        </w:numPr>
        <w:rPr>
          <w:rFonts w:ascii="Arial" w:cs="Arial" w:eastAsia="Arial" w:hAnsi="Arial"/>
          <w:sz w:val="18"/>
          <w:szCs w:val="18"/>
          <w:color w:val="212529"/>
        </w:rPr>
      </w:pPr>
      <w:r>
        <w:rPr>
          <w:rFonts w:ascii="Arial" w:cs="Arial" w:eastAsia="Arial" w:hAnsi="Arial"/>
          <w:sz w:val="18"/>
          <w:szCs w:val="18"/>
          <w:color w:val="212529"/>
        </w:rPr>
        <w:t>Description of Business.” When deemed appropriate, we may manage our exposure to foreign exchange market risks through the use of derivative financial instruments. We may utilize such derivative financial instruments for hedging or risk management purposes. D</w:t>
      </w:r>
      <w:r>
        <w:rPr>
          <w:rFonts w:ascii="Arial" w:cs="Arial" w:eastAsia="Arial" w:hAnsi="Arial"/>
          <w:sz w:val="18"/>
          <w:szCs w:val="18"/>
          <w:color w:val="000000"/>
        </w:rPr>
        <w:t>ue to the nature of our cash and</w:t>
      </w:r>
      <w:r>
        <w:rPr>
          <w:rFonts w:ascii="Arial" w:cs="Arial" w:eastAsia="Arial" w:hAnsi="Arial"/>
          <w:sz w:val="18"/>
          <w:szCs w:val="18"/>
          <w:color w:val="212529"/>
        </w:rPr>
        <w:t xml:space="preserve"> </w:t>
      </w:r>
      <w:r>
        <w:rPr>
          <w:rFonts w:ascii="Arial" w:cs="Arial" w:eastAsia="Arial" w:hAnsi="Arial"/>
          <w:sz w:val="18"/>
          <w:szCs w:val="18"/>
          <w:color w:val="000000"/>
        </w:rPr>
        <w:t>cash equivalents and our evaluation of the potential impact of foreign currency exchange rates, we believe that we are not currently subject to any material market risk exposure.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March 31, 2022, the Company’s disclosure controls and procedures were effective at the reasonable assurance level, and we believe the condensed consolidated financial statements included in this Form 10-Q for the quarterly period ended March 31, 2022 fairly present, in all material respects, our financial position, results of operations, comprehensive loss, statements of stockholders’ equity and cash flows for the periods presented in conformity with U.S. generally accepted accounting principles.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220" w:firstLine="509"/>
        <w:spacing w:after="0" w:line="276" w:lineRule="auto"/>
        <w:rPr>
          <w:sz w:val="20"/>
          <w:szCs w:val="20"/>
          <w:color w:val="auto"/>
        </w:rPr>
      </w:pPr>
      <w:r>
        <w:rPr>
          <w:rFonts w:ascii="Arial" w:cs="Arial" w:eastAsia="Arial" w:hAnsi="Arial"/>
          <w:sz w:val="16"/>
          <w:szCs w:val="16"/>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 covered by this Quarterly Report on Form 10-Q that materially affected, or were reasonably likely to materially affect, our internal control over financial reporting.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380" w:firstLine="509"/>
        <w:spacing w:after="0" w:line="294" w:lineRule="auto"/>
        <w:rPr>
          <w:sz w:val="20"/>
          <w:szCs w:val="20"/>
          <w:color w:val="auto"/>
        </w:rPr>
      </w:pPr>
      <w:r>
        <w:rPr>
          <w:rFonts w:ascii="Arial" w:cs="Arial" w:eastAsia="Arial" w:hAnsi="Arial"/>
          <w:sz w:val="16"/>
          <w:szCs w:val="16"/>
          <w:color w:val="auto"/>
        </w:rPr>
        <w:t>Our business is subject to various risks, including those described in Item 1A of our Annual Report on Form 10-K for the fiscal year ended December 31, 2021, which we strongly encourage you to review. Other than as set forth below, there have been no material changes to the risk factors described in our Annual Report on Form 10-K for the year ended December 31, 2021 filed with the Commission on March 1, 2022.</w:t>
      </w:r>
    </w:p>
    <w:p>
      <w:pPr>
        <w:spacing w:after="0" w:line="39"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b w:val="1"/>
          <w:bCs w:val="1"/>
          <w:i w:val="1"/>
          <w:iCs w:val="1"/>
          <w:color w:val="auto"/>
        </w:rPr>
        <w:t>Instability in geographies where the Company has operations and personnel or where the Company derives revenue could have a material adverse effect on the Company’s business, customers, operations and financial results.</w:t>
      </w:r>
    </w:p>
    <w:p>
      <w:pPr>
        <w:spacing w:after="0" w:line="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Economic, civil, military and political uncertainty may arise or increase in regions where we, our collaborators, critical service providers or other key third parties operate or derive revenue. Further, countries from which we, our collaborators, critical service providers or other key third parties operate or derive revenue may experience military action and/or civil and political unrest. In late February 2022, Russian military forces launched significant military action against Ukraine. Sustained conflict and disruption in the region is likely. The aggregate impact to Eastern Europe and Europe as a whole, as well as actions taken by countries or global organizations, including but not limited to new and stricter sanctions and policies by the United States, Canada, the United Kingdom, the European Union and/or the United Nations, against Russia, Belarus and Ukraine, and officials or other individuals, regions, and industries therein, is not knowable at this time. Further, potential responses to such sanctions and policies by Russia, Belarus, Ukraine, or other actors, including but not limited to increased tensions and more dramatic military actions, is not knowable at this time. Beyond the impact this conflict has had on Eastern Europe and the surrounding regions, these events have roiled global financial markets and supply chains. Any of the foregoing, individually or collectively, may have a material adverse impact on our business, financial condition and results of operations.</w:t>
      </w:r>
    </w:p>
    <w:p>
      <w:pPr>
        <w:spacing w:after="0" w:line="63" w:lineRule="exact"/>
        <w:rPr>
          <w:sz w:val="20"/>
          <w:szCs w:val="20"/>
          <w:color w:val="auto"/>
        </w:rPr>
      </w:pPr>
    </w:p>
    <w:p>
      <w:pPr>
        <w:ind w:right="500" w:firstLine="509"/>
        <w:spacing w:after="0" w:line="291" w:lineRule="auto"/>
        <w:rPr>
          <w:sz w:val="20"/>
          <w:szCs w:val="20"/>
          <w:color w:val="auto"/>
        </w:rPr>
      </w:pPr>
      <w:r>
        <w:rPr>
          <w:rFonts w:ascii="Arial" w:cs="Arial" w:eastAsia="Arial" w:hAnsi="Arial"/>
          <w:sz w:val="17"/>
          <w:szCs w:val="17"/>
          <w:b w:val="1"/>
          <w:bCs w:val="1"/>
          <w:i w:val="1"/>
          <w:iCs w:val="1"/>
          <w:color w:val="auto"/>
        </w:rPr>
        <w:t>Any booster study for ARCT-154 may have difficulty in its enrollment, initiation and completion. Further, the transition of the COVID-19 pandemic to an endemic stage may impact the commercial potential of ARCT-154 and our COVID-19 program.</w:t>
      </w:r>
    </w:p>
    <w:p>
      <w:pPr>
        <w:spacing w:after="0" w:line="3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have initiated start-up activities with an international CRO toward a pivotal Phase 3 booster trial for ARCT-154, our lead next-generation self-amplifying mRNA vaccine candidate. The trial would be a necessary step toward an approval of ARCT-154 as a booster and possibly for any approval in any significant market. The trial could face many challenges, including enrollment, procurement of a comparator vaccine and regulatory approvals to proceed, and we expect that additional studies would also be required for approvals. If we are unable to proceed with or complete the trial for any reason, we might not be able to achieve an approval for ARCT-154, and our COVID-19 vaccine program would be materially adversely impacted. Further, as the COVID-19 pandemic transitions to an endemic stage, the commercial potential of ARCT-154 and our COVID-19 vaccine program may be significantly reduced. As we continue to evaluate the changing environment, we may reevaluate our activities and planned expenditures on our COVID-19 vaccine program. The development of ARCT-154 also remains subject to the other risks mentioned in our Annual Report on Form 10-K for the year ended December 31,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80" w:type="dxa"/>
            <w:vAlign w:val="bottom"/>
            <w:gridSpan w:val="36"/>
          </w:tcPr>
          <w:p>
            <w:pPr>
              <w:jc w:val="center"/>
              <w:ind w:right="5080"/>
              <w:spacing w:after="0"/>
              <w:rPr>
                <w:sz w:val="20"/>
                <w:szCs w:val="20"/>
                <w:color w:val="auto"/>
              </w:rPr>
            </w:pPr>
            <w:r>
              <w:rPr>
                <w:rFonts w:ascii="Arial" w:cs="Arial" w:eastAsia="Arial" w:hAnsi="Arial"/>
                <w:sz w:val="18"/>
                <w:szCs w:val="18"/>
                <w:b w:val="1"/>
                <w:bCs w:val="1"/>
                <w:color w:val="auto"/>
                <w:w w:val="92"/>
              </w:rPr>
              <w:t>Exhibit Index</w:t>
            </w:r>
          </w:p>
        </w:tc>
        <w:tc>
          <w:tcPr>
            <w:tcW w:w="0" w:type="dxa"/>
            <w:vAlign w:val="bottom"/>
          </w:tcPr>
          <w:p>
            <w:pPr>
              <w:spacing w:after="0"/>
              <w:rPr>
                <w:sz w:val="1"/>
                <w:szCs w:val="1"/>
                <w:color w:val="auto"/>
              </w:rPr>
            </w:pPr>
          </w:p>
        </w:tc>
      </w:tr>
      <w:tr>
        <w:trPr>
          <w:trHeight w:val="351"/>
        </w:trPr>
        <w:tc>
          <w:tcPr>
            <w:tcW w:w="1140" w:type="dxa"/>
            <w:vAlign w:val="bottom"/>
          </w:tcPr>
          <w:p>
            <w:pPr>
              <w:ind w:left="20"/>
              <w:spacing w:after="0"/>
              <w:rPr>
                <w:sz w:val="20"/>
                <w:szCs w:val="20"/>
                <w:color w:val="auto"/>
              </w:rPr>
            </w:pPr>
            <w:r>
              <w:rPr>
                <w:rFonts w:ascii="Arial" w:cs="Arial" w:eastAsia="Arial" w:hAnsi="Arial"/>
                <w:sz w:val="18"/>
                <w:szCs w:val="18"/>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vMerge w:val="restart"/>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4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14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Certificate of Incorporation. Incorporated by reference to Annex B to the proxy statement/prospectus which forms part of the Registration</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bottom w:val="single" w:sz="8" w:color="0000EE"/>
            </w:tcBorders>
            <w:gridSpan w:val="13"/>
          </w:tcPr>
          <w:p>
            <w:pPr>
              <w:spacing w:after="0" w:line="15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Statement on Form S-4 filed on March 18, 2019 (File No. 333-230353).</w:t>
              </w:r>
            </w:hyperlink>
          </w:p>
        </w:tc>
        <w:tc>
          <w:tcPr>
            <w:tcW w:w="476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3"/>
              </w:rPr>
            </w:pPr>
            <w:hyperlink r:id="rId157">
              <w:r>
                <w:rPr>
                  <w:rFonts w:ascii="Arial" w:cs="Arial" w:eastAsia="Arial" w:hAnsi="Arial"/>
                  <w:sz w:val="18"/>
                  <w:szCs w:val="18"/>
                  <w:color w:val="0000FF"/>
                  <w:w w:val="93"/>
                </w:rPr>
                <w:t>Certificate of Amendment, dated November 25, 2020. Incorporated by reference to Exhibit 3.1 to Form 8-K filed on November 25, 2020</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(File No. 001-38942).</w:t>
              </w:r>
            </w:hyperlink>
          </w:p>
        </w:tc>
        <w:tc>
          <w:tcPr>
            <w:tcW w:w="20" w:type="dxa"/>
            <w:vAlign w:val="bottom"/>
            <w:tcBorders>
              <w:top w:val="single" w:sz="8" w:color="0000FF"/>
              <w:bottom w:val="single" w:sz="8" w:color="0000EE"/>
            </w:tcBorders>
          </w:tcPr>
          <w:p>
            <w:pPr>
              <w:spacing w:after="0"/>
              <w:rPr>
                <w:sz w:val="13"/>
                <w:szCs w:val="13"/>
                <w:color w:val="auto"/>
              </w:rPr>
            </w:pPr>
          </w:p>
        </w:tc>
        <w:tc>
          <w:tcPr>
            <w:tcW w:w="832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5"/>
              </w:rPr>
            </w:pPr>
            <w:hyperlink r:id="rId158">
              <w:r>
                <w:rPr>
                  <w:rFonts w:ascii="Arial" w:cs="Arial" w:eastAsia="Arial" w:hAnsi="Arial"/>
                  <w:sz w:val="18"/>
                  <w:szCs w:val="18"/>
                  <w:color w:val="0000FF"/>
                  <w:w w:val="95"/>
                </w:rPr>
                <w:t>Bylaws of Arcturus Therapeutics Holdings Inc. Incorporated by reference to Exhibit 3.2 to the Company’s Registration Statement on</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Form S-3, filed with the SEC on May 8, 2020 (File No. 333-238139).</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4"/>
              </w:rPr>
            </w:pPr>
            <w:hyperlink r:id="rId159">
              <w:r>
                <w:rPr>
                  <w:rFonts w:ascii="Arial" w:cs="Arial" w:eastAsia="Arial" w:hAnsi="Arial"/>
                  <w:sz w:val="18"/>
                  <w:szCs w:val="18"/>
                  <w:color w:val="0000FF"/>
                  <w:w w:val="94"/>
                </w:rPr>
                <w:t>Description of Registrant’s Securities. Incorporated by reference to Exhibit 4.1 to the Company’s Annual Report on Form 10-K for the</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year ended December 31, 2021 filed on February 28, 2022 (File No. 001-38942).</w:t>
              </w:r>
            </w:hyperlink>
          </w:p>
        </w:tc>
        <w:tc>
          <w:tcPr>
            <w:tcW w:w="20" w:type="dxa"/>
            <w:vAlign w:val="bottom"/>
            <w:tcBorders>
              <w:top w:val="single" w:sz="8" w:color="0000FF"/>
              <w:bottom w:val="single" w:sz="8" w:color="0000EE"/>
            </w:tcBorders>
          </w:tcPr>
          <w:p>
            <w:pPr>
              <w:spacing w:after="0"/>
              <w:rPr>
                <w:sz w:val="13"/>
                <w:szCs w:val="13"/>
                <w:color w:val="auto"/>
              </w:rPr>
            </w:pPr>
          </w:p>
        </w:tc>
        <w:tc>
          <w:tcPr>
            <w:tcW w:w="38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4"/>
              </w:rPr>
            </w:pPr>
            <w:hyperlink r:id="rId160">
              <w:r>
                <w:rPr>
                  <w:rFonts w:ascii="Arial" w:cs="Arial" w:eastAsia="Arial" w:hAnsi="Arial"/>
                  <w:sz w:val="18"/>
                  <w:szCs w:val="18"/>
                  <w:color w:val="0000FF"/>
                  <w:w w:val="94"/>
                </w:rPr>
                <w:t>Form of Indemnification Agreement. Incorporated by reference to Exhibit 10.1 to the Company’s Annual Report on Form 10-K for the</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year ended December 31, 2019 filed on March 16, 2020 (File No. 001-38942).</w:t>
              </w:r>
            </w:hyperlink>
          </w:p>
        </w:tc>
        <w:tc>
          <w:tcPr>
            <w:tcW w:w="41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4"/>
              </w:rPr>
            </w:pPr>
            <w:hyperlink r:id="rId161">
              <w:r>
                <w:rPr>
                  <w:rFonts w:ascii="Arial" w:cs="Arial" w:eastAsia="Arial" w:hAnsi="Arial"/>
                  <w:sz w:val="18"/>
                  <w:szCs w:val="18"/>
                  <w:color w:val="0000FF"/>
                  <w:w w:val="94"/>
                </w:rPr>
                <w:t>Amended and Restated 2019 Omnibus Equity Incentive Plan. Incorporated by reference Exhibit 4.3 to the Registration Statement on</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Form S-8 filed on August 5, 2020 (File No. 333-240397).</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8"/>
              </w:rPr>
            </w:pPr>
            <w:hyperlink r:id="rId162">
              <w:r>
                <w:rPr>
                  <w:rFonts w:ascii="Arial" w:cs="Arial" w:eastAsia="Arial" w:hAnsi="Arial"/>
                  <w:sz w:val="18"/>
                  <w:szCs w:val="18"/>
                  <w:color w:val="0000FF"/>
                  <w:w w:val="98"/>
                </w:rPr>
                <w:t>Loan and Security Agreement, dated October 12, 2018, by and between Western Alliance Bank and Arcturus Therapeutics, Inc.</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Incorporated by reference to Exhibit 10.1 to the Company’s Report of Foreign Private Issuer on Form 6-K filed on October 15,</w:t>
              </w:r>
            </w:hyperlink>
          </w:p>
        </w:tc>
        <w:tc>
          <w:tcPr>
            <w:tcW w:w="760" w:type="dxa"/>
            <w:vAlign w:val="bottom"/>
            <w:gridSpan w:val="18"/>
          </w:tcPr>
          <w:p>
            <w:pPr>
              <w:spacing w:after="0" w:line="15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2018 (File</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No. 001-35932).</w:t>
              </w:r>
            </w:hyperlink>
          </w:p>
        </w:tc>
        <w:tc>
          <w:tcPr>
            <w:tcW w:w="20" w:type="dxa"/>
            <w:vAlign w:val="bottom"/>
            <w:tcBorders>
              <w:top w:val="single" w:sz="8" w:color="0000FF"/>
              <w:bottom w:val="single" w:sz="8" w:color="0000EE"/>
            </w:tcBorders>
          </w:tcPr>
          <w:p>
            <w:pPr>
              <w:spacing w:after="0"/>
              <w:rPr>
                <w:sz w:val="13"/>
                <w:szCs w:val="13"/>
                <w:color w:val="auto"/>
              </w:rPr>
            </w:pPr>
          </w:p>
        </w:tc>
        <w:tc>
          <w:tcPr>
            <w:tcW w:w="8760" w:type="dxa"/>
            <w:vAlign w:val="bottom"/>
            <w:tcBorders>
              <w:top w:val="single" w:sz="8" w:color="0000FF"/>
            </w:tcBorders>
            <w:gridSpan w:val="3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35"/>
          </w:tcPr>
          <w:p>
            <w:pPr>
              <w:spacing w:after="0"/>
              <w:rPr>
                <w:rFonts w:ascii="Arial" w:cs="Arial" w:eastAsia="Arial" w:hAnsi="Arial"/>
                <w:sz w:val="18"/>
                <w:szCs w:val="18"/>
                <w:color w:val="0000FF"/>
                <w:w w:val="89"/>
              </w:rPr>
            </w:pPr>
            <w:hyperlink r:id="rId163">
              <w:r>
                <w:rPr>
                  <w:rFonts w:ascii="Arial" w:cs="Arial" w:eastAsia="Arial" w:hAnsi="Arial"/>
                  <w:sz w:val="18"/>
                  <w:szCs w:val="18"/>
                  <w:color w:val="0000FF"/>
                  <w:w w:val="89"/>
                </w:rPr>
                <w:t>Amended and Restated Amendment to Development and Option Agreement, dated as of September 28, 2018, by and between CureVac</w:t>
              </w:r>
            </w:hyperlink>
          </w:p>
        </w:tc>
        <w:tc>
          <w:tcPr>
            <w:tcW w:w="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44"/>
          </w:tcPr>
          <w:p>
            <w:pPr>
              <w:spacing w:after="0" w:line="156"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AG and Arcturus Therapeutics Inc. Incorporated by reference to Exhibit 99.2 to the Company’s Report of Foreign Private Issuer on Form</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6-K filed on October 1, 2018 (File No. 001-35932).</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2"/>
              </w:rPr>
            </w:pPr>
            <w:hyperlink r:id="rId164">
              <w:r>
                <w:rPr>
                  <w:rFonts w:ascii="Arial" w:cs="Arial" w:eastAsia="Arial" w:hAnsi="Arial"/>
                  <w:sz w:val="18"/>
                  <w:szCs w:val="18"/>
                  <w:color w:val="0000FF"/>
                  <w:w w:val="92"/>
                </w:rPr>
                <w:t>Research Collaboration and License Agreement, by and between Arcturus Therapeutics, Inc. and Janssen Pharmaceuticals, Inc., dated</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October 18, 2017. Incorporated by reference to Exhibit 4.7 to Form 20-F filed on May 14, 2018 (File No. 001-35932).</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1"/>
              </w:rPr>
            </w:pPr>
            <w:hyperlink r:id="rId165">
              <w:r>
                <w:rPr>
                  <w:rFonts w:ascii="Arial" w:cs="Arial" w:eastAsia="Arial" w:hAnsi="Arial"/>
                  <w:sz w:val="18"/>
                  <w:szCs w:val="18"/>
                  <w:color w:val="0000FF"/>
                  <w:w w:val="91"/>
                </w:rPr>
                <w:t>Research and Exclusive License Agreement, by and between Arcturus Therapeutics, Inc. and Synthetic Genomics, Inc., effective October</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24, 2017. Incorporated by reference to Exhibit 4.8 to Form 20-F filed on May 14, 2018 (File No. 001-35932).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3"/>
              </w:rPr>
            </w:pPr>
            <w:hyperlink r:id="rId166">
              <w:r>
                <w:rPr>
                  <w:rFonts w:ascii="Arial" w:cs="Arial" w:eastAsia="Arial" w:hAnsi="Arial"/>
                  <w:sz w:val="18"/>
                  <w:szCs w:val="18"/>
                  <w:color w:val="0000FF"/>
                  <w:w w:val="93"/>
                </w:rPr>
                <w:t>Research Agreement, by and between Arcturus Therapeutics, Inc. and Millennium Pharmaceuticals, Inc., a wholly-owned subsidiary of</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36"/>
          </w:tcPr>
          <w:p>
            <w:pPr>
              <w:spacing w:after="0" w:line="156"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Takeda Pharmaceutical Company Limited, effective December 6, 2016, as amended December 21, 2017. Incorporated by reference to</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Exhibit 4.9 to Form 20-F filed on May 14, 2018 (File No. 001-35932).</w:t>
              </w:r>
            </w:hyperlink>
          </w:p>
        </w:tc>
        <w:tc>
          <w:tcPr>
            <w:tcW w:w="20" w:type="dxa"/>
            <w:vAlign w:val="bottom"/>
            <w:tcBorders>
              <w:top w:val="single" w:sz="8" w:color="0000FF"/>
              <w:bottom w:val="single" w:sz="8" w:color="0000EE"/>
            </w:tcBorders>
          </w:tcPr>
          <w:p>
            <w:pPr>
              <w:spacing w:after="0"/>
              <w:rPr>
                <w:sz w:val="13"/>
                <w:szCs w:val="13"/>
                <w:color w:val="auto"/>
              </w:rPr>
            </w:pPr>
          </w:p>
        </w:tc>
        <w:tc>
          <w:tcPr>
            <w:tcW w:w="458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0"/>
              </w:rPr>
            </w:pPr>
            <w:hyperlink r:id="rId167">
              <w:r>
                <w:rPr>
                  <w:rFonts w:ascii="Arial" w:cs="Arial" w:eastAsia="Arial" w:hAnsi="Arial"/>
                  <w:sz w:val="18"/>
                  <w:szCs w:val="18"/>
                  <w:color w:val="0000FF"/>
                  <w:w w:val="90"/>
                </w:rPr>
                <w:t>Research Collaboration and License Agreement, by and between Arcturus Therapeutics, Inc. and Ultragenyx Pharmaceutical Inc., entered</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43"/>
          </w:tcPr>
          <w:p>
            <w:pPr>
              <w:spacing w:after="0" w:line="156" w:lineRule="exact"/>
              <w:rPr>
                <w:rFonts w:ascii="Arial" w:cs="Arial" w:eastAsia="Arial" w:hAnsi="Arial"/>
                <w:sz w:val="18"/>
                <w:szCs w:val="18"/>
                <w:color w:val="0000FF"/>
                <w:w w:val="93"/>
              </w:rPr>
            </w:pPr>
            <w:hyperlink r:id="rId167">
              <w:r>
                <w:rPr>
                  <w:rFonts w:ascii="Arial" w:cs="Arial" w:eastAsia="Arial" w:hAnsi="Arial"/>
                  <w:sz w:val="18"/>
                  <w:szCs w:val="18"/>
                  <w:color w:val="0000FF"/>
                  <w:w w:val="93"/>
                </w:rPr>
                <w:t>into as of October 26, 2015, as amended October 17, 2017 and April 20, 2018. Incorporated by reference to Exhibit 4.10 to Form 20-F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filed on May 14, 2018 (File No. 001-35932).</w:t>
              </w:r>
            </w:hyperlink>
          </w:p>
        </w:tc>
        <w:tc>
          <w:tcPr>
            <w:tcW w:w="10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EE"/>
            </w:tcBorders>
            <w:gridSpan w:val="5"/>
            <w:shd w:val="clear" w:color="auto" w:fill="0000FF"/>
          </w:tcPr>
          <w:p>
            <w:pPr>
              <w:spacing w:after="0" w:line="20" w:lineRule="exact"/>
              <w:rPr>
                <w:sz w:val="1"/>
                <w:szCs w:val="1"/>
                <w:color w:val="auto"/>
              </w:rPr>
            </w:pPr>
          </w:p>
        </w:tc>
        <w:tc>
          <w:tcPr>
            <w:tcW w:w="28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27"/>
          </w:tcPr>
          <w:p>
            <w:pPr>
              <w:spacing w:after="0"/>
              <w:rPr>
                <w:rFonts w:ascii="Arial" w:cs="Arial" w:eastAsia="Arial" w:hAnsi="Arial"/>
                <w:sz w:val="18"/>
                <w:szCs w:val="18"/>
                <w:color w:val="0000FF"/>
                <w:w w:val="91"/>
              </w:rPr>
            </w:pPr>
            <w:hyperlink r:id="rId168">
              <w:r>
                <w:rPr>
                  <w:rFonts w:ascii="Arial" w:cs="Arial" w:eastAsia="Arial" w:hAnsi="Arial"/>
                  <w:sz w:val="18"/>
                  <w:szCs w:val="18"/>
                  <w:color w:val="0000FF"/>
                  <w:w w:val="91"/>
                </w:rPr>
                <w:t>Third Amendment to Research Collaboration and License Agreement, by and between Arcturus Therapeutics, Inc. and Ultragenyx</w:t>
              </w:r>
            </w:hyperlink>
          </w:p>
        </w:tc>
        <w:tc>
          <w:tcPr>
            <w:tcW w:w="5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44"/>
          </w:tcPr>
          <w:p>
            <w:pPr>
              <w:spacing w:after="0" w:line="15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Pharmaceutical Inc., effective June 18, 2019. Incorporated by reference to Exhibit 10.2 to Form 8-K filed on June 20, 2019 (File No. 001-</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68">
              <w:r>
                <w:rPr>
                  <w:rFonts w:ascii="Arial" w:cs="Arial" w:eastAsia="Arial" w:hAnsi="Arial"/>
                  <w:sz w:val="18"/>
                  <w:szCs w:val="18"/>
                  <w:color w:val="0000FF"/>
                  <w:w w:val="88"/>
                </w:rPr>
                <w:t>38942).</w:t>
              </w:r>
            </w:hyperlink>
          </w:p>
        </w:tc>
        <w:tc>
          <w:tcPr>
            <w:tcW w:w="20" w:type="dxa"/>
            <w:vAlign w:val="bottom"/>
            <w:tcBorders>
              <w:top w:val="single" w:sz="8" w:color="0000FF"/>
              <w:bottom w:val="single" w:sz="8" w:color="0000EE"/>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Letter Agreement, by and between Arcturus Therapeutics, Inc. and the Cystic Fibrosis Foundation, dated May 16, 2017. Incorporated by</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reference to Exhibit 4.11 to Form 20-F filed on May 14, 2018 (File No. 001-35932).</w:t>
              </w:r>
            </w:hyperlink>
          </w:p>
        </w:tc>
        <w:tc>
          <w:tcPr>
            <w:tcW w:w="20" w:type="dxa"/>
            <w:vAlign w:val="bottom"/>
            <w:tcBorders>
              <w:top w:val="single" w:sz="8" w:color="0000FF"/>
              <w:bottom w:val="single" w:sz="8" w:color="0000EE"/>
            </w:tcBorders>
          </w:tcPr>
          <w:p>
            <w:pPr>
              <w:spacing w:after="0"/>
              <w:rPr>
                <w:sz w:val="13"/>
                <w:szCs w:val="13"/>
                <w:color w:val="auto"/>
              </w:rPr>
            </w:pPr>
          </w:p>
        </w:tc>
        <w:tc>
          <w:tcPr>
            <w:tcW w:w="382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2"/>
              </w:rPr>
            </w:pPr>
            <w:hyperlink r:id="rId170">
              <w:r>
                <w:rPr>
                  <w:rFonts w:ascii="Arial" w:cs="Arial" w:eastAsia="Arial" w:hAnsi="Arial"/>
                  <w:sz w:val="18"/>
                  <w:szCs w:val="18"/>
                  <w:color w:val="0000FF"/>
                  <w:w w:val="92"/>
                </w:rPr>
                <w:t>Amendment No. 2 to Letter Agreement, by and between Arcturus Therapeutics, Inc. and the Cystic Fibrosis Foundation, dated August 1,</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1"/>
              </w:rPr>
            </w:pPr>
            <w:hyperlink r:id="rId170">
              <w:r>
                <w:rPr>
                  <w:rFonts w:ascii="Arial" w:cs="Arial" w:eastAsia="Arial" w:hAnsi="Arial"/>
                  <w:sz w:val="18"/>
                  <w:szCs w:val="18"/>
                  <w:color w:val="0000FF"/>
                  <w:w w:val="91"/>
                </w:rPr>
                <w:t>2019. Incorporated by reference to Exhibit 10.16 to Form 10-Q filed on August 14, 2019.</w:t>
              </w:r>
            </w:hyperlink>
          </w:p>
        </w:tc>
        <w:tc>
          <w:tcPr>
            <w:tcW w:w="20" w:type="dxa"/>
            <w:vAlign w:val="bottom"/>
            <w:tcBorders>
              <w:top w:val="single" w:sz="8" w:color="0000FF"/>
              <w:bottom w:val="single" w:sz="8" w:color="0000EE"/>
            </w:tcBorders>
          </w:tcPr>
          <w:p>
            <w:pPr>
              <w:spacing w:after="0"/>
              <w:rPr>
                <w:sz w:val="13"/>
                <w:szCs w:val="13"/>
                <w:color w:val="auto"/>
              </w:rPr>
            </w:pPr>
          </w:p>
        </w:tc>
        <w:tc>
          <w:tcPr>
            <w:tcW w:w="348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1"/>
              </w:rPr>
            </w:pPr>
            <w:hyperlink r:id="rId171">
              <w:r>
                <w:rPr>
                  <w:rFonts w:ascii="Arial" w:cs="Arial" w:eastAsia="Arial" w:hAnsi="Arial"/>
                  <w:sz w:val="18"/>
                  <w:szCs w:val="18"/>
                  <w:color w:val="0000FF"/>
                  <w:w w:val="91"/>
                </w:rPr>
                <w:t>Development and Option Agreement, by and between Arcturus Therapeutics, Inc. and CureVac AG, dated January 1, 2018, as amended</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2"/>
              </w:rPr>
            </w:pPr>
            <w:hyperlink r:id="rId171">
              <w:r>
                <w:rPr>
                  <w:rFonts w:ascii="Arial" w:cs="Arial" w:eastAsia="Arial" w:hAnsi="Arial"/>
                  <w:sz w:val="18"/>
                  <w:szCs w:val="18"/>
                  <w:color w:val="0000FF"/>
                  <w:w w:val="92"/>
                </w:rPr>
                <w:t>May 3, 2018. Incorporated by reference to Exhibit 4.12 to Form 20-F filed on May 14, 2018 (File No. 001-35932).</w:t>
              </w:r>
            </w:hyperlink>
          </w:p>
        </w:tc>
        <w:tc>
          <w:tcPr>
            <w:tcW w:w="20" w:type="dxa"/>
            <w:vAlign w:val="bottom"/>
            <w:tcBorders>
              <w:top w:val="single" w:sz="8" w:color="0000FF"/>
              <w:bottom w:val="single" w:sz="8" w:color="0000EE"/>
            </w:tcBorders>
          </w:tcPr>
          <w:p>
            <w:pPr>
              <w:spacing w:after="0"/>
              <w:rPr>
                <w:sz w:val="13"/>
                <w:szCs w:val="13"/>
                <w:color w:val="auto"/>
              </w:rPr>
            </w:pPr>
          </w:p>
        </w:tc>
        <w:tc>
          <w:tcPr>
            <w:tcW w:w="154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4"/>
          </w:tcPr>
          <w:p>
            <w:pPr>
              <w:spacing w:after="0"/>
              <w:rPr>
                <w:rFonts w:ascii="Arial" w:cs="Arial" w:eastAsia="Arial" w:hAnsi="Arial"/>
                <w:sz w:val="18"/>
                <w:szCs w:val="18"/>
                <w:color w:val="0000FF"/>
                <w:w w:val="92"/>
              </w:rPr>
            </w:pPr>
            <w:hyperlink r:id="rId172">
              <w:r>
                <w:rPr>
                  <w:rFonts w:ascii="Arial" w:cs="Arial" w:eastAsia="Arial" w:hAnsi="Arial"/>
                  <w:sz w:val="18"/>
                  <w:szCs w:val="18"/>
                  <w:color w:val="0000FF"/>
                  <w:w w:val="92"/>
                </w:rPr>
                <w:t>Third Amendment to Development and Option Agreement, by and between Arcturus Therapeutics, Inc. and CureVac AG, dated July 26,</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172">
              <w:r>
                <w:rPr>
                  <w:rFonts w:ascii="Arial" w:cs="Arial" w:eastAsia="Arial" w:hAnsi="Arial"/>
                  <w:sz w:val="18"/>
                  <w:szCs w:val="18"/>
                  <w:color w:val="0000FF"/>
                  <w:w w:val="91"/>
                </w:rPr>
                <w:t>2019. Incorporated by reference to Exhibit 10.20 to Form 10-Q filed on August 14, 2019 (File No. 001-38942).</w:t>
              </w:r>
            </w:hyperlink>
          </w:p>
        </w:tc>
        <w:tc>
          <w:tcPr>
            <w:tcW w:w="1860" w:type="dxa"/>
            <w:vAlign w:val="bottom"/>
            <w:tcBorders>
              <w:top w:val="single" w:sz="8" w:color="0000FF"/>
            </w:tcBorders>
            <w:gridSpan w:val="16"/>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641"/>
        </w:trPr>
        <w:tc>
          <w:tcPr>
            <w:tcW w:w="1140" w:type="dxa"/>
            <w:vAlign w:val="bottom"/>
          </w:tcPr>
          <w:p>
            <w:pPr>
              <w:spacing w:after="0"/>
              <w:rPr>
                <w:sz w:val="24"/>
                <w:szCs w:val="24"/>
                <w:color w:val="auto"/>
              </w:rPr>
            </w:pPr>
          </w:p>
        </w:tc>
        <w:tc>
          <w:tcPr>
            <w:tcW w:w="5160" w:type="dxa"/>
            <w:vAlign w:val="bottom"/>
            <w:gridSpan w:val="12"/>
          </w:tcPr>
          <w:p>
            <w:pPr>
              <w:jc w:val="right"/>
              <w:ind w:right="58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80" w:type="dxa"/>
            <w:vAlign w:val="bottom"/>
          </w:tcPr>
          <w:p>
            <w:pPr>
              <w:ind w:left="20"/>
              <w:spacing w:after="0"/>
              <w:rPr>
                <w:sz w:val="20"/>
                <w:szCs w:val="20"/>
                <w:color w:val="auto"/>
              </w:rPr>
            </w:pPr>
            <w:r>
              <w:rPr>
                <w:rFonts w:ascii="Arial" w:cs="Arial" w:eastAsia="Arial" w:hAnsi="Arial"/>
                <w:sz w:val="18"/>
                <w:szCs w:val="18"/>
                <w:color w:val="auto"/>
              </w:rPr>
              <w:t>10.14**</w:t>
            </w:r>
          </w:p>
        </w:tc>
        <w:tc>
          <w:tcPr>
            <w:tcW w:w="10020" w:type="dxa"/>
            <w:vAlign w:val="bottom"/>
            <w:gridSpan w:val="45"/>
          </w:tcPr>
          <w:p>
            <w:pPr>
              <w:spacing w:after="0"/>
              <w:rPr>
                <w:rFonts w:ascii="Arial" w:cs="Arial" w:eastAsia="Arial" w:hAnsi="Arial"/>
                <w:sz w:val="18"/>
                <w:szCs w:val="18"/>
                <w:color w:val="0000FF"/>
                <w:w w:val="91"/>
              </w:rPr>
            </w:pPr>
            <w:hyperlink r:id="rId175">
              <w:r>
                <w:rPr>
                  <w:rFonts w:ascii="Arial" w:cs="Arial" w:eastAsia="Arial" w:hAnsi="Arial"/>
                  <w:sz w:val="18"/>
                  <w:szCs w:val="18"/>
                  <w:color w:val="0000FF"/>
                  <w:w w:val="91"/>
                </w:rPr>
                <w:t>Co-Development and Co-Commercialization Agreement, by and between Arcturus Therapeutics, Inc. and CureVac AG, dated January 1,</w:t>
              </w:r>
            </w:hyperlink>
          </w:p>
        </w:tc>
      </w:tr>
      <w:tr>
        <w:trPr>
          <w:trHeight w:val="155"/>
        </w:trPr>
        <w:tc>
          <w:tcPr>
            <w:tcW w:w="1280" w:type="dxa"/>
            <w:vAlign w:val="bottom"/>
          </w:tcPr>
          <w:p>
            <w:pPr>
              <w:spacing w:after="0"/>
              <w:rPr>
                <w:sz w:val="13"/>
                <w:szCs w:val="13"/>
                <w:color w:val="auto"/>
              </w:rPr>
            </w:pPr>
          </w:p>
        </w:tc>
        <w:tc>
          <w:tcPr>
            <w:tcW w:w="994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2018. Incorporated by reference to Exhibit 4.13 to Form 20-F filed on May 14, 2018 (File No. 001-35932).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10.15</w:t>
            </w:r>
          </w:p>
        </w:tc>
        <w:tc>
          <w:tcPr>
            <w:tcW w:w="10020" w:type="dxa"/>
            <w:vAlign w:val="bottom"/>
            <w:gridSpan w:val="45"/>
          </w:tcPr>
          <w:p>
            <w:pPr>
              <w:spacing w:after="0"/>
              <w:rPr>
                <w:rFonts w:ascii="Arial" w:cs="Arial" w:eastAsia="Arial" w:hAnsi="Arial"/>
                <w:sz w:val="18"/>
                <w:szCs w:val="18"/>
                <w:color w:val="0000FF"/>
                <w:w w:val="91"/>
              </w:rPr>
            </w:pPr>
            <w:hyperlink r:id="rId176">
              <w:r>
                <w:rPr>
                  <w:rFonts w:ascii="Arial" w:cs="Arial" w:eastAsia="Arial" w:hAnsi="Arial"/>
                  <w:sz w:val="18"/>
                  <w:szCs w:val="18"/>
                  <w:color w:val="0000FF"/>
                  <w:w w:val="91"/>
                </w:rPr>
                <w:t>Termination Agreement, by and between Arcturus Therapeutics, Inc. and CureVac AG, dated July 26, 2019. Incorporated by reference to</w:t>
              </w:r>
            </w:hyperlink>
          </w:p>
        </w:tc>
      </w:tr>
      <w:tr>
        <w:trPr>
          <w:trHeight w:val="156"/>
        </w:trPr>
        <w:tc>
          <w:tcPr>
            <w:tcW w:w="128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76">
              <w:r>
                <w:rPr>
                  <w:rFonts w:ascii="Arial" w:cs="Arial" w:eastAsia="Arial" w:hAnsi="Arial"/>
                  <w:sz w:val="18"/>
                  <w:szCs w:val="18"/>
                  <w:color w:val="0000FF"/>
                  <w:w w:val="92"/>
                </w:rPr>
                <w:t>Exhibit 10.21 to Form 10-Q filed on August 14, 2019 (File No. 001-38942).</w:t>
              </w:r>
            </w:hyperlink>
          </w:p>
        </w:tc>
        <w:tc>
          <w:tcPr>
            <w:tcW w:w="20" w:type="dxa"/>
            <w:vAlign w:val="bottom"/>
            <w:tcBorders>
              <w:top w:val="single" w:sz="8" w:color="0000FF"/>
              <w:bottom w:val="single" w:sz="8" w:color="0000EE"/>
            </w:tcBorders>
          </w:tcPr>
          <w:p>
            <w:pPr>
              <w:spacing w:after="0"/>
              <w:rPr>
                <w:sz w:val="13"/>
                <w:szCs w:val="13"/>
                <w:color w:val="auto"/>
              </w:rPr>
            </w:pPr>
          </w:p>
        </w:tc>
        <w:tc>
          <w:tcPr>
            <w:tcW w:w="446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10.16**</w:t>
            </w:r>
          </w:p>
        </w:tc>
        <w:tc>
          <w:tcPr>
            <w:tcW w:w="10020" w:type="dxa"/>
            <w:vAlign w:val="bottom"/>
            <w:gridSpan w:val="45"/>
          </w:tcPr>
          <w:p>
            <w:pPr>
              <w:spacing w:after="0"/>
              <w:rPr>
                <w:rFonts w:ascii="Arial" w:cs="Arial" w:eastAsia="Arial" w:hAnsi="Arial"/>
                <w:sz w:val="18"/>
                <w:szCs w:val="18"/>
                <w:color w:val="0000FF"/>
              </w:rPr>
            </w:pPr>
            <w:hyperlink r:id="rId177">
              <w:r>
                <w:rPr>
                  <w:rFonts w:ascii="Arial" w:cs="Arial" w:eastAsia="Arial" w:hAnsi="Arial"/>
                  <w:sz w:val="18"/>
                  <w:szCs w:val="18"/>
                  <w:color w:val="0000FF"/>
                </w:rPr>
                <w:t>License Agreement, by and between Arcturus Therapeutics, Inc., as successor-in-interest to Marina Biotech, Inc., and Protiva</w:t>
              </w:r>
            </w:hyperlink>
          </w:p>
        </w:tc>
      </w:tr>
      <w:tr>
        <w:trPr>
          <w:trHeight w:val="155"/>
        </w:trPr>
        <w:tc>
          <w:tcPr>
            <w:tcW w:w="128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2"/>
              </w:rPr>
            </w:pPr>
            <w:hyperlink r:id="rId177">
              <w:r>
                <w:rPr>
                  <w:rFonts w:ascii="Arial" w:cs="Arial" w:eastAsia="Arial" w:hAnsi="Arial"/>
                  <w:sz w:val="18"/>
                  <w:szCs w:val="18"/>
                  <w:color w:val="0000FF"/>
                  <w:w w:val="92"/>
                </w:rPr>
                <w:t>Biotherapeutics Inc., dated as of November 28, 2012. Incorporated by reference to Exhibit 4.14 to Form 20-F/A filed on July</w:t>
              </w:r>
            </w:hyperlink>
          </w:p>
        </w:tc>
        <w:tc>
          <w:tcPr>
            <w:tcW w:w="620" w:type="dxa"/>
            <w:vAlign w:val="bottom"/>
            <w:tcBorders>
              <w:bottom w:val="single" w:sz="8" w:color="0000FF"/>
            </w:tcBorders>
            <w:gridSpan w:val="8"/>
          </w:tcPr>
          <w:p>
            <w:pPr>
              <w:jc w:val="right"/>
              <w:ind w:right="40"/>
              <w:spacing w:after="0" w:line="156" w:lineRule="exact"/>
              <w:rPr>
                <w:rFonts w:ascii="Arial" w:cs="Arial" w:eastAsia="Arial" w:hAnsi="Arial"/>
                <w:sz w:val="18"/>
                <w:szCs w:val="18"/>
                <w:color w:val="0000FF"/>
                <w:w w:val="79"/>
              </w:rPr>
            </w:pPr>
            <w:hyperlink r:id="rId177">
              <w:r>
                <w:rPr>
                  <w:rFonts w:ascii="Arial" w:cs="Arial" w:eastAsia="Arial" w:hAnsi="Arial"/>
                  <w:sz w:val="18"/>
                  <w:szCs w:val="18"/>
                  <w:color w:val="0000FF"/>
                  <w:w w:val="79"/>
                </w:rPr>
                <w:t>10, 2018</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1580" w:type="dxa"/>
            <w:vAlign w:val="bottom"/>
            <w:tcBorders>
              <w:bottom w:val="single" w:sz="8" w:color="0000FF"/>
            </w:tcBorders>
            <w:gridSpan w:val="4"/>
          </w:tcPr>
          <w:p>
            <w:pPr>
              <w:spacing w:after="0" w:line="15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(File No. 001-35932).</w:t>
              </w:r>
            </w:hyperlink>
          </w:p>
        </w:tc>
        <w:tc>
          <w:tcPr>
            <w:tcW w:w="20" w:type="dxa"/>
            <w:vAlign w:val="bottom"/>
            <w:tcBorders>
              <w:bottom w:val="single" w:sz="8" w:color="0000EE"/>
            </w:tcBorders>
          </w:tcPr>
          <w:p>
            <w:pPr>
              <w:spacing w:after="0"/>
              <w:rPr>
                <w:sz w:val="13"/>
                <w:szCs w:val="13"/>
                <w:color w:val="auto"/>
              </w:rPr>
            </w:pPr>
          </w:p>
        </w:tc>
        <w:tc>
          <w:tcPr>
            <w:tcW w:w="8140" w:type="dxa"/>
            <w:vAlign w:val="bottom"/>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10.17**</w:t>
            </w:r>
          </w:p>
        </w:tc>
        <w:tc>
          <w:tcPr>
            <w:tcW w:w="10020" w:type="dxa"/>
            <w:vAlign w:val="bottom"/>
            <w:gridSpan w:val="45"/>
          </w:tcPr>
          <w:p>
            <w:pPr>
              <w:spacing w:after="0"/>
              <w:rPr>
                <w:rFonts w:ascii="Arial" w:cs="Arial" w:eastAsia="Arial" w:hAnsi="Arial"/>
                <w:sz w:val="18"/>
                <w:szCs w:val="18"/>
                <w:color w:val="0000FF"/>
                <w:w w:val="92"/>
              </w:rPr>
            </w:pPr>
            <w:hyperlink r:id="rId178">
              <w:r>
                <w:rPr>
                  <w:rFonts w:ascii="Arial" w:cs="Arial" w:eastAsia="Arial" w:hAnsi="Arial"/>
                  <w:sz w:val="18"/>
                  <w:szCs w:val="18"/>
                  <w:color w:val="0000FF"/>
                  <w:w w:val="92"/>
                </w:rPr>
                <w:t>Patent Assignment and License Agreement, by and between Arcturus Therapeutics, Inc. and Marina Biotech, Inc., dated as of August 9,</w:t>
              </w:r>
            </w:hyperlink>
          </w:p>
        </w:tc>
      </w:tr>
      <w:tr>
        <w:trPr>
          <w:trHeight w:val="156"/>
        </w:trPr>
        <w:tc>
          <w:tcPr>
            <w:tcW w:w="1280" w:type="dxa"/>
            <w:vAlign w:val="bottom"/>
          </w:tcPr>
          <w:p>
            <w:pPr>
              <w:spacing w:after="0"/>
              <w:rPr>
                <w:sz w:val="13"/>
                <w:szCs w:val="13"/>
                <w:color w:val="auto"/>
              </w:rPr>
            </w:pPr>
          </w:p>
        </w:tc>
        <w:tc>
          <w:tcPr>
            <w:tcW w:w="988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2013. Incorporated by reference to Exhibit 4.15 to Form 20-F filed on May 14, 2018 (File No. 001-35932).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80" w:type="dxa"/>
            <w:vAlign w:val="bottom"/>
          </w:tcPr>
          <w:p>
            <w:pPr>
              <w:ind w:left="20"/>
              <w:spacing w:after="0"/>
              <w:rPr>
                <w:sz w:val="20"/>
                <w:szCs w:val="20"/>
                <w:color w:val="auto"/>
              </w:rPr>
            </w:pPr>
            <w:r>
              <w:rPr>
                <w:rFonts w:ascii="Arial" w:cs="Arial" w:eastAsia="Arial" w:hAnsi="Arial"/>
                <w:sz w:val="18"/>
                <w:szCs w:val="18"/>
                <w:color w:val="auto"/>
              </w:rPr>
              <w:t>10.18</w:t>
            </w:r>
          </w:p>
        </w:tc>
        <w:tc>
          <w:tcPr>
            <w:tcW w:w="9440" w:type="dxa"/>
            <w:vAlign w:val="bottom"/>
            <w:tcBorders>
              <w:bottom w:val="single" w:sz="8" w:color="0000FF"/>
            </w:tcBorders>
            <w:gridSpan w:val="24"/>
          </w:tcPr>
          <w:p>
            <w:pPr>
              <w:spacing w:after="0"/>
              <w:rPr>
                <w:rFonts w:ascii="Arial" w:cs="Arial" w:eastAsia="Arial" w:hAnsi="Arial"/>
                <w:sz w:val="18"/>
                <w:szCs w:val="18"/>
                <w:color w:val="0000FF"/>
                <w:w w:val="90"/>
              </w:rPr>
            </w:pPr>
            <w:hyperlink r:id="rId179">
              <w:r>
                <w:rPr>
                  <w:rFonts w:ascii="Arial" w:cs="Arial" w:eastAsia="Arial" w:hAnsi="Arial"/>
                  <w:sz w:val="18"/>
                  <w:szCs w:val="18"/>
                  <w:color w:val="0000FF"/>
                  <w:w w:val="90"/>
                </w:rPr>
                <w:t>Share Exchange Agreement, dated as of February 11, 2019, by and between Arcturus Therapeutics Ltd. and Arcturus Therapeutics</w:t>
              </w:r>
            </w:hyperlink>
          </w:p>
        </w:tc>
        <w:tc>
          <w:tcPr>
            <w:tcW w:w="580" w:type="dxa"/>
            <w:vAlign w:val="bottom"/>
            <w:gridSpan w:val="21"/>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10020" w:type="dxa"/>
            <w:vAlign w:val="bottom"/>
            <w:gridSpan w:val="45"/>
          </w:tcPr>
          <w:p>
            <w:pPr>
              <w:spacing w:after="0" w:line="156" w:lineRule="exact"/>
              <w:rPr>
                <w:rFonts w:ascii="Arial" w:cs="Arial" w:eastAsia="Arial" w:hAnsi="Arial"/>
                <w:sz w:val="18"/>
                <w:szCs w:val="18"/>
                <w:color w:val="0000FF"/>
                <w:w w:val="94"/>
              </w:rPr>
            </w:pPr>
            <w:hyperlink r:id="rId179">
              <w:r>
                <w:rPr>
                  <w:rFonts w:ascii="Arial" w:cs="Arial" w:eastAsia="Arial" w:hAnsi="Arial"/>
                  <w:sz w:val="18"/>
                  <w:szCs w:val="18"/>
                  <w:color w:val="0000FF"/>
                  <w:w w:val="94"/>
                </w:rPr>
                <w:t>Holdings Inc. Incorporated by reference to Exhibit 10.13 to the Company’s Annual Report on Form 10-K for the year ended December</w:t>
              </w:r>
            </w:hyperlink>
          </w:p>
        </w:tc>
      </w:tr>
      <w:tr>
        <w:trPr>
          <w:trHeight w:val="156"/>
        </w:trPr>
        <w:tc>
          <w:tcPr>
            <w:tcW w:w="128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31, 2018 filed on March 18, 2019 (File No. 001-35932).</w:t>
              </w:r>
            </w:hyperlink>
          </w:p>
        </w:tc>
        <w:tc>
          <w:tcPr>
            <w:tcW w:w="57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10.19**</w:t>
            </w:r>
          </w:p>
        </w:tc>
        <w:tc>
          <w:tcPr>
            <w:tcW w:w="10020" w:type="dxa"/>
            <w:vAlign w:val="bottom"/>
            <w:gridSpan w:val="45"/>
          </w:tcPr>
          <w:p>
            <w:pPr>
              <w:spacing w:after="0"/>
              <w:rPr>
                <w:rFonts w:ascii="Arial" w:cs="Arial" w:eastAsia="Arial" w:hAnsi="Arial"/>
                <w:sz w:val="18"/>
                <w:szCs w:val="18"/>
                <w:color w:val="0000FF"/>
                <w:w w:val="90"/>
              </w:rPr>
            </w:pPr>
            <w:hyperlink r:id="rId180">
              <w:r>
                <w:rPr>
                  <w:rFonts w:ascii="Arial" w:cs="Arial" w:eastAsia="Arial" w:hAnsi="Arial"/>
                  <w:sz w:val="18"/>
                  <w:szCs w:val="18"/>
                  <w:color w:val="0000FF"/>
                  <w:w w:val="90"/>
                </w:rPr>
                <w:t>Amended and Restated Joint Venture, Research Collaboration and License Agreement, dated as of July 14, 2018 by and between Arcturus</w:t>
              </w:r>
            </w:hyperlink>
          </w:p>
        </w:tc>
      </w:tr>
      <w:tr>
        <w:trPr>
          <w:trHeight w:val="155"/>
        </w:trPr>
        <w:tc>
          <w:tcPr>
            <w:tcW w:w="1280" w:type="dxa"/>
            <w:vAlign w:val="bottom"/>
          </w:tcPr>
          <w:p>
            <w:pPr>
              <w:spacing w:after="0"/>
              <w:rPr>
                <w:sz w:val="13"/>
                <w:szCs w:val="13"/>
                <w:color w:val="auto"/>
              </w:rPr>
            </w:pPr>
          </w:p>
        </w:tc>
        <w:tc>
          <w:tcPr>
            <w:tcW w:w="10000" w:type="dxa"/>
            <w:vAlign w:val="bottom"/>
            <w:tcBorders>
              <w:top w:val="single" w:sz="8" w:color="0000FF"/>
            </w:tcBorders>
            <w:gridSpan w:val="44"/>
          </w:tcPr>
          <w:p>
            <w:pPr>
              <w:spacing w:after="0" w:line="156"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Therapeutics, Inc. and Providence Therapeutics, Inc. Incorporated by reference to Exhibit 10.14 to the Company’s Amendment No. 1 to</w:t>
              </w:r>
            </w:hyperlink>
          </w:p>
        </w:tc>
        <w:tc>
          <w:tcPr>
            <w:tcW w:w="2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98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Annual Report on Form 10-K for the year ended December 31, 2018 filed on April 10, 2019 (File No. 001-35932).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10.20**</w:t>
            </w:r>
          </w:p>
        </w:tc>
        <w:tc>
          <w:tcPr>
            <w:tcW w:w="8940" w:type="dxa"/>
            <w:vAlign w:val="bottom"/>
            <w:tcBorders>
              <w:bottom w:val="single" w:sz="8" w:color="0000FF"/>
            </w:tcBorders>
            <w:gridSpan w:val="20"/>
          </w:tcPr>
          <w:p>
            <w:pPr>
              <w:spacing w:after="0"/>
              <w:rPr>
                <w:rFonts w:ascii="Arial" w:cs="Arial" w:eastAsia="Arial" w:hAnsi="Arial"/>
                <w:sz w:val="18"/>
                <w:szCs w:val="18"/>
                <w:color w:val="0000FF"/>
                <w:w w:val="91"/>
              </w:rPr>
            </w:pPr>
            <w:hyperlink r:id="rId181">
              <w:r>
                <w:rPr>
                  <w:rFonts w:ascii="Arial" w:cs="Arial" w:eastAsia="Arial" w:hAnsi="Arial"/>
                  <w:sz w:val="18"/>
                  <w:szCs w:val="18"/>
                  <w:color w:val="0000FF"/>
                  <w:w w:val="91"/>
                </w:rPr>
                <w:t>Research Collaboration Agreement, dated as of March 8, 2019 by and between Arcturus Therapeutics, Inc. and Millennium</w:t>
              </w:r>
            </w:hyperlink>
          </w:p>
        </w:tc>
        <w:tc>
          <w:tcPr>
            <w:tcW w:w="1080" w:type="dxa"/>
            <w:vAlign w:val="bottom"/>
            <w:gridSpan w:val="25"/>
          </w:tcPr>
          <w:p>
            <w:pPr>
              <w:spacing w:after="0"/>
              <w:rPr>
                <w:sz w:val="24"/>
                <w:szCs w:val="24"/>
                <w:color w:val="auto"/>
              </w:rPr>
            </w:pPr>
          </w:p>
        </w:tc>
      </w:tr>
      <w:tr>
        <w:trPr>
          <w:trHeight w:val="155"/>
        </w:trPr>
        <w:tc>
          <w:tcPr>
            <w:tcW w:w="1280" w:type="dxa"/>
            <w:vAlign w:val="bottom"/>
          </w:tcPr>
          <w:p>
            <w:pPr>
              <w:spacing w:after="0"/>
              <w:rPr>
                <w:sz w:val="13"/>
                <w:szCs w:val="13"/>
                <w:color w:val="auto"/>
              </w:rPr>
            </w:pPr>
          </w:p>
        </w:tc>
        <w:tc>
          <w:tcPr>
            <w:tcW w:w="10020" w:type="dxa"/>
            <w:vAlign w:val="bottom"/>
            <w:gridSpan w:val="45"/>
          </w:tcPr>
          <w:p>
            <w:pPr>
              <w:spacing w:after="0" w:line="156" w:lineRule="exact"/>
              <w:rPr>
                <w:rFonts w:ascii="Arial" w:cs="Arial" w:eastAsia="Arial" w:hAnsi="Arial"/>
                <w:sz w:val="18"/>
                <w:szCs w:val="18"/>
                <w:color w:val="0000FF"/>
                <w:w w:val="95"/>
              </w:rPr>
            </w:pPr>
            <w:hyperlink r:id="rId181">
              <w:r>
                <w:rPr>
                  <w:rFonts w:ascii="Arial" w:cs="Arial" w:eastAsia="Arial" w:hAnsi="Arial"/>
                  <w:sz w:val="18"/>
                  <w:szCs w:val="18"/>
                  <w:color w:val="0000FF"/>
                  <w:w w:val="95"/>
                </w:rPr>
                <w:t>Pharmaceuticals, Inc., a wholly-owned subsidiary of Takeda Pharmaceutical Company Limited. Incorporated by reference to Exhibit</w:t>
              </w:r>
            </w:hyperlink>
          </w:p>
        </w:tc>
      </w:tr>
      <w:tr>
        <w:trPr>
          <w:trHeight w:val="156"/>
        </w:trPr>
        <w:tc>
          <w:tcPr>
            <w:tcW w:w="1280" w:type="dxa"/>
            <w:vAlign w:val="bottom"/>
          </w:tcPr>
          <w:p>
            <w:pPr>
              <w:spacing w:after="0"/>
              <w:rPr>
                <w:sz w:val="13"/>
                <w:szCs w:val="13"/>
                <w:color w:val="auto"/>
              </w:rPr>
            </w:pPr>
          </w:p>
        </w:tc>
        <w:tc>
          <w:tcPr>
            <w:tcW w:w="9600" w:type="dxa"/>
            <w:vAlign w:val="bottom"/>
            <w:tcBorders>
              <w:top w:val="single" w:sz="8" w:color="0000FF"/>
            </w:tcBorders>
            <w:gridSpan w:val="26"/>
          </w:tcPr>
          <w:p>
            <w:pPr>
              <w:spacing w:after="0" w:line="156"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15</w:t>
              </w:r>
              <w:r>
                <w:rPr>
                  <w:rFonts w:ascii="Arial" w:cs="Arial" w:eastAsia="Arial" w:hAnsi="Arial"/>
                  <w:sz w:val="18"/>
                  <w:szCs w:val="18"/>
                  <w:color w:val="0000FF"/>
                  <w:w w:val="91"/>
                </w:rPr>
                <w:t xml:space="preserve"> to the Company’s Annual Report on Form 10-K for the year ended December 31, 2018 filed on March 18, 2019 (File No. 001-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81">
              <w:r>
                <w:rPr>
                  <w:rFonts w:ascii="Arial" w:cs="Arial" w:eastAsia="Arial" w:hAnsi="Arial"/>
                  <w:sz w:val="18"/>
                  <w:szCs w:val="18"/>
                  <w:color w:val="0000FF"/>
                  <w:w w:val="88"/>
                </w:rPr>
                <w:t>35932).</w:t>
              </w:r>
            </w:hyperlink>
          </w:p>
        </w:tc>
        <w:tc>
          <w:tcPr>
            <w:tcW w:w="20" w:type="dxa"/>
            <w:vAlign w:val="bottom"/>
            <w:tcBorders>
              <w:top w:val="single" w:sz="8" w:color="0000FF"/>
              <w:bottom w:val="single" w:sz="8" w:color="0000EE"/>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7"/>
        </w:trPr>
        <w:tc>
          <w:tcPr>
            <w:tcW w:w="1280" w:type="dxa"/>
            <w:vAlign w:val="bottom"/>
          </w:tcPr>
          <w:p>
            <w:pPr>
              <w:ind w:left="20"/>
              <w:spacing w:after="0"/>
              <w:rPr>
                <w:sz w:val="20"/>
                <w:szCs w:val="20"/>
                <w:color w:val="auto"/>
              </w:rPr>
            </w:pPr>
            <w:r>
              <w:rPr>
                <w:rFonts w:ascii="Arial" w:cs="Arial" w:eastAsia="Arial" w:hAnsi="Arial"/>
                <w:sz w:val="18"/>
                <w:szCs w:val="18"/>
                <w:color w:val="auto"/>
              </w:rPr>
              <w:t>10.21</w:t>
            </w:r>
          </w:p>
        </w:tc>
        <w:tc>
          <w:tcPr>
            <w:tcW w:w="10020" w:type="dxa"/>
            <w:vAlign w:val="bottom"/>
            <w:gridSpan w:val="45"/>
          </w:tcPr>
          <w:p>
            <w:pPr>
              <w:spacing w:after="0"/>
              <w:rPr>
                <w:rFonts w:ascii="Arial" w:cs="Arial" w:eastAsia="Arial" w:hAnsi="Arial"/>
                <w:sz w:val="18"/>
                <w:szCs w:val="18"/>
                <w:color w:val="0000FF"/>
                <w:w w:val="91"/>
              </w:rPr>
            </w:pPr>
            <w:hyperlink r:id="rId182">
              <w:r>
                <w:rPr>
                  <w:rFonts w:ascii="Arial" w:cs="Arial" w:eastAsia="Arial" w:hAnsi="Arial"/>
                  <w:sz w:val="18"/>
                  <w:szCs w:val="18"/>
                  <w:color w:val="0000FF"/>
                  <w:w w:val="91"/>
                </w:rPr>
                <w:t>Lease Agreement, by and between Arcturus Therapeutics, Inc. and ARE-SD Region No. 44, LLC, dated October 4, 2017. Incorporated by</w:t>
              </w:r>
            </w:hyperlink>
          </w:p>
        </w:tc>
      </w:tr>
      <w:tr>
        <w:trPr>
          <w:trHeight w:val="156"/>
        </w:trPr>
        <w:tc>
          <w:tcPr>
            <w:tcW w:w="128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182">
              <w:r>
                <w:rPr>
                  <w:rFonts w:ascii="Arial" w:cs="Arial" w:eastAsia="Arial" w:hAnsi="Arial"/>
                  <w:sz w:val="18"/>
                  <w:szCs w:val="18"/>
                  <w:color w:val="0000FF"/>
                  <w:w w:val="92"/>
                </w:rPr>
                <w:t>reference to Exhibit 4.6 to Form 20-F filed on May 14, 2018 (File No. 001-35932).</w:t>
              </w:r>
            </w:hyperlink>
          </w:p>
        </w:tc>
        <w:tc>
          <w:tcPr>
            <w:tcW w:w="20" w:type="dxa"/>
            <w:vAlign w:val="bottom"/>
            <w:tcBorders>
              <w:top w:val="single" w:sz="8" w:color="0000FF"/>
              <w:bottom w:val="single" w:sz="8" w:color="0000EE"/>
            </w:tcBorders>
          </w:tcPr>
          <w:p>
            <w:pPr>
              <w:spacing w:after="0"/>
              <w:rPr>
                <w:sz w:val="13"/>
                <w:szCs w:val="13"/>
                <w:color w:val="auto"/>
              </w:rPr>
            </w:pPr>
          </w:p>
        </w:tc>
        <w:tc>
          <w:tcPr>
            <w:tcW w:w="400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10.22</w:t>
            </w:r>
          </w:p>
        </w:tc>
        <w:tc>
          <w:tcPr>
            <w:tcW w:w="10020" w:type="dxa"/>
            <w:vAlign w:val="bottom"/>
            <w:gridSpan w:val="45"/>
          </w:tcPr>
          <w:p>
            <w:pPr>
              <w:spacing w:after="0"/>
              <w:rPr>
                <w:rFonts w:ascii="Arial" w:cs="Arial" w:eastAsia="Arial" w:hAnsi="Arial"/>
                <w:sz w:val="18"/>
                <w:szCs w:val="18"/>
                <w:color w:val="0000FF"/>
                <w:w w:val="95"/>
              </w:rPr>
            </w:pPr>
            <w:hyperlink r:id="rId183">
              <w:r>
                <w:rPr>
                  <w:rFonts w:ascii="Arial" w:cs="Arial" w:eastAsia="Arial" w:hAnsi="Arial"/>
                  <w:sz w:val="18"/>
                  <w:szCs w:val="18"/>
                  <w:color w:val="0000FF"/>
                  <w:w w:val="95"/>
                </w:rPr>
                <w:t>First Amendment to Lease Agreement, by and between Arcturus Therapeutics Holdings Inc. and ARE-SD Region No. 44, LLC dated</w:t>
              </w:r>
            </w:hyperlink>
          </w:p>
        </w:tc>
      </w:tr>
      <w:tr>
        <w:trPr>
          <w:trHeight w:val="156"/>
        </w:trPr>
        <w:tc>
          <w:tcPr>
            <w:tcW w:w="1280" w:type="dxa"/>
            <w:vAlign w:val="bottom"/>
          </w:tcPr>
          <w:p>
            <w:pPr>
              <w:spacing w:after="0"/>
              <w:rPr>
                <w:sz w:val="13"/>
                <w:szCs w:val="13"/>
                <w:color w:val="auto"/>
              </w:rPr>
            </w:pPr>
          </w:p>
        </w:tc>
        <w:tc>
          <w:tcPr>
            <w:tcW w:w="9680" w:type="dxa"/>
            <w:vAlign w:val="bottom"/>
            <w:tcBorders>
              <w:top w:val="single" w:sz="8" w:color="0000FF"/>
            </w:tcBorders>
            <w:gridSpan w:val="28"/>
          </w:tcPr>
          <w:p>
            <w:pPr>
              <w:spacing w:after="0" w:line="156" w:lineRule="exact"/>
              <w:rPr>
                <w:rFonts w:ascii="Arial" w:cs="Arial" w:eastAsia="Arial" w:hAnsi="Arial"/>
                <w:sz w:val="18"/>
                <w:szCs w:val="18"/>
                <w:color w:val="0000FF"/>
                <w:w w:val="95"/>
              </w:rPr>
            </w:pPr>
            <w:hyperlink r:id="rId183">
              <w:r>
                <w:rPr>
                  <w:rFonts w:ascii="Arial" w:cs="Arial" w:eastAsia="Arial" w:hAnsi="Arial"/>
                  <w:sz w:val="18"/>
                  <w:szCs w:val="18"/>
                  <w:color w:val="0000FF"/>
                  <w:w w:val="95"/>
                </w:rPr>
                <w:t>February 1, 2020. Incorporated by reference to Exhibit 10.23 to the Company’s Annual Report on Form 10-K for the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92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December 31, 2019 filed on March 16, 2020 (File No. 001-38942).</w:t>
              </w:r>
            </w:hyperlink>
          </w:p>
        </w:tc>
        <w:tc>
          <w:tcPr>
            <w:tcW w:w="8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10.23**</w:t>
            </w:r>
          </w:p>
        </w:tc>
        <w:tc>
          <w:tcPr>
            <w:tcW w:w="10020" w:type="dxa"/>
            <w:vAlign w:val="bottom"/>
            <w:gridSpan w:val="45"/>
          </w:tcPr>
          <w:p>
            <w:pPr>
              <w:spacing w:after="0"/>
              <w:rPr>
                <w:rFonts w:ascii="Arial" w:cs="Arial" w:eastAsia="Arial" w:hAnsi="Arial"/>
                <w:sz w:val="18"/>
                <w:szCs w:val="18"/>
                <w:color w:val="0000FF"/>
                <w:w w:val="92"/>
              </w:rPr>
            </w:pPr>
            <w:hyperlink r:id="rId184">
              <w:r>
                <w:rPr>
                  <w:rFonts w:ascii="Arial" w:cs="Arial" w:eastAsia="Arial" w:hAnsi="Arial"/>
                  <w:sz w:val="18"/>
                  <w:szCs w:val="18"/>
                  <w:color w:val="0000FF"/>
                  <w:w w:val="92"/>
                </w:rPr>
                <w:t>Acceptance Letter, dated March 4, 2020, by and between Arcturus Therapeutics Holdings Inc. and the Economic Development Board of</w:t>
              </w:r>
            </w:hyperlink>
          </w:p>
        </w:tc>
      </w:tr>
      <w:tr>
        <w:trPr>
          <w:trHeight w:val="156"/>
        </w:trPr>
        <w:tc>
          <w:tcPr>
            <w:tcW w:w="1280" w:type="dxa"/>
            <w:vAlign w:val="bottom"/>
          </w:tcPr>
          <w:p>
            <w:pPr>
              <w:spacing w:after="0"/>
              <w:rPr>
                <w:sz w:val="13"/>
                <w:szCs w:val="13"/>
                <w:color w:val="auto"/>
              </w:rPr>
            </w:pPr>
          </w:p>
        </w:tc>
        <w:tc>
          <w:tcPr>
            <w:tcW w:w="9900" w:type="dxa"/>
            <w:vAlign w:val="bottom"/>
            <w:tcBorders>
              <w:top w:val="single" w:sz="8" w:color="0000FF"/>
            </w:tcBorders>
            <w:gridSpan w:val="39"/>
          </w:tcPr>
          <w:p>
            <w:pPr>
              <w:spacing w:after="0" w:line="156"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Singapore. Incorporated by reference to Exhibit 10.24 to the Company’s Annual Report on Form 10-K for the year ended December 31,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986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2019 filed on March 16, 2020 (File No. 001-38942).</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10.24**</w:t>
            </w:r>
          </w:p>
        </w:tc>
        <w:tc>
          <w:tcPr>
            <w:tcW w:w="10020" w:type="dxa"/>
            <w:vAlign w:val="bottom"/>
            <w:gridSpan w:val="45"/>
          </w:tcPr>
          <w:p>
            <w:pPr>
              <w:spacing w:after="0"/>
              <w:rPr>
                <w:rFonts w:ascii="Arial" w:cs="Arial" w:eastAsia="Arial" w:hAnsi="Arial"/>
                <w:sz w:val="18"/>
                <w:szCs w:val="18"/>
                <w:color w:val="0000FF"/>
                <w:w w:val="93"/>
              </w:rPr>
            </w:pPr>
            <w:hyperlink r:id="rId185">
              <w:r>
                <w:rPr>
                  <w:rFonts w:ascii="Arial" w:cs="Arial" w:eastAsia="Arial" w:hAnsi="Arial"/>
                  <w:sz w:val="18"/>
                  <w:szCs w:val="18"/>
                  <w:color w:val="0000FF"/>
                  <w:w w:val="93"/>
                </w:rPr>
                <w:t>Supply Agreement, dated August 17, 2020, by and between Arcturus Therapeutics, Inc. and the Israeli Ministry of Health. Incorporated</w:t>
              </w:r>
            </w:hyperlink>
          </w:p>
        </w:tc>
      </w:tr>
      <w:tr>
        <w:trPr>
          <w:trHeight w:val="155"/>
        </w:trPr>
        <w:tc>
          <w:tcPr>
            <w:tcW w:w="1280" w:type="dxa"/>
            <w:vAlign w:val="bottom"/>
          </w:tcPr>
          <w:p>
            <w:pPr>
              <w:spacing w:after="0"/>
              <w:rPr>
                <w:sz w:val="13"/>
                <w:szCs w:val="13"/>
                <w:color w:val="auto"/>
              </w:rPr>
            </w:pPr>
          </w:p>
        </w:tc>
        <w:tc>
          <w:tcPr>
            <w:tcW w:w="98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by reference to Exhibit 10.32 to Quarterly Report on Form 10-Q filed on November 9, 2020 (File No. 001-38942).</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220" w:type="dxa"/>
            <w:vAlign w:val="bottom"/>
            <w:tcBorders>
              <w:right w:val="single" w:sz="8" w:color="0000EE"/>
            </w:tcBorders>
            <w:gridSpan w:val="8"/>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10.25**</w:t>
            </w:r>
          </w:p>
        </w:tc>
        <w:tc>
          <w:tcPr>
            <w:tcW w:w="10020" w:type="dxa"/>
            <w:vAlign w:val="bottom"/>
            <w:gridSpan w:val="45"/>
          </w:tcPr>
          <w:p>
            <w:pPr>
              <w:spacing w:after="0"/>
              <w:rPr>
                <w:rFonts w:ascii="Arial" w:cs="Arial" w:eastAsia="Arial" w:hAnsi="Arial"/>
                <w:sz w:val="18"/>
                <w:szCs w:val="18"/>
                <w:color w:val="0000FF"/>
                <w:w w:val="94"/>
              </w:rPr>
            </w:pPr>
            <w:hyperlink r:id="rId186">
              <w:r>
                <w:rPr>
                  <w:rFonts w:ascii="Arial" w:cs="Arial" w:eastAsia="Arial" w:hAnsi="Arial"/>
                  <w:sz w:val="18"/>
                  <w:szCs w:val="18"/>
                  <w:color w:val="0000FF"/>
                  <w:w w:val="94"/>
                </w:rPr>
                <w:t>Manufacturing Support Agreement, dated November 7, 2020, by and between Arcturus Therapeutics Holdings Inc. and the Economic</w:t>
              </w:r>
            </w:hyperlink>
          </w:p>
        </w:tc>
      </w:tr>
      <w:tr>
        <w:trPr>
          <w:trHeight w:val="155"/>
        </w:trPr>
        <w:tc>
          <w:tcPr>
            <w:tcW w:w="128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Development Board of Singapore. Incorporated by reference to Exhibit 10.33 to Quarterly Report on Form 10-Q filed on November 9,</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9760" w:type="dxa"/>
            <w:vAlign w:val="bottom"/>
            <w:gridSpan w:val="32"/>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2020 (File No. 001-38942).</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10.26</w:t>
            </w:r>
          </w:p>
        </w:tc>
        <w:tc>
          <w:tcPr>
            <w:tcW w:w="10020" w:type="dxa"/>
            <w:vAlign w:val="bottom"/>
            <w:gridSpan w:val="45"/>
          </w:tcPr>
          <w:p>
            <w:pPr>
              <w:spacing w:after="0"/>
              <w:rPr>
                <w:rFonts w:ascii="Arial" w:cs="Arial" w:eastAsia="Arial" w:hAnsi="Arial"/>
                <w:sz w:val="18"/>
                <w:szCs w:val="18"/>
                <w:color w:val="0000FF"/>
                <w:w w:val="91"/>
              </w:rPr>
            </w:pPr>
            <w:hyperlink r:id="rId187">
              <w:r>
                <w:rPr>
                  <w:rFonts w:ascii="Arial" w:cs="Arial" w:eastAsia="Arial" w:hAnsi="Arial"/>
                  <w:sz w:val="18"/>
                  <w:szCs w:val="18"/>
                  <w:color w:val="0000FF"/>
                  <w:w w:val="91"/>
                </w:rPr>
                <w:t>Fourth Amendment to Loan and Security Agreement, dated December 1, 2020, by and between Arcturus Therapeutics, Inc. and Western</w:t>
              </w:r>
            </w:hyperlink>
          </w:p>
        </w:tc>
      </w:tr>
      <w:tr>
        <w:trPr>
          <w:trHeight w:val="155"/>
        </w:trPr>
        <w:tc>
          <w:tcPr>
            <w:tcW w:w="128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2"/>
              </w:rPr>
            </w:pPr>
            <w:hyperlink r:id="rId187">
              <w:r>
                <w:rPr>
                  <w:rFonts w:ascii="Arial" w:cs="Arial" w:eastAsia="Arial" w:hAnsi="Arial"/>
                  <w:sz w:val="18"/>
                  <w:szCs w:val="18"/>
                  <w:color w:val="0000FF"/>
                  <w:w w:val="92"/>
                </w:rPr>
                <w:t>Alliance Bank. Incorporated by reference to Exhibit 10.1 to Form 8-K filed on December 7, 2020 (File No. 001-38942).</w:t>
              </w:r>
            </w:hyperlink>
          </w:p>
        </w:tc>
        <w:tc>
          <w:tcPr>
            <w:tcW w:w="20" w:type="dxa"/>
            <w:vAlign w:val="bottom"/>
            <w:tcBorders>
              <w:top w:val="single" w:sz="8" w:color="0000FF"/>
              <w:bottom w:val="single" w:sz="8" w:color="0000EE"/>
            </w:tcBorders>
          </w:tcPr>
          <w:p>
            <w:pPr>
              <w:spacing w:after="0"/>
              <w:rPr>
                <w:sz w:val="13"/>
                <w:szCs w:val="13"/>
                <w:color w:val="auto"/>
              </w:rPr>
            </w:pPr>
          </w:p>
        </w:tc>
        <w:tc>
          <w:tcPr>
            <w:tcW w:w="126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10.27†</w:t>
            </w:r>
          </w:p>
        </w:tc>
        <w:tc>
          <w:tcPr>
            <w:tcW w:w="10020" w:type="dxa"/>
            <w:vAlign w:val="bottom"/>
            <w:gridSpan w:val="45"/>
          </w:tcPr>
          <w:p>
            <w:pPr>
              <w:spacing w:after="0"/>
              <w:rPr>
                <w:rFonts w:ascii="Arial" w:cs="Arial" w:eastAsia="Arial" w:hAnsi="Arial"/>
                <w:sz w:val="18"/>
                <w:szCs w:val="18"/>
                <w:color w:val="0000FF"/>
                <w:w w:val="97"/>
              </w:rPr>
            </w:pPr>
            <w:hyperlink r:id="rId161">
              <w:r>
                <w:rPr>
                  <w:rFonts w:ascii="Arial" w:cs="Arial" w:eastAsia="Arial" w:hAnsi="Arial"/>
                  <w:sz w:val="18"/>
                  <w:szCs w:val="18"/>
                  <w:color w:val="0000FF"/>
                  <w:w w:val="97"/>
                </w:rPr>
                <w:t>2020 Employee Stock Purchase Plan. Incorporated by reference to Exhibit 4.3 to Form S-8 filed on August 5, 2020 (File No. 333-</w:t>
              </w:r>
            </w:hyperlink>
          </w:p>
        </w:tc>
      </w:tr>
      <w:tr>
        <w:trPr>
          <w:trHeight w:val="155"/>
        </w:trPr>
        <w:tc>
          <w:tcPr>
            <w:tcW w:w="1280" w:type="dxa"/>
            <w:vAlign w:val="bottom"/>
          </w:tcPr>
          <w:p>
            <w:pPr>
              <w:spacing w:after="0"/>
              <w:rPr>
                <w:sz w:val="13"/>
                <w:szCs w:val="13"/>
                <w:color w:val="auto"/>
              </w:rPr>
            </w:pPr>
          </w:p>
        </w:tc>
        <w:tc>
          <w:tcPr>
            <w:tcW w:w="6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r:id="rId161">
              <w:r>
                <w:rPr>
                  <w:rFonts w:ascii="Arial" w:cs="Arial" w:eastAsia="Arial" w:hAnsi="Arial"/>
                  <w:sz w:val="18"/>
                  <w:szCs w:val="18"/>
                  <w:color w:val="0000FF"/>
                  <w:w w:val="87"/>
                </w:rPr>
                <w:t>240392).</w:t>
              </w:r>
            </w:hyperlink>
          </w:p>
        </w:tc>
        <w:tc>
          <w:tcPr>
            <w:tcW w:w="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10.28</w:t>
            </w:r>
          </w:p>
        </w:tc>
        <w:tc>
          <w:tcPr>
            <w:tcW w:w="10020" w:type="dxa"/>
            <w:vAlign w:val="bottom"/>
            <w:gridSpan w:val="45"/>
          </w:tcPr>
          <w:p>
            <w:pPr>
              <w:spacing w:after="0"/>
              <w:rPr>
                <w:rFonts w:ascii="Arial" w:cs="Arial" w:eastAsia="Arial" w:hAnsi="Arial"/>
                <w:sz w:val="18"/>
                <w:szCs w:val="18"/>
                <w:color w:val="0000FF"/>
                <w:w w:val="91"/>
              </w:rPr>
            </w:pPr>
            <w:hyperlink r:id="rId188">
              <w:r>
                <w:rPr>
                  <w:rFonts w:ascii="Arial" w:cs="Arial" w:eastAsia="Arial" w:hAnsi="Arial"/>
                  <w:sz w:val="18"/>
                  <w:szCs w:val="18"/>
                  <w:color w:val="0000FF"/>
                  <w:w w:val="91"/>
                </w:rPr>
                <w:t>Second Amendment to Lease, by and between Arcturus Therapeutics, Inc. and ARE-SD Region No. 44, LLC, dated November 13, 2020.</w:t>
              </w:r>
            </w:hyperlink>
          </w:p>
        </w:tc>
      </w:tr>
      <w:tr>
        <w:trPr>
          <w:trHeight w:val="155"/>
        </w:trPr>
        <w:tc>
          <w:tcPr>
            <w:tcW w:w="1280" w:type="dxa"/>
            <w:vAlign w:val="bottom"/>
          </w:tcPr>
          <w:p>
            <w:pPr>
              <w:spacing w:after="0"/>
              <w:rPr>
                <w:sz w:val="13"/>
                <w:szCs w:val="13"/>
                <w:color w:val="auto"/>
              </w:rPr>
            </w:pPr>
          </w:p>
        </w:tc>
        <w:tc>
          <w:tcPr>
            <w:tcW w:w="9980" w:type="dxa"/>
            <w:vAlign w:val="bottom"/>
            <w:tcBorders>
              <w:top w:val="single" w:sz="8" w:color="0000FF"/>
            </w:tcBorders>
            <w:gridSpan w:val="43"/>
          </w:tcPr>
          <w:p>
            <w:pPr>
              <w:spacing w:after="0" w:line="156" w:lineRule="exact"/>
              <w:rPr>
                <w:rFonts w:ascii="Arial" w:cs="Arial" w:eastAsia="Arial" w:hAnsi="Arial"/>
                <w:sz w:val="18"/>
                <w:szCs w:val="18"/>
                <w:color w:val="0000FF"/>
                <w:w w:val="93"/>
              </w:rPr>
            </w:pPr>
            <w:hyperlink r:id="rId188">
              <w:r>
                <w:rPr>
                  <w:rFonts w:ascii="Arial" w:cs="Arial" w:eastAsia="Arial" w:hAnsi="Arial"/>
                  <w:sz w:val="18"/>
                  <w:szCs w:val="18"/>
                  <w:color w:val="0000FF"/>
                  <w:w w:val="93"/>
                </w:rPr>
                <w:t>Incorporated by reference to Exhibit 10.29 to the Company’s Annual Report on Form 10-K for the year ended December 31, 2020 filed</w:t>
              </w:r>
            </w:hyperlink>
          </w:p>
        </w:tc>
        <w:tc>
          <w:tcPr>
            <w:tcW w:w="40" w:type="dxa"/>
            <w:vAlign w:val="bottom"/>
            <w:gridSpan w:val="2"/>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98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on March 1, 2020 (File No. 001-38942).</w:t>
              </w:r>
            </w:hyperlink>
          </w:p>
        </w:tc>
        <w:tc>
          <w:tcPr>
            <w:tcW w:w="220" w:type="dxa"/>
            <w:vAlign w:val="bottom"/>
            <w:gridSpan w:val="11"/>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920" w:type="dxa"/>
            <w:vAlign w:val="bottom"/>
            <w:tcBorders>
              <w:right w:val="single" w:sz="8" w:color="0000EE"/>
            </w:tcBorders>
            <w:gridSpan w:val="7"/>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2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r>
      <w:tr>
        <w:trPr>
          <w:trHeight w:val="317"/>
        </w:trPr>
        <w:tc>
          <w:tcPr>
            <w:tcW w:w="1280" w:type="dxa"/>
            <w:vAlign w:val="bottom"/>
          </w:tcPr>
          <w:p>
            <w:pPr>
              <w:ind w:left="20"/>
              <w:spacing w:after="0"/>
              <w:rPr>
                <w:sz w:val="20"/>
                <w:szCs w:val="20"/>
                <w:color w:val="auto"/>
              </w:rPr>
            </w:pPr>
            <w:r>
              <w:rPr>
                <w:rFonts w:ascii="Arial" w:cs="Arial" w:eastAsia="Arial" w:hAnsi="Arial"/>
                <w:sz w:val="18"/>
                <w:szCs w:val="18"/>
                <w:color w:val="auto"/>
              </w:rPr>
              <w:t>10.29</w:t>
            </w:r>
          </w:p>
        </w:tc>
        <w:tc>
          <w:tcPr>
            <w:tcW w:w="10020" w:type="dxa"/>
            <w:vAlign w:val="bottom"/>
            <w:gridSpan w:val="45"/>
          </w:tcPr>
          <w:p>
            <w:pPr>
              <w:spacing w:after="0"/>
              <w:rPr>
                <w:rFonts w:ascii="Arial" w:cs="Arial" w:eastAsia="Arial" w:hAnsi="Arial"/>
                <w:sz w:val="18"/>
                <w:szCs w:val="18"/>
                <w:color w:val="0000FF"/>
                <w:w w:val="94"/>
              </w:rPr>
            </w:pPr>
            <w:hyperlink r:id="rId189">
              <w:r>
                <w:rPr>
                  <w:rFonts w:ascii="Arial" w:cs="Arial" w:eastAsia="Arial" w:hAnsi="Arial"/>
                  <w:sz w:val="18"/>
                  <w:szCs w:val="18"/>
                  <w:color w:val="0000FF"/>
                  <w:w w:val="94"/>
                </w:rPr>
                <w:t>Third Amendment to Lease, by and between Arcturus Therapeutics, Inc. and ARE-SD Region No. 44, LLC, dated February 25, 2021.</w:t>
              </w:r>
            </w:hyperlink>
          </w:p>
        </w:tc>
      </w:tr>
      <w:tr>
        <w:trPr>
          <w:trHeight w:val="156"/>
        </w:trPr>
        <w:tc>
          <w:tcPr>
            <w:tcW w:w="1280" w:type="dxa"/>
            <w:vAlign w:val="bottom"/>
          </w:tcPr>
          <w:p>
            <w:pPr>
              <w:spacing w:after="0"/>
              <w:rPr>
                <w:sz w:val="13"/>
                <w:szCs w:val="13"/>
                <w:color w:val="auto"/>
              </w:rPr>
            </w:pPr>
          </w:p>
        </w:tc>
        <w:tc>
          <w:tcPr>
            <w:tcW w:w="9720" w:type="dxa"/>
            <w:vAlign w:val="bottom"/>
            <w:tcBorders>
              <w:top w:val="single" w:sz="8" w:color="0000FF"/>
            </w:tcBorders>
            <w:gridSpan w:val="30"/>
          </w:tcPr>
          <w:p>
            <w:pPr>
              <w:spacing w:after="0" w:line="156" w:lineRule="exact"/>
              <w:rPr>
                <w:rFonts w:ascii="Arial" w:cs="Arial" w:eastAsia="Arial" w:hAnsi="Arial"/>
                <w:sz w:val="18"/>
                <w:szCs w:val="18"/>
                <w:color w:val="0000FF"/>
                <w:w w:val="90"/>
              </w:rPr>
            </w:pPr>
            <w:hyperlink r:id="rId189">
              <w:r>
                <w:rPr>
                  <w:rFonts w:ascii="Arial" w:cs="Arial" w:eastAsia="Arial" w:hAnsi="Arial"/>
                  <w:sz w:val="18"/>
                  <w:szCs w:val="18"/>
                  <w:color w:val="0000FF"/>
                  <w:w w:val="90"/>
                </w:rPr>
                <w:t>Incorporated by reference to Exhibit 10.30 to the Company’s Annual Report on Form 10-K for the year ended December 31, 2020 filed</w:t>
              </w:r>
            </w:hyperlink>
          </w:p>
        </w:tc>
        <w:tc>
          <w:tcPr>
            <w:tcW w:w="300" w:type="dxa"/>
            <w:vAlign w:val="bottom"/>
            <w:gridSpan w:val="15"/>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98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89">
              <w:r>
                <w:rPr>
                  <w:rFonts w:ascii="Arial" w:cs="Arial" w:eastAsia="Arial" w:hAnsi="Arial"/>
                  <w:sz w:val="18"/>
                  <w:szCs w:val="18"/>
                  <w:color w:val="0000FF"/>
                </w:rPr>
                <w:t>on March 1, 2020 (File No. 001-38942).</w:t>
              </w:r>
            </w:hyperlink>
          </w:p>
        </w:tc>
        <w:tc>
          <w:tcPr>
            <w:tcW w:w="220" w:type="dxa"/>
            <w:vAlign w:val="bottom"/>
            <w:gridSpan w:val="11"/>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920" w:type="dxa"/>
            <w:vAlign w:val="bottom"/>
            <w:tcBorders>
              <w:right w:val="single" w:sz="8" w:color="0000EE"/>
            </w:tcBorders>
            <w:gridSpan w:val="7"/>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20" w:type="dxa"/>
            <w:vAlign w:val="bottom"/>
            <w:gridSpan w:val="18"/>
          </w:tcPr>
          <w:p>
            <w:pPr>
              <w:spacing w:after="0" w:line="20" w:lineRule="exact"/>
              <w:rPr>
                <w:sz w:val="1"/>
                <w:szCs w:val="1"/>
                <w:color w:val="auto"/>
              </w:rPr>
            </w:pPr>
          </w:p>
        </w:tc>
        <w:tc>
          <w:tcPr>
            <w:tcW w:w="360" w:type="dxa"/>
            <w:vAlign w:val="bottom"/>
            <w:gridSpan w:val="18"/>
          </w:tcPr>
          <w:p>
            <w:pPr>
              <w:spacing w:after="0" w:line="20" w:lineRule="exact"/>
              <w:rPr>
                <w:sz w:val="1"/>
                <w:szCs w:val="1"/>
                <w:color w:val="auto"/>
              </w:rPr>
            </w:pPr>
          </w:p>
        </w:tc>
      </w:tr>
      <w:tr>
        <w:trPr>
          <w:trHeight w:val="318"/>
        </w:trPr>
        <w:tc>
          <w:tcPr>
            <w:tcW w:w="1280" w:type="dxa"/>
            <w:vAlign w:val="bottom"/>
          </w:tcPr>
          <w:p>
            <w:pPr>
              <w:ind w:left="20"/>
              <w:spacing w:after="0"/>
              <w:rPr>
                <w:sz w:val="20"/>
                <w:szCs w:val="20"/>
                <w:color w:val="auto"/>
              </w:rPr>
            </w:pPr>
            <w:r>
              <w:rPr>
                <w:rFonts w:ascii="Arial" w:cs="Arial" w:eastAsia="Arial" w:hAnsi="Arial"/>
                <w:sz w:val="18"/>
                <w:szCs w:val="18"/>
                <w:color w:val="auto"/>
              </w:rPr>
              <w:t>10.30</w:t>
            </w:r>
          </w:p>
        </w:tc>
        <w:tc>
          <w:tcPr>
            <w:tcW w:w="10020" w:type="dxa"/>
            <w:vAlign w:val="bottom"/>
            <w:gridSpan w:val="45"/>
          </w:tcPr>
          <w:p>
            <w:pPr>
              <w:spacing w:after="0"/>
              <w:rPr>
                <w:rFonts w:ascii="Arial" w:cs="Arial" w:eastAsia="Arial" w:hAnsi="Arial"/>
                <w:sz w:val="18"/>
                <w:szCs w:val="18"/>
                <w:color w:val="0000FF"/>
                <w:w w:val="95"/>
              </w:rPr>
            </w:pPr>
            <w:hyperlink r:id="rId190">
              <w:r>
                <w:rPr>
                  <w:rFonts w:ascii="Arial" w:cs="Arial" w:eastAsia="Arial" w:hAnsi="Arial"/>
                  <w:sz w:val="18"/>
                  <w:szCs w:val="18"/>
                  <w:color w:val="0000FF"/>
                  <w:w w:val="95"/>
                </w:rPr>
                <w:t>Arcturus Therapeutics Holdings Inc. Severance Policy for Executives. Incorporated by reference to Exhibit 10.1 to Current Report on</w:t>
              </w:r>
            </w:hyperlink>
          </w:p>
        </w:tc>
      </w:tr>
      <w:tr>
        <w:trPr>
          <w:trHeight w:val="155"/>
        </w:trPr>
        <w:tc>
          <w:tcPr>
            <w:tcW w:w="128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Form 8-K filed on April 26, 2021 (File No. 001-38942).</w:t>
              </w:r>
            </w:hyperlink>
          </w:p>
        </w:tc>
        <w:tc>
          <w:tcPr>
            <w:tcW w:w="5620" w:type="dxa"/>
            <w:vAlign w:val="bottom"/>
            <w:tcBorders>
              <w:top w:val="single" w:sz="8" w:color="0000FF"/>
            </w:tcBorders>
            <w:gridSpan w:val="18"/>
          </w:tcPr>
          <w:p>
            <w:pPr>
              <w:spacing w:after="0"/>
              <w:rPr>
                <w:sz w:val="13"/>
                <w:szCs w:val="13"/>
                <w:color w:val="auto"/>
              </w:rPr>
            </w:pPr>
          </w:p>
        </w:tc>
        <w:tc>
          <w:tcPr>
            <w:tcW w:w="360" w:type="dxa"/>
            <w:vAlign w:val="bottom"/>
            <w:gridSpan w:val="18"/>
          </w:tcPr>
          <w:p>
            <w:pPr>
              <w:spacing w:after="0"/>
              <w:rPr>
                <w:sz w:val="13"/>
                <w:szCs w:val="13"/>
                <w:color w:val="auto"/>
              </w:rPr>
            </w:pPr>
          </w:p>
        </w:tc>
      </w:tr>
      <w:tr>
        <w:trPr>
          <w:trHeight w:val="642"/>
        </w:trPr>
        <w:tc>
          <w:tcPr>
            <w:tcW w:w="1280" w:type="dxa"/>
            <w:vAlign w:val="bottom"/>
          </w:tcPr>
          <w:p>
            <w:pPr>
              <w:spacing w:after="0"/>
              <w:rPr>
                <w:sz w:val="24"/>
                <w:szCs w:val="24"/>
                <w:color w:val="auto"/>
              </w:rPr>
            </w:pPr>
          </w:p>
        </w:tc>
        <w:tc>
          <w:tcPr>
            <w:tcW w:w="4840" w:type="dxa"/>
            <w:vAlign w:val="bottom"/>
            <w:gridSpan w:val="11"/>
          </w:tcPr>
          <w:p>
            <w:pPr>
              <w:ind w:left="4260"/>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10.31</w:t>
            </w:r>
          </w:p>
        </w:tc>
        <w:tc>
          <w:tcPr>
            <w:tcW w:w="9940" w:type="dxa"/>
            <w:vAlign w:val="bottom"/>
            <w:gridSpan w:val="24"/>
          </w:tcPr>
          <w:p>
            <w:pPr>
              <w:spacing w:after="0"/>
              <w:rPr>
                <w:rFonts w:ascii="Arial" w:cs="Arial" w:eastAsia="Arial" w:hAnsi="Arial"/>
                <w:sz w:val="18"/>
                <w:szCs w:val="18"/>
                <w:color w:val="0000FF"/>
                <w:w w:val="95"/>
              </w:rPr>
            </w:pPr>
            <w:hyperlink r:id="rId193">
              <w:r>
                <w:rPr>
                  <w:rFonts w:ascii="Arial" w:cs="Arial" w:eastAsia="Arial" w:hAnsi="Arial"/>
                  <w:sz w:val="18"/>
                  <w:szCs w:val="18"/>
                  <w:color w:val="0000FF"/>
                  <w:w w:val="95"/>
                </w:rPr>
                <w:t>Technology License and Technical Support Agreement, signed July 29, 2021 and effective July 30, 2021, by and between Arcturus</w:t>
              </w:r>
            </w:hyperlink>
          </w:p>
        </w:tc>
      </w:tr>
      <w:tr>
        <w:trPr>
          <w:trHeight w:val="155"/>
        </w:trPr>
        <w:tc>
          <w:tcPr>
            <w:tcW w:w="1260" w:type="dxa"/>
            <w:vAlign w:val="bottom"/>
          </w:tcPr>
          <w:p>
            <w:pPr>
              <w:spacing w:after="0"/>
              <w:rPr>
                <w:sz w:val="13"/>
                <w:szCs w:val="13"/>
                <w:color w:val="auto"/>
              </w:rPr>
            </w:pPr>
          </w:p>
        </w:tc>
        <w:tc>
          <w:tcPr>
            <w:tcW w:w="946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Therapeutics, Inc. and Vinbiocare Research and Manufacture Joint Stock Company. Incorporated by reference to Exhibit 10.32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Quarterly Report on Form 10-Q filed on August 10, 2021 (File No. 001-38942).</w:t>
              </w:r>
            </w:hyperlink>
          </w:p>
        </w:tc>
        <w:tc>
          <w:tcPr>
            <w:tcW w:w="20" w:type="dxa"/>
            <w:vAlign w:val="bottom"/>
            <w:tcBorders>
              <w:top w:val="single" w:sz="8" w:color="0000FF"/>
              <w:bottom w:val="single" w:sz="8" w:color="0000EE"/>
            </w:tcBorders>
          </w:tcPr>
          <w:p>
            <w:pPr>
              <w:spacing w:after="0"/>
              <w:rPr>
                <w:sz w:val="13"/>
                <w:szCs w:val="13"/>
                <w:color w:val="auto"/>
              </w:rPr>
            </w:pPr>
          </w:p>
        </w:tc>
        <w:tc>
          <w:tcPr>
            <w:tcW w:w="360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10.32</w:t>
            </w:r>
          </w:p>
        </w:tc>
        <w:tc>
          <w:tcPr>
            <w:tcW w:w="9940" w:type="dxa"/>
            <w:vAlign w:val="bottom"/>
            <w:tcBorders>
              <w:bottom w:val="single" w:sz="8" w:color="0000FF"/>
            </w:tcBorders>
            <w:gridSpan w:val="24"/>
          </w:tcPr>
          <w:p>
            <w:pPr>
              <w:spacing w:after="0"/>
              <w:rPr>
                <w:rFonts w:ascii="Arial" w:cs="Arial" w:eastAsia="Arial" w:hAnsi="Arial"/>
                <w:sz w:val="18"/>
                <w:szCs w:val="18"/>
                <w:color w:val="0000FF"/>
                <w:w w:val="90"/>
              </w:rPr>
            </w:pPr>
            <w:hyperlink r:id="rId194">
              <w:r>
                <w:rPr>
                  <w:rFonts w:ascii="Arial" w:cs="Arial" w:eastAsia="Arial" w:hAnsi="Arial"/>
                  <w:sz w:val="18"/>
                  <w:szCs w:val="18"/>
                  <w:color w:val="0000FF"/>
                  <w:w w:val="90"/>
                </w:rPr>
                <w:t>Framework Drug Substance Supply Agreement, signed July 29, 2021 and effective July 30, 2021, by and between Arcturus Therapeutics,</w:t>
              </w:r>
            </w:hyperlink>
          </w:p>
        </w:tc>
      </w:tr>
      <w:tr>
        <w:trPr>
          <w:trHeight w:val="155"/>
        </w:trPr>
        <w:tc>
          <w:tcPr>
            <w:tcW w:w="1260" w:type="dxa"/>
            <w:vAlign w:val="bottom"/>
          </w:tcPr>
          <w:p>
            <w:pPr>
              <w:spacing w:after="0"/>
              <w:rPr>
                <w:sz w:val="13"/>
                <w:szCs w:val="13"/>
                <w:color w:val="auto"/>
              </w:rPr>
            </w:pPr>
          </w:p>
        </w:tc>
        <w:tc>
          <w:tcPr>
            <w:tcW w:w="9940" w:type="dxa"/>
            <w:vAlign w:val="bottom"/>
            <w:gridSpan w:val="24"/>
          </w:tcPr>
          <w:p>
            <w:pPr>
              <w:spacing w:after="0" w:line="156" w:lineRule="exact"/>
              <w:rPr>
                <w:rFonts w:ascii="Arial" w:cs="Arial" w:eastAsia="Arial" w:hAnsi="Arial"/>
                <w:sz w:val="18"/>
                <w:szCs w:val="18"/>
                <w:color w:val="0000FF"/>
                <w:w w:val="91"/>
              </w:rPr>
            </w:pPr>
            <w:hyperlink r:id="rId194">
              <w:r>
                <w:rPr>
                  <w:rFonts w:ascii="Arial" w:cs="Arial" w:eastAsia="Arial" w:hAnsi="Arial"/>
                  <w:sz w:val="18"/>
                  <w:szCs w:val="18"/>
                  <w:color w:val="0000FF"/>
                  <w:w w:val="91"/>
                </w:rPr>
                <w:t>Inc. and Vinbiocare Research and Manufacture Joint Stock Company. Incorporated by reference to Exhibit 10.33 to Quarterly Report on</w:t>
              </w:r>
            </w:hyperlink>
          </w:p>
        </w:tc>
      </w:tr>
      <w:tr>
        <w:trPr>
          <w:trHeight w:val="156"/>
        </w:trPr>
        <w:tc>
          <w:tcPr>
            <w:tcW w:w="1260" w:type="dxa"/>
            <w:vAlign w:val="bottom"/>
          </w:tcPr>
          <w:p>
            <w:pPr>
              <w:spacing w:after="0"/>
              <w:rPr>
                <w:sz w:val="13"/>
                <w:szCs w:val="13"/>
                <w:color w:val="auto"/>
              </w:rPr>
            </w:pPr>
          </w:p>
        </w:tc>
        <w:tc>
          <w:tcPr>
            <w:tcW w:w="98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Form 10-Q filed on August 10, 2021 (File No. 001-38942).</w:t>
              </w:r>
            </w:hyperlink>
          </w:p>
        </w:tc>
        <w:tc>
          <w:tcPr>
            <w:tcW w:w="10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10.33</w:t>
            </w:r>
          </w:p>
        </w:tc>
        <w:tc>
          <w:tcPr>
            <w:tcW w:w="9940" w:type="dxa"/>
            <w:vAlign w:val="bottom"/>
            <w:gridSpan w:val="24"/>
          </w:tcPr>
          <w:p>
            <w:pPr>
              <w:spacing w:after="0"/>
              <w:rPr>
                <w:rFonts w:ascii="Arial" w:cs="Arial" w:eastAsia="Arial" w:hAnsi="Arial"/>
                <w:sz w:val="18"/>
                <w:szCs w:val="18"/>
                <w:color w:val="0000FF"/>
                <w:w w:val="93"/>
              </w:rPr>
            </w:pPr>
            <w:hyperlink r:id="rId195">
              <w:r>
                <w:rPr>
                  <w:rFonts w:ascii="Arial" w:cs="Arial" w:eastAsia="Arial" w:hAnsi="Arial"/>
                  <w:sz w:val="18"/>
                  <w:szCs w:val="18"/>
                  <w:color w:val="0000FF"/>
                  <w:w w:val="93"/>
                </w:rPr>
                <w:t>Fifth Amendment to Loan and Security Agreement, dated October 27, 2021, by and between Arcturus Therapeutics, Inc. and Western</w:t>
              </w:r>
            </w:hyperlink>
          </w:p>
        </w:tc>
      </w:tr>
      <w:tr>
        <w:trPr>
          <w:trHeight w:val="156"/>
        </w:trPr>
        <w:tc>
          <w:tcPr>
            <w:tcW w:w="126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95">
              <w:r>
                <w:rPr>
                  <w:rFonts w:ascii="Arial" w:cs="Arial" w:eastAsia="Arial" w:hAnsi="Arial"/>
                  <w:sz w:val="18"/>
                  <w:szCs w:val="18"/>
                  <w:color w:val="0000FF"/>
                  <w:w w:val="92"/>
                </w:rPr>
                <w:t>Alliance Bank. Incorporated by reference to Exhibit 10.34 to Form 10-Q filed on November 9, 2021 (File No. 001-38942).</w:t>
              </w:r>
            </w:hyperlink>
          </w:p>
        </w:tc>
        <w:tc>
          <w:tcPr>
            <w:tcW w:w="20" w:type="dxa"/>
            <w:vAlign w:val="bottom"/>
            <w:tcBorders>
              <w:top w:val="single" w:sz="8" w:color="0000FF"/>
              <w:bottom w:val="single" w:sz="8" w:color="0000EE"/>
            </w:tcBorders>
          </w:tcPr>
          <w:p>
            <w:pPr>
              <w:spacing w:after="0"/>
              <w:rPr>
                <w:sz w:val="13"/>
                <w:szCs w:val="13"/>
                <w:color w:val="auto"/>
              </w:rPr>
            </w:pPr>
          </w:p>
        </w:tc>
        <w:tc>
          <w:tcPr>
            <w:tcW w:w="800" w:type="dxa"/>
            <w:vAlign w:val="bottom"/>
            <w:tcBorders>
              <w:top w:val="single" w:sz="8" w:color="0000FF"/>
            </w:tcBorders>
            <w:gridSpan w:val="8"/>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10.34</w:t>
            </w:r>
          </w:p>
        </w:tc>
        <w:tc>
          <w:tcPr>
            <w:tcW w:w="9940" w:type="dxa"/>
            <w:vAlign w:val="bottom"/>
            <w:gridSpan w:val="24"/>
          </w:tcPr>
          <w:p>
            <w:pPr>
              <w:spacing w:after="0"/>
              <w:rPr>
                <w:rFonts w:ascii="Arial" w:cs="Arial" w:eastAsia="Arial" w:hAnsi="Arial"/>
                <w:sz w:val="18"/>
                <w:szCs w:val="18"/>
                <w:color w:val="0000FF"/>
                <w:w w:val="92"/>
              </w:rPr>
            </w:pPr>
            <w:hyperlink r:id="rId196">
              <w:r>
                <w:rPr>
                  <w:rFonts w:ascii="Arial" w:cs="Arial" w:eastAsia="Arial" w:hAnsi="Arial"/>
                  <w:sz w:val="18"/>
                  <w:szCs w:val="18"/>
                  <w:color w:val="0000FF"/>
                  <w:w w:val="92"/>
                </w:rPr>
                <w:t>Lease, by and between Arcturus Therapeutics, Inc. and TPSC IX, LLC, dated September 29, 2021. Incorporated by reference to Exhibit</w:t>
              </w:r>
            </w:hyperlink>
          </w:p>
        </w:tc>
      </w:tr>
      <w:tr>
        <w:trPr>
          <w:trHeight w:val="155"/>
        </w:trPr>
        <w:tc>
          <w:tcPr>
            <w:tcW w:w="1260" w:type="dxa"/>
            <w:vAlign w:val="bottom"/>
          </w:tcPr>
          <w:p>
            <w:pPr>
              <w:spacing w:after="0"/>
              <w:rPr>
                <w:sz w:val="13"/>
                <w:szCs w:val="13"/>
                <w:color w:val="auto"/>
              </w:rPr>
            </w:pPr>
          </w:p>
        </w:tc>
        <w:tc>
          <w:tcPr>
            <w:tcW w:w="98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10.</w:t>
              </w:r>
              <w:r>
                <w:rPr>
                  <w:rFonts w:ascii="Arial" w:cs="Arial" w:eastAsia="Arial" w:hAnsi="Arial"/>
                  <w:sz w:val="18"/>
                  <w:szCs w:val="18"/>
                  <w:u w:val="single" w:color="auto"/>
                  <w:color w:val="0000FF"/>
                </w:rPr>
                <w:t>35</w:t>
              </w:r>
              <w:r>
                <w:rPr>
                  <w:rFonts w:ascii="Arial" w:cs="Arial" w:eastAsia="Arial" w:hAnsi="Arial"/>
                  <w:sz w:val="18"/>
                  <w:szCs w:val="18"/>
                  <w:color w:val="0000FF"/>
                </w:rPr>
                <w:t xml:space="preserve"> to Form 10-Q filed on November 9, 2021 (File No. 001-38942).</w:t>
              </w:r>
            </w:hyperlink>
          </w:p>
        </w:tc>
        <w:tc>
          <w:tcPr>
            <w:tcW w:w="12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2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10.35†</w:t>
            </w:r>
          </w:p>
        </w:tc>
        <w:tc>
          <w:tcPr>
            <w:tcW w:w="9940" w:type="dxa"/>
            <w:vAlign w:val="bottom"/>
            <w:gridSpan w:val="24"/>
          </w:tcPr>
          <w:p>
            <w:pPr>
              <w:spacing w:after="0"/>
              <w:rPr>
                <w:rFonts w:ascii="Arial" w:cs="Arial" w:eastAsia="Arial" w:hAnsi="Arial"/>
                <w:sz w:val="18"/>
                <w:szCs w:val="18"/>
                <w:color w:val="0000FF"/>
                <w:w w:val="93"/>
              </w:rPr>
            </w:pPr>
            <w:hyperlink r:id="rId197">
              <w:r>
                <w:rPr>
                  <w:rFonts w:ascii="Arial" w:cs="Arial" w:eastAsia="Arial" w:hAnsi="Arial"/>
                  <w:sz w:val="18"/>
                  <w:szCs w:val="18"/>
                  <w:color w:val="0000FF"/>
                  <w:w w:val="93"/>
                </w:rPr>
                <w:t>Arcturus Therapeutics Holdings Inc. 2021 Inducement Equity Incentive Plan. Incorporated by reference Exhibit 4.1 to the Registration</w:t>
              </w:r>
            </w:hyperlink>
          </w:p>
        </w:tc>
      </w:tr>
      <w:tr>
        <w:trPr>
          <w:trHeight w:val="156"/>
        </w:trPr>
        <w:tc>
          <w:tcPr>
            <w:tcW w:w="1260" w:type="dxa"/>
            <w:vAlign w:val="bottom"/>
          </w:tcPr>
          <w:p>
            <w:pPr>
              <w:spacing w:after="0"/>
              <w:rPr>
                <w:sz w:val="13"/>
                <w:szCs w:val="13"/>
                <w:color w:val="auto"/>
              </w:rPr>
            </w:pPr>
          </w:p>
        </w:tc>
        <w:tc>
          <w:tcPr>
            <w:tcW w:w="97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Statement on Form S-8 filed on October 20, 2021 (File No. 333-260391).</w:t>
              </w:r>
            </w:hyperlink>
          </w:p>
        </w:tc>
        <w:tc>
          <w:tcPr>
            <w:tcW w:w="20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60" w:type="dxa"/>
            <w:vAlign w:val="bottom"/>
            <w:tcBorders>
              <w:right w:val="single" w:sz="8" w:color="0000EE"/>
            </w:tcBorders>
            <w:gridSpan w:val="3"/>
            <w:shd w:val="clear" w:color="auto" w:fill="0000FF"/>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10.36*</w:t>
            </w:r>
          </w:p>
        </w:tc>
        <w:tc>
          <w:tcPr>
            <w:tcW w:w="9940" w:type="dxa"/>
            <w:vAlign w:val="bottom"/>
            <w:gridSpan w:val="24"/>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Sixth Amendment to Loan and Security Agreement, dated April 19, 2022, by and between Arcturus Therapeutics, Inc. and Western</w:t>
              </w:r>
            </w:hyperlink>
          </w:p>
        </w:tc>
      </w:tr>
      <w:tr>
        <w:trPr>
          <w:trHeight w:val="155"/>
        </w:trPr>
        <w:tc>
          <w:tcPr>
            <w:tcW w:w="126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w:anchor="page37">
              <w:r>
                <w:rPr>
                  <w:rFonts w:ascii="Arial" w:cs="Arial" w:eastAsia="Arial" w:hAnsi="Arial"/>
                  <w:sz w:val="18"/>
                  <w:szCs w:val="18"/>
                  <w:color w:val="0000FF"/>
                  <w:w w:val="92"/>
                </w:rPr>
                <w:t>Alliance Bank.</w:t>
              </w:r>
            </w:hyperlink>
          </w:p>
        </w:tc>
        <w:tc>
          <w:tcPr>
            <w:tcW w:w="20" w:type="dxa"/>
            <w:vAlign w:val="bottom"/>
            <w:tcBorders>
              <w:top w:val="single" w:sz="8" w:color="0000FF"/>
              <w:bottom w:val="single" w:sz="8" w:color="0000EE"/>
            </w:tcBorders>
          </w:tcPr>
          <w:p>
            <w:pPr>
              <w:spacing w:after="0"/>
              <w:rPr>
                <w:sz w:val="13"/>
                <w:szCs w:val="13"/>
                <w:color w:val="auto"/>
              </w:rPr>
            </w:pPr>
          </w:p>
        </w:tc>
        <w:tc>
          <w:tcPr>
            <w:tcW w:w="840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5"/>
          </w:tcPr>
          <w:p>
            <w:pPr>
              <w:spacing w:after="0"/>
              <w:rPr>
                <w:sz w:val="13"/>
                <w:szCs w:val="13"/>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gridSpan w:val="24"/>
          </w:tcPr>
          <w:p>
            <w:pPr>
              <w:spacing w:after="0"/>
              <w:rPr>
                <w:rFonts w:ascii="Arial" w:cs="Arial" w:eastAsia="Arial" w:hAnsi="Arial"/>
                <w:sz w:val="18"/>
                <w:szCs w:val="18"/>
                <w:color w:val="0000FF"/>
                <w:w w:val="96"/>
              </w:rPr>
            </w:pPr>
            <w:hyperlink w:anchor="page44">
              <w:r>
                <w:rPr>
                  <w:rFonts w:ascii="Arial" w:cs="Arial" w:eastAsia="Arial" w:hAnsi="Arial"/>
                  <w:sz w:val="18"/>
                  <w:szCs w:val="18"/>
                  <w:color w:val="0000FF"/>
                  <w:w w:val="96"/>
                </w:rPr>
                <w:t>Certification of Principal Executive Officer Pursuant to Rule 13a-14(a) or 15d-14(a) under the Securities Exchange Act of 1934, as</w:t>
              </w:r>
            </w:hyperlink>
          </w:p>
        </w:tc>
      </w:tr>
      <w:tr>
        <w:trPr>
          <w:trHeight w:val="156"/>
        </w:trPr>
        <w:tc>
          <w:tcPr>
            <w:tcW w:w="126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44">
              <w:r>
                <w:rPr>
                  <w:rFonts w:ascii="Arial" w:cs="Arial" w:eastAsia="Arial" w:hAnsi="Arial"/>
                  <w:sz w:val="18"/>
                  <w:szCs w:val="18"/>
                  <w:color w:val="0000FF"/>
                  <w:w w:val="84"/>
                </w:rPr>
                <w:t>amended.</w:t>
              </w:r>
            </w:hyperlink>
          </w:p>
        </w:tc>
        <w:tc>
          <w:tcPr>
            <w:tcW w:w="40" w:type="dxa"/>
            <w:vAlign w:val="bottom"/>
            <w:tcBorders>
              <w:top w:val="single" w:sz="8" w:color="0000FF"/>
              <w:bottom w:val="single" w:sz="8" w:color="0000EE"/>
            </w:tcBorders>
          </w:tcPr>
          <w:p>
            <w:pPr>
              <w:spacing w:after="0"/>
              <w:rPr>
                <w:sz w:val="13"/>
                <w:szCs w:val="13"/>
                <w:color w:val="auto"/>
              </w:rPr>
            </w:pPr>
          </w:p>
        </w:tc>
        <w:tc>
          <w:tcPr>
            <w:tcW w:w="8740" w:type="dxa"/>
            <w:vAlign w:val="bottom"/>
            <w:tcBorders>
              <w:top w:val="single" w:sz="8" w:color="0000FF"/>
            </w:tcBorders>
            <w:gridSpan w:val="14"/>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5"/>
          </w:tcPr>
          <w:p>
            <w:pPr>
              <w:spacing w:after="0"/>
              <w:rPr>
                <w:sz w:val="13"/>
                <w:szCs w:val="13"/>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gridSpan w:val="24"/>
          </w:tcPr>
          <w:p>
            <w:pPr>
              <w:spacing w:after="0"/>
              <w:rPr>
                <w:rFonts w:ascii="Arial" w:cs="Arial" w:eastAsia="Arial" w:hAnsi="Arial"/>
                <w:sz w:val="18"/>
                <w:szCs w:val="18"/>
                <w:color w:val="0000FF"/>
                <w:w w:val="96"/>
              </w:rPr>
            </w:pPr>
            <w:hyperlink w:anchor="page45">
              <w:r>
                <w:rPr>
                  <w:rFonts w:ascii="Arial" w:cs="Arial" w:eastAsia="Arial" w:hAnsi="Arial"/>
                  <w:sz w:val="18"/>
                  <w:szCs w:val="18"/>
                  <w:color w:val="0000FF"/>
                  <w:w w:val="96"/>
                </w:rPr>
                <w:t>Certification by Principal Financial Officer pursuant to Rule 13a-14(a) or 15d-14(a) under the Securities Exchange Act of 1934, as</w:t>
              </w:r>
            </w:hyperlink>
          </w:p>
        </w:tc>
      </w:tr>
      <w:tr>
        <w:trPr>
          <w:trHeight w:val="155"/>
        </w:trPr>
        <w:tc>
          <w:tcPr>
            <w:tcW w:w="126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45">
              <w:r>
                <w:rPr>
                  <w:rFonts w:ascii="Arial" w:cs="Arial" w:eastAsia="Arial" w:hAnsi="Arial"/>
                  <w:sz w:val="18"/>
                  <w:szCs w:val="18"/>
                  <w:color w:val="0000FF"/>
                  <w:w w:val="84"/>
                </w:rPr>
                <w:t>amended.</w:t>
              </w:r>
            </w:hyperlink>
          </w:p>
        </w:tc>
        <w:tc>
          <w:tcPr>
            <w:tcW w:w="8740" w:type="dxa"/>
            <w:vAlign w:val="bottom"/>
            <w:tcBorders>
              <w:top w:val="single" w:sz="8" w:color="0000FF"/>
            </w:tcBorders>
            <w:gridSpan w:val="13"/>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5"/>
          </w:tcPr>
          <w:p>
            <w:pPr>
              <w:spacing w:after="0"/>
              <w:rPr>
                <w:sz w:val="13"/>
                <w:szCs w:val="13"/>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gridSpan w:val="24"/>
          </w:tcPr>
          <w:p>
            <w:pPr>
              <w:spacing w:after="0"/>
              <w:rPr>
                <w:rFonts w:ascii="Arial" w:cs="Arial" w:eastAsia="Arial" w:hAnsi="Arial"/>
                <w:sz w:val="18"/>
                <w:szCs w:val="18"/>
                <w:color w:val="0000FF"/>
                <w:w w:val="93"/>
              </w:rPr>
            </w:pPr>
            <w:hyperlink w:anchor="page46">
              <w:r>
                <w:rPr>
                  <w:rFonts w:ascii="Arial" w:cs="Arial" w:eastAsia="Arial" w:hAnsi="Arial"/>
                  <w:sz w:val="18"/>
                  <w:szCs w:val="18"/>
                  <w:color w:val="0000FF"/>
                  <w:w w:val="93"/>
                </w:rPr>
                <w:t>Certification of Principal Executive Officer Pursuant to 18 U.S.C. Section 1350, as Adopted Pursuant to Section 906 of the Sarbanes-</w:t>
              </w:r>
            </w:hyperlink>
          </w:p>
        </w:tc>
      </w:tr>
      <w:tr>
        <w:trPr>
          <w:trHeight w:val="156"/>
        </w:trPr>
        <w:tc>
          <w:tcPr>
            <w:tcW w:w="1260" w:type="dxa"/>
            <w:vAlign w:val="bottom"/>
          </w:tcPr>
          <w:p>
            <w:pPr>
              <w:spacing w:after="0"/>
              <w:rPr>
                <w:sz w:val="13"/>
                <w:szCs w:val="13"/>
                <w:color w:val="auto"/>
              </w:rPr>
            </w:pPr>
          </w:p>
        </w:tc>
        <w:tc>
          <w:tcPr>
            <w:tcW w:w="1440" w:type="dxa"/>
            <w:vAlign w:val="bottom"/>
            <w:tcBorders>
              <w:top w:val="single" w:sz="8" w:color="0000FF"/>
              <w:bottom w:val="single" w:sz="8" w:color="0000EE"/>
            </w:tcBorders>
            <w:gridSpan w:val="5"/>
          </w:tcPr>
          <w:p>
            <w:pPr>
              <w:spacing w:after="0" w:line="156" w:lineRule="exact"/>
              <w:rPr>
                <w:rFonts w:ascii="Arial" w:cs="Arial" w:eastAsia="Arial" w:hAnsi="Arial"/>
                <w:sz w:val="18"/>
                <w:szCs w:val="18"/>
                <w:color w:val="0000FF"/>
                <w:w w:val="96"/>
              </w:rPr>
            </w:pPr>
            <w:hyperlink w:anchor="page46">
              <w:r>
                <w:rPr>
                  <w:rFonts w:ascii="Arial" w:cs="Arial" w:eastAsia="Arial" w:hAnsi="Arial"/>
                  <w:sz w:val="18"/>
                  <w:szCs w:val="18"/>
                  <w:color w:val="0000FF"/>
                  <w:w w:val="96"/>
                </w:rPr>
                <w:t>Oxley Act of 2002.</w:t>
              </w:r>
            </w:hyperlink>
          </w:p>
        </w:tc>
        <w:tc>
          <w:tcPr>
            <w:tcW w:w="8160" w:type="dxa"/>
            <w:vAlign w:val="bottom"/>
            <w:tcBorders>
              <w:top w:val="single" w:sz="8" w:color="0000FF"/>
            </w:tcBorders>
            <w:gridSpan w:val="14"/>
          </w:tcPr>
          <w:p>
            <w:pPr>
              <w:spacing w:after="0"/>
              <w:rPr>
                <w:sz w:val="13"/>
                <w:szCs w:val="13"/>
                <w:color w:val="auto"/>
              </w:rPr>
            </w:pPr>
          </w:p>
        </w:tc>
        <w:tc>
          <w:tcPr>
            <w:tcW w:w="340" w:type="dxa"/>
            <w:vAlign w:val="bottom"/>
            <w:gridSpan w:val="5"/>
          </w:tcPr>
          <w:p>
            <w:pPr>
              <w:spacing w:after="0"/>
              <w:rPr>
                <w:sz w:val="13"/>
                <w:szCs w:val="13"/>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9940" w:type="dxa"/>
            <w:vAlign w:val="bottom"/>
            <w:gridSpan w:val="24"/>
          </w:tcPr>
          <w:p>
            <w:pPr>
              <w:spacing w:after="0"/>
              <w:rPr>
                <w:rFonts w:ascii="Arial" w:cs="Arial" w:eastAsia="Arial" w:hAnsi="Arial"/>
                <w:sz w:val="18"/>
                <w:szCs w:val="18"/>
                <w:color w:val="0000FF"/>
                <w:w w:val="94"/>
              </w:rPr>
            </w:pPr>
            <w:hyperlink w:anchor="page47">
              <w:r>
                <w:rPr>
                  <w:rFonts w:ascii="Arial" w:cs="Arial" w:eastAsia="Arial" w:hAnsi="Arial"/>
                  <w:sz w:val="18"/>
                  <w:szCs w:val="18"/>
                  <w:color w:val="0000FF"/>
                  <w:w w:val="94"/>
                </w:rPr>
                <w:t>Certification of Principal Financial Officer Pursuant to 18 U.S.C. Section 1350, as Adopted Pursuant to Section 906 of the Sarbanes-</w:t>
              </w:r>
            </w:hyperlink>
          </w:p>
        </w:tc>
      </w:tr>
      <w:tr>
        <w:trPr>
          <w:trHeight w:val="155"/>
        </w:trPr>
        <w:tc>
          <w:tcPr>
            <w:tcW w:w="1260" w:type="dxa"/>
            <w:vAlign w:val="bottom"/>
          </w:tcPr>
          <w:p>
            <w:pPr>
              <w:spacing w:after="0"/>
              <w:rPr>
                <w:sz w:val="13"/>
                <w:szCs w:val="13"/>
                <w:color w:val="auto"/>
              </w:rPr>
            </w:pPr>
          </w:p>
        </w:tc>
        <w:tc>
          <w:tcPr>
            <w:tcW w:w="1440" w:type="dxa"/>
            <w:vAlign w:val="bottom"/>
            <w:tcBorders>
              <w:top w:val="single" w:sz="8" w:color="0000FF"/>
              <w:bottom w:val="single" w:sz="8" w:color="0000EE"/>
            </w:tcBorders>
            <w:gridSpan w:val="5"/>
          </w:tcPr>
          <w:p>
            <w:pPr>
              <w:spacing w:after="0" w:line="156" w:lineRule="exact"/>
              <w:rPr>
                <w:rFonts w:ascii="Arial" w:cs="Arial" w:eastAsia="Arial" w:hAnsi="Arial"/>
                <w:sz w:val="18"/>
                <w:szCs w:val="18"/>
                <w:color w:val="0000FF"/>
                <w:w w:val="96"/>
              </w:rPr>
            </w:pPr>
            <w:hyperlink w:anchor="page47">
              <w:r>
                <w:rPr>
                  <w:rFonts w:ascii="Arial" w:cs="Arial" w:eastAsia="Arial" w:hAnsi="Arial"/>
                  <w:sz w:val="18"/>
                  <w:szCs w:val="18"/>
                  <w:color w:val="0000FF"/>
                  <w:w w:val="96"/>
                </w:rPr>
                <w:t>Oxley Act of 2002.</w:t>
              </w:r>
            </w:hyperlink>
          </w:p>
        </w:tc>
        <w:tc>
          <w:tcPr>
            <w:tcW w:w="8120" w:type="dxa"/>
            <w:vAlign w:val="bottom"/>
            <w:tcBorders>
              <w:top w:val="single" w:sz="8" w:color="0000FF"/>
            </w:tcBorders>
            <w:gridSpan w:val="13"/>
          </w:tcPr>
          <w:p>
            <w:pPr>
              <w:spacing w:after="0"/>
              <w:rPr>
                <w:sz w:val="13"/>
                <w:szCs w:val="13"/>
                <w:color w:val="auto"/>
              </w:rPr>
            </w:pPr>
          </w:p>
        </w:tc>
        <w:tc>
          <w:tcPr>
            <w:tcW w:w="380" w:type="dxa"/>
            <w:vAlign w:val="bottom"/>
            <w:gridSpan w:val="6"/>
          </w:tcPr>
          <w:p>
            <w:pPr>
              <w:spacing w:after="0"/>
              <w:rPr>
                <w:sz w:val="13"/>
                <w:szCs w:val="13"/>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gridSpan w:val="24"/>
          </w:tcPr>
          <w:p>
            <w:pPr>
              <w:spacing w:after="0"/>
              <w:rPr>
                <w:sz w:val="20"/>
                <w:szCs w:val="20"/>
                <w:color w:val="auto"/>
              </w:rPr>
            </w:pPr>
            <w:r>
              <w:rPr>
                <w:rFonts w:ascii="Arial" w:cs="Arial" w:eastAsia="Arial" w:hAnsi="Arial"/>
                <w:sz w:val="18"/>
                <w:szCs w:val="18"/>
                <w:color w:val="auto"/>
                <w:w w:val="91"/>
              </w:rPr>
              <w:t>The following financial statements and footnotes from the Registrant’s Quarterly Report on Form 10-Q for the fiscal quarter ended March</w:t>
            </w:r>
          </w:p>
        </w:tc>
      </w:tr>
      <w:tr>
        <w:trPr>
          <w:trHeight w:val="218"/>
        </w:trPr>
        <w:tc>
          <w:tcPr>
            <w:tcW w:w="1260" w:type="dxa"/>
            <w:vAlign w:val="bottom"/>
          </w:tcPr>
          <w:p>
            <w:pPr>
              <w:spacing w:after="0"/>
              <w:rPr>
                <w:sz w:val="18"/>
                <w:szCs w:val="18"/>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31, 2022 formatted in Inline Extensible Business Reporting Language (Inline XBRL):</w:t>
            </w:r>
          </w:p>
        </w:tc>
      </w:tr>
    </w:tbl>
    <w:p>
      <w:pPr>
        <w:ind w:left="1280" w:right="40"/>
        <w:spacing w:after="0" w:line="219" w:lineRule="auto"/>
        <w:rPr>
          <w:sz w:val="20"/>
          <w:szCs w:val="20"/>
          <w:color w:val="auto"/>
        </w:rPr>
      </w:pPr>
      <w:r>
        <w:rPr>
          <w:rFonts w:ascii="Arial" w:cs="Arial" w:eastAsia="Arial" w:hAnsi="Arial"/>
          <w:sz w:val="18"/>
          <w:szCs w:val="18"/>
          <w:color w:val="auto"/>
        </w:rPr>
        <w:t>101.INS Inline XBRL Instance Document - the instance document does not appear in the Interactive Data File because its XBRL tags are embedded within the Inline XBRL document</w:t>
      </w:r>
    </w:p>
    <w:p>
      <w:pPr>
        <w:ind w:left="1280"/>
        <w:spacing w:after="0" w:line="235" w:lineRule="auto"/>
        <w:rPr>
          <w:sz w:val="20"/>
          <w:szCs w:val="20"/>
          <w:color w:val="auto"/>
        </w:rPr>
      </w:pPr>
      <w:r>
        <w:rPr>
          <w:rFonts w:ascii="Arial" w:cs="Arial" w:eastAsia="Arial" w:hAnsi="Arial"/>
          <w:sz w:val="18"/>
          <w:szCs w:val="18"/>
          <w:color w:val="auto"/>
        </w:rPr>
        <w:t>101.SCH Inline XBRL Taxonomy Extension Schema</w:t>
      </w:r>
    </w:p>
    <w:p>
      <w:pPr>
        <w:ind w:left="1280"/>
        <w:spacing w:after="0" w:line="234" w:lineRule="auto"/>
        <w:rPr>
          <w:sz w:val="20"/>
          <w:szCs w:val="20"/>
          <w:color w:val="auto"/>
        </w:rPr>
      </w:pPr>
      <w:r>
        <w:rPr>
          <w:rFonts w:ascii="Arial" w:cs="Arial" w:eastAsia="Arial" w:hAnsi="Arial"/>
          <w:sz w:val="18"/>
          <w:szCs w:val="18"/>
          <w:color w:val="auto"/>
        </w:rPr>
        <w:t>101.CAL Inline XBRL Taxonomy Extension Calculation Linkbase</w:t>
      </w:r>
    </w:p>
    <w:p>
      <w:pPr>
        <w:ind w:left="1280"/>
        <w:spacing w:after="0" w:line="235" w:lineRule="auto"/>
        <w:rPr>
          <w:sz w:val="20"/>
          <w:szCs w:val="20"/>
          <w:color w:val="auto"/>
        </w:rPr>
      </w:pPr>
      <w:r>
        <w:rPr>
          <w:rFonts w:ascii="Arial" w:cs="Arial" w:eastAsia="Arial" w:hAnsi="Arial"/>
          <w:sz w:val="18"/>
          <w:szCs w:val="18"/>
          <w:color w:val="auto"/>
        </w:rPr>
        <w:t>101.DEF Inline XBRL Taxonomy Extension Definition Linkbase</w:t>
      </w:r>
    </w:p>
    <w:p>
      <w:pPr>
        <w:ind w:left="1280"/>
        <w:spacing w:after="0" w:line="235" w:lineRule="auto"/>
        <w:rPr>
          <w:sz w:val="20"/>
          <w:szCs w:val="20"/>
          <w:color w:val="auto"/>
        </w:rPr>
      </w:pPr>
      <w:r>
        <w:rPr>
          <w:rFonts w:ascii="Arial" w:cs="Arial" w:eastAsia="Arial" w:hAnsi="Arial"/>
          <w:sz w:val="18"/>
          <w:szCs w:val="18"/>
          <w:color w:val="auto"/>
        </w:rPr>
        <w:t>101.LAB Inline XBRL Taxonomy Extension Label Linkbase</w:t>
      </w:r>
    </w:p>
    <w:p>
      <w:pPr>
        <w:ind w:left="1280"/>
        <w:spacing w:after="0" w:line="235" w:lineRule="auto"/>
        <w:rPr>
          <w:sz w:val="20"/>
          <w:szCs w:val="20"/>
          <w:color w:val="auto"/>
        </w:rPr>
      </w:pPr>
      <w:r>
        <w:rPr>
          <w:rFonts w:ascii="Arial" w:cs="Arial" w:eastAsia="Arial" w:hAnsi="Arial"/>
          <w:sz w:val="18"/>
          <w:szCs w:val="18"/>
          <w:color w:val="auto"/>
        </w:rPr>
        <w:t>101.PRE Inline XBRL Taxonomy Extension Presentation Linkbase</w:t>
      </w:r>
    </w:p>
    <w:p>
      <w:pPr>
        <w:ind w:left="1280" w:hanging="1259"/>
        <w:spacing w:after="0"/>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right="440" w:firstLine="8"/>
        <w:spacing w:after="0" w:line="257" w:lineRule="auto"/>
        <w:tabs>
          <w:tab w:leader="none" w:pos="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from the publicly filed document because such portions are (i) not material and (ii) would be competitively harmful of publicly disclosed.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9512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6" w:right="359" w:bottom="1440" w:gutter="0" w:footer="0" w:header="0"/>
        </w:sectPr>
      </w:pPr>
    </w:p>
    <w:bookmarkStart w:id="35" w:name="page36"/>
    <w:bookmarkEnd w:id="35"/>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ARCTURUS THERAPEUTICS HOLDINGS INC.</w:t>
      </w:r>
    </w:p>
    <w:p>
      <w:pPr>
        <w:spacing w:after="0" w:line="202"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6"/>
          <w:szCs w:val="16"/>
          <w:color w:val="auto"/>
        </w:rPr>
        <w:t>By: /s/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6350</wp:posOffset>
            </wp:positionV>
            <wp:extent cx="27000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Andy Sassine</w:t>
      </w:r>
    </w:p>
    <w:p>
      <w:pPr>
        <w:ind w:left="7000"/>
        <w:spacing w:after="0"/>
        <w:rPr>
          <w:sz w:val="20"/>
          <w:szCs w:val="20"/>
          <w:color w:val="auto"/>
        </w:rPr>
      </w:pPr>
      <w:r>
        <w:rPr>
          <w:rFonts w:ascii="Arial" w:cs="Arial" w:eastAsia="Arial" w:hAnsi="Arial"/>
          <w:sz w:val="18"/>
          <w:szCs w:val="18"/>
          <w:color w:val="auto"/>
        </w:rPr>
        <w:t>Chief Financial Officer</w:t>
      </w:r>
    </w:p>
    <w:p>
      <w:pPr>
        <w:spacing w:after="0" w:line="39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10.36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 TO LOAN AND SECURITY AGREEMENT</w:t>
      </w:r>
    </w:p>
    <w:p>
      <w:pPr>
        <w:spacing w:after="0" w:line="216" w:lineRule="exact"/>
        <w:rPr>
          <w:sz w:val="20"/>
          <w:szCs w:val="20"/>
          <w:color w:val="auto"/>
        </w:rPr>
      </w:pPr>
    </w:p>
    <w:p>
      <w:pPr>
        <w:ind w:firstLine="749"/>
        <w:spacing w:after="0" w:line="291" w:lineRule="auto"/>
        <w:rPr>
          <w:sz w:val="20"/>
          <w:szCs w:val="20"/>
          <w:color w:val="auto"/>
        </w:rPr>
      </w:pPr>
      <w:r>
        <w:rPr>
          <w:rFonts w:ascii="Arial" w:cs="Arial" w:eastAsia="Arial" w:hAnsi="Arial"/>
          <w:sz w:val="17"/>
          <w:szCs w:val="17"/>
          <w:color w:val="auto"/>
        </w:rPr>
        <w:t>This Sixth Amendment to Loan and Security Agreement (this “Amendment”) is entered into as of April __, 2022, by and between WESTERN ALLIANCE BANK, an Arizona corporation (“Bank”), and ARCTURUS THERAPEUTICS, INC., a Delaware corporation (“Borrower”).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12"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Borrower and Bank are parties to that certain Loan and Security Agreement dated as of October 12, 2018, as amended from time to time (the “Agreement”). The parties desire to amend the Agreement in accordance with the terms of this Amendment.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NOW, THEREFORE, the parties agree as follows:</w:t>
      </w:r>
    </w:p>
    <w:p>
      <w:pPr>
        <w:spacing w:after="0" w:line="212" w:lineRule="exact"/>
        <w:rPr>
          <w:sz w:val="20"/>
          <w:szCs w:val="20"/>
          <w:color w:val="auto"/>
        </w:rPr>
      </w:pPr>
    </w:p>
    <w:p>
      <w:pPr>
        <w:ind w:left="1500" w:right="1380" w:hanging="743"/>
        <w:spacing w:after="0" w:line="485"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definitions in Section 1.1 of the Agreement hereby are added, amended or restated to read as follows: “Amortization Date” means August 1, 2022.</w:t>
      </w:r>
    </w:p>
    <w:p>
      <w:pPr>
        <w:ind w:left="1500"/>
        <w:spacing w:after="0"/>
        <w:rPr>
          <w:rFonts w:ascii="Arial" w:cs="Arial" w:eastAsia="Arial" w:hAnsi="Arial"/>
          <w:sz w:val="18"/>
          <w:szCs w:val="18"/>
          <w:color w:val="auto"/>
        </w:rPr>
      </w:pPr>
      <w:r>
        <w:rPr>
          <w:rFonts w:ascii="Arial" w:cs="Arial" w:eastAsia="Arial" w:hAnsi="Arial"/>
          <w:sz w:val="18"/>
          <w:szCs w:val="18"/>
          <w:color w:val="auto"/>
        </w:rPr>
        <w:t>“Interest Only End Date” means July 1, 2022.</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Subsection (ii) of Section 2.1(a) of the Agreement hereby is amended and restated in its entirety to read as follows:</w:t>
      </w:r>
    </w:p>
    <w:p>
      <w:pPr>
        <w:spacing w:after="0" w:line="212" w:lineRule="exact"/>
        <w:rPr>
          <w:sz w:val="20"/>
          <w:szCs w:val="20"/>
          <w:color w:val="auto"/>
        </w:rPr>
      </w:pPr>
    </w:p>
    <w:p>
      <w:pPr>
        <w:jc w:val="both"/>
        <w:ind w:left="1500" w:firstLine="749"/>
        <w:spacing w:after="0" w:line="274" w:lineRule="auto"/>
        <w:rPr>
          <w:sz w:val="20"/>
          <w:szCs w:val="20"/>
          <w:color w:val="auto"/>
        </w:rPr>
      </w:pPr>
      <w:r>
        <w:rPr>
          <w:rFonts w:ascii="Arial" w:cs="Arial" w:eastAsia="Arial" w:hAnsi="Arial"/>
          <w:sz w:val="16"/>
          <w:szCs w:val="16"/>
          <w:color w:val="auto"/>
        </w:rPr>
        <w:t xml:space="preserve">“(ii) </w:t>
      </w:r>
      <w:r>
        <w:rPr>
          <w:rFonts w:ascii="Arial" w:cs="Arial" w:eastAsia="Arial" w:hAnsi="Arial"/>
          <w:sz w:val="16"/>
          <w:szCs w:val="16"/>
          <w:u w:val="single" w:color="auto"/>
          <w:color w:val="auto"/>
        </w:rPr>
        <w:t>Repayment</w:t>
      </w:r>
      <w:r>
        <w:rPr>
          <w:rFonts w:ascii="Arial" w:cs="Arial" w:eastAsia="Arial" w:hAnsi="Arial"/>
          <w:sz w:val="16"/>
          <w:szCs w:val="16"/>
          <w:color w:val="auto"/>
        </w:rPr>
        <w:t>. Borrower shall make monthly payments of interest only on each Payment Date through and including the Payment Date immediately preceding the Amortization Date. Commencing on the Amortization Date, and continuing on the Payment Date of each month thereafter, Borrower shall make consecutive equal monthly payments of principal, together with applicable interest, in arrears, to Bank, as calculated by Bank (which calculations shall be deemed correct absent manifest error) based upon: (1) the amount of the Term Loan, (2) the effective rate of interest, as determined in Section 2.3(a), and (3) a repayment schedule equal to fifteen (15) months. All unpaid principal and accrued and unpaid interest with respect to the Term Loan is due and payable in full on the Term Loan Maturity Date. The Term Loan may only be prepaid in accordance with Section 2.1(a)(iii).”</w:t>
      </w:r>
    </w:p>
    <w:p>
      <w:pPr>
        <w:spacing w:after="0" w:line="163" w:lineRule="exact"/>
        <w:rPr>
          <w:sz w:val="20"/>
          <w:szCs w:val="20"/>
          <w:color w:val="auto"/>
        </w:rPr>
      </w:pPr>
    </w:p>
    <w:p>
      <w:pPr>
        <w:jc w:val="both"/>
        <w:ind w:firstLine="757"/>
        <w:spacing w:after="0" w:line="243" w:lineRule="auto"/>
        <w:tabs>
          <w:tab w:leader="none" w:pos="14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course of dealing on the part of Bank or its officers, nor any failure or delay in the exercise of any right by Bank, shall operate as a waiver thereof, and any single or partial exercise of any such right shall not preclude any later exercise of any such right. Bank’s failure at any time to require strict performance by Borrower of any provision shall not affect any right of Bank thereafter to demand strict compliance and performance. Any suspension or waiver of a right must be in writing signed by an officer of Bank.</w:t>
      </w:r>
    </w:p>
    <w:p>
      <w:pPr>
        <w:spacing w:after="0" w:line="187" w:lineRule="exact"/>
        <w:rPr>
          <w:rFonts w:ascii="Arial" w:cs="Arial" w:eastAsia="Arial" w:hAnsi="Arial"/>
          <w:sz w:val="18"/>
          <w:szCs w:val="18"/>
          <w:color w:val="auto"/>
        </w:rPr>
      </w:pPr>
    </w:p>
    <w:p>
      <w:pPr>
        <w:jc w:val="both"/>
        <w:ind w:firstLine="757"/>
        <w:spacing w:after="0" w:line="243" w:lineRule="auto"/>
        <w:tabs>
          <w:tab w:leader="none" w:pos="14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w:t>
      </w:r>
    </w:p>
    <w:p>
      <w:pPr>
        <w:spacing w:after="0" w:line="187" w:lineRule="exact"/>
        <w:rPr>
          <w:rFonts w:ascii="Arial" w:cs="Arial" w:eastAsia="Arial" w:hAnsi="Arial"/>
          <w:sz w:val="18"/>
          <w:szCs w:val="18"/>
          <w:color w:val="auto"/>
        </w:rPr>
      </w:pPr>
    </w:p>
    <w:p>
      <w:pPr>
        <w:jc w:val="both"/>
        <w:ind w:firstLine="757"/>
        <w:spacing w:after="0" w:line="243" w:lineRule="auto"/>
        <w:tabs>
          <w:tab w:leader="none" w:pos="14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in all material respects as of the date of this Amendment (except to the extent any such representation or warranty is expressly stated to have been made as of a specific date, in which case such representation or warranty shall be true and correct in all material respects as of such date), and that no Event of Default has occurred and is continuing.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DOCPROPERTY iManageFooter \* MERGEFORMAT DMS 22469660.2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1500" w:hanging="743"/>
        <w:spacing w:after="0"/>
        <w:tabs>
          <w:tab w:leader="none" w:pos="1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a condition to the effectiveness of this Amendment, Bank shall have received, in form and substance satisfactory to Bank, the</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w:t>
      </w:r>
    </w:p>
    <w:p>
      <w:pPr>
        <w:sectPr>
          <w:pgSz w:w="11900" w:h="16838" w:orient="portrait"/>
          <w:cols w:equalWidth="0" w:num="1">
            <w:col w:w="11240"/>
          </w:cols>
          <w:pgMar w:left="320" w:top="125" w:right="339" w:bottom="1440" w:gutter="0" w:footer="0" w:header="0"/>
        </w:sectPr>
      </w:pPr>
    </w:p>
    <w:p>
      <w:pPr>
        <w:spacing w:after="0" w:line="196" w:lineRule="exact"/>
        <w:rPr>
          <w:sz w:val="20"/>
          <w:szCs w:val="20"/>
          <w:color w:val="auto"/>
        </w:rPr>
      </w:pPr>
    </w:p>
    <w:p>
      <w:pPr>
        <w:jc w:val="center"/>
        <w:ind w:left="94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duly executed by Borrower;</w:t>
      </w:r>
    </w:p>
    <w:p>
      <w:pPr>
        <w:spacing w:after="0" w:line="200" w:lineRule="exact"/>
        <w:rPr>
          <w:sz w:val="20"/>
          <w:szCs w:val="20"/>
          <w:color w:val="auto"/>
        </w:rPr>
      </w:pPr>
    </w:p>
    <w:p>
      <w:pPr>
        <w:sectPr>
          <w:pgSz w:w="11900" w:h="16838" w:orient="portrait"/>
          <w:cols w:equalWidth="0" w:num="2">
            <w:col w:w="3780" w:space="720"/>
            <w:col w:w="6740"/>
          </w:cols>
          <w:pgMar w:left="320" w:top="125" w:right="339" w:bottom="1440" w:gutter="0" w:footer="0" w:header="0"/>
          <w:type w:val="continuous"/>
        </w:sectPr>
      </w:pPr>
    </w:p>
    <w:p>
      <w:pPr>
        <w:spacing w:after="0" w:line="3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authorizing the execution and delivery of this Amendment;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a Certificate of the Secretary of Borrower with respect to incumbency and resolutions</w:t>
      </w:r>
    </w:p>
    <w:p>
      <w:pPr>
        <w:spacing w:after="0" w:line="407" w:lineRule="exact"/>
        <w:rPr>
          <w:sz w:val="20"/>
          <w:szCs w:val="20"/>
          <w:color w:val="auto"/>
        </w:rPr>
      </w:pPr>
    </w:p>
    <w:p>
      <w:pPr>
        <w:sectPr>
          <w:pgSz w:w="11900" w:h="16838" w:orient="portrait"/>
          <w:cols w:equalWidth="0" w:num="2">
            <w:col w:w="4260" w:space="240"/>
            <w:col w:w="6740"/>
          </w:cols>
          <w:pgMar w:left="320" w:top="125" w:right="339" w:bottom="1440" w:gutter="0" w:footer="0" w:header="0"/>
          <w:type w:val="continuous"/>
        </w:sectPr>
      </w:pPr>
    </w:p>
    <w:p>
      <w:pPr>
        <w:spacing w:after="0" w:line="19" w:lineRule="exact"/>
        <w:rPr>
          <w:sz w:val="20"/>
          <w:szCs w:val="20"/>
          <w:color w:val="auto"/>
        </w:rPr>
      </w:pPr>
    </w:p>
    <w:p>
      <w:pPr>
        <w:ind w:firstLine="2246"/>
        <w:spacing w:after="0" w:line="261" w:lineRule="auto"/>
        <w:rPr>
          <w:sz w:val="20"/>
          <w:szCs w:val="20"/>
          <w:color w:val="auto"/>
        </w:rPr>
      </w:pPr>
      <w:r>
        <w:rPr>
          <w:rFonts w:ascii="Arial" w:cs="Arial" w:eastAsia="Arial" w:hAnsi="Arial"/>
          <w:sz w:val="18"/>
          <w:szCs w:val="18"/>
          <w:color w:val="auto"/>
        </w:rPr>
        <w:t>(c) an amendment fee in the amount of Fifteen Thousand Dollars ($15,000.00), which may be debited from any of Borrower’s accounts (which fee, in the interest of clarity, shall be in addition to and not a substitution for the Final Payment);</w:t>
      </w:r>
    </w:p>
    <w:p>
      <w:pPr>
        <w:spacing w:after="0" w:line="171" w:lineRule="exact"/>
        <w:rPr>
          <w:sz w:val="20"/>
          <w:szCs w:val="20"/>
          <w:color w:val="auto"/>
        </w:rPr>
      </w:pPr>
    </w:p>
    <w:p>
      <w:pPr>
        <w:ind w:right="20" w:firstLine="2246"/>
        <w:spacing w:after="0" w:line="261" w:lineRule="auto"/>
        <w:rPr>
          <w:sz w:val="20"/>
          <w:szCs w:val="20"/>
          <w:color w:val="auto"/>
        </w:rPr>
      </w:pPr>
      <w:r>
        <w:rPr>
          <w:rFonts w:ascii="Arial" w:cs="Arial" w:eastAsia="Arial" w:hAnsi="Arial"/>
          <w:sz w:val="18"/>
          <w:szCs w:val="18"/>
          <w:color w:val="auto"/>
        </w:rPr>
        <w:t>(d) all reasonable Bank Expenses incurred through the date of this Amendment, which, following notice from Bank to Borrower, may be debited from any of Borrower's accounts; and</w:t>
      </w:r>
    </w:p>
    <w:p>
      <w:pPr>
        <w:sectPr>
          <w:pgSz w:w="11900" w:h="16838" w:orient="portrait"/>
          <w:cols w:equalWidth="0" w:num="1">
            <w:col w:w="11240"/>
          </w:cols>
          <w:pgMar w:left="320" w:top="125" w:right="339" w:bottom="1440" w:gutter="0" w:footer="0" w:header="0"/>
          <w:type w:val="continuous"/>
        </w:sectPr>
      </w:pPr>
    </w:p>
    <w:p>
      <w:pPr>
        <w:spacing w:after="0" w:line="171" w:lineRule="exact"/>
        <w:rPr>
          <w:sz w:val="20"/>
          <w:szCs w:val="20"/>
          <w:color w:val="auto"/>
        </w:rPr>
      </w:pPr>
    </w:p>
    <w:p>
      <w:pPr>
        <w:jc w:val="center"/>
        <w:ind w:left="940"/>
        <w:spacing w:after="0"/>
        <w:rPr>
          <w:sz w:val="20"/>
          <w:szCs w:val="20"/>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such other documents, and completion of such other matters, as Bank may reasonably deem</w:t>
      </w:r>
    </w:p>
    <w:p>
      <w:pPr>
        <w:spacing w:after="0" w:line="46" w:lineRule="exact"/>
        <w:rPr>
          <w:sz w:val="20"/>
          <w:szCs w:val="20"/>
          <w:color w:val="auto"/>
        </w:rPr>
      </w:pPr>
    </w:p>
    <w:p>
      <w:pPr>
        <w:sectPr>
          <w:pgSz w:w="11900" w:h="16838" w:orient="portrait"/>
          <w:cols w:equalWidth="0" w:num="2">
            <w:col w:w="3780" w:space="720"/>
            <w:col w:w="674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necessary or appropriate.</w:t>
      </w:r>
    </w:p>
    <w:p>
      <w:pPr>
        <w:sectPr>
          <w:pgSz w:w="11900" w:h="16838" w:orient="portrait"/>
          <w:cols w:equalWidth="0" w:num="1">
            <w:col w:w="11240"/>
          </w:cols>
          <w:pgMar w:left="320" w:top="125" w:right="339" w:bottom="1440" w:gutter="0" w:footer="0" w:header="0"/>
          <w:type w:val="continuous"/>
        </w:sectPr>
      </w:pPr>
    </w:p>
    <w:p>
      <w:pPr>
        <w:spacing w:after="0" w:line="207" w:lineRule="exact"/>
        <w:rPr>
          <w:sz w:val="20"/>
          <w:szCs w:val="20"/>
          <w:color w:val="auto"/>
        </w:rPr>
      </w:pPr>
    </w:p>
    <w:p>
      <w:pPr>
        <w:ind w:right="200" w:firstLine="757"/>
        <w:spacing w:after="0" w:line="261" w:lineRule="auto"/>
        <w:tabs>
          <w:tab w:leader="none" w:pos="14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[Balance of Page Intentionally Left Blank.]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DOCPROPERTY iManageFooter \* MERGEFORMAT DMS 22469660.2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IN WITNESS WHEREOF, the undersigned have executed this Amendment as of the first date above written.</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ARCTURUS THERAPEUTICS, INC., a Delaware corporation</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w:t>
      </w:r>
    </w:p>
    <w:p>
      <w:pPr>
        <w:spacing w:after="0" w:line="18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Joseph E. Payne</w:t>
      </w:r>
    </w:p>
    <w:p>
      <w:pPr>
        <w:ind w:left="4960"/>
        <w:spacing w:after="0"/>
        <w:rPr>
          <w:sz w:val="20"/>
          <w:szCs w:val="20"/>
          <w:color w:val="auto"/>
        </w:rPr>
      </w:pPr>
      <w:r>
        <w:rPr>
          <w:rFonts w:ascii="Arial" w:cs="Arial" w:eastAsia="Arial" w:hAnsi="Arial"/>
          <w:sz w:val="18"/>
          <w:szCs w:val="18"/>
          <w:color w:val="auto"/>
        </w:rPr>
        <w:t>Title: President and CEO</w:t>
      </w:r>
    </w:p>
    <w:p>
      <w:pPr>
        <w:spacing w:after="0" w:line="3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WESTERN ALLIANCE BANK, an Arizona corporation</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w:t>
      </w:r>
    </w:p>
    <w:p>
      <w:pPr>
        <w:spacing w:after="0" w:line="18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Brian Kirkpatrick</w:t>
      </w:r>
    </w:p>
    <w:p>
      <w:pPr>
        <w:ind w:left="496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823595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20"/>
          </w:cols>
          <w:pgMar w:left="1080" w:top="125" w:right="12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CORPORATE RESOLUTIONS TO BORROW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0"/>
        <w:spacing w:after="0"/>
        <w:tabs>
          <w:tab w:leader="none" w:pos="1160" w:val="left"/>
        </w:tabs>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ARCTURUS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I, the undersigned Secretary or Assistant Secretary of ARCTURUS THERAPEUTICS, INC. (the “Corporation”), HEREBY CERTIFY that the Corporation is organized and existing under and by virtue of the laws of the State of Delaware.</w:t>
      </w:r>
    </w:p>
    <w:p>
      <w:pPr>
        <w:spacing w:after="0" w:line="17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I FURTHER CERTIFY that attached hereto as Attachments 1 and 2 are true and complete copies of the Certificate of Incorporation, as amended, and the Bylaws of the Corporation, each of which is in full force and effect on the date hereof.</w:t>
      </w:r>
    </w:p>
    <w:p>
      <w:pPr>
        <w:spacing w:after="0" w:line="171"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I FURTHER CERTIFY that at a meeting of the Directors of the Corporation, duly called and held, at which a quorum was present and voting (or by other duly authorized corporate action in lieu of a meeting), the following resolutions (the “Resolutions”) were adopted.</w:t>
      </w:r>
    </w:p>
    <w:p>
      <w:pPr>
        <w:spacing w:after="0" w:line="171"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BE IT RESOLVED, that any one (1) of the following named officers, employees, or agents of this Corporation, whose actual signatures are shown below:</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8"/>
                <w:szCs w:val="18"/>
                <w:b w:val="1"/>
                <w:bCs w:val="1"/>
                <w:color w:val="auto"/>
                <w:w w:val="98"/>
              </w:rPr>
              <w:t>NAMES</w:t>
            </w:r>
          </w:p>
        </w:tc>
        <w:tc>
          <w:tcPr>
            <w:tcW w:w="1740" w:type="dxa"/>
            <w:vAlign w:val="bottom"/>
          </w:tcPr>
          <w:p>
            <w:pPr>
              <w:spacing w:after="0"/>
              <w:rPr>
                <w:sz w:val="17"/>
                <w:szCs w:val="17"/>
                <w:color w:val="auto"/>
              </w:rPr>
            </w:pPr>
          </w:p>
        </w:tc>
        <w:tc>
          <w:tcPr>
            <w:tcW w:w="4460" w:type="dxa"/>
            <w:vAlign w:val="bottom"/>
            <w:gridSpan w:val="4"/>
          </w:tcPr>
          <w:p>
            <w:pPr>
              <w:ind w:left="1360"/>
              <w:spacing w:after="0"/>
              <w:rPr>
                <w:sz w:val="20"/>
                <w:szCs w:val="20"/>
                <w:color w:val="auto"/>
              </w:rPr>
            </w:pPr>
            <w:r>
              <w:rPr>
                <w:rFonts w:ascii="Arial" w:cs="Arial" w:eastAsia="Arial" w:hAnsi="Arial"/>
                <w:sz w:val="18"/>
                <w:szCs w:val="18"/>
                <w:b w:val="1"/>
                <w:bCs w:val="1"/>
                <w:color w:val="auto"/>
              </w:rPr>
              <w:t>POSITION</w:t>
            </w:r>
          </w:p>
        </w:tc>
        <w:tc>
          <w:tcPr>
            <w:tcW w:w="1960" w:type="dxa"/>
            <w:vAlign w:val="bottom"/>
          </w:tcPr>
          <w:p>
            <w:pPr>
              <w:spacing w:after="0"/>
              <w:rPr>
                <w:sz w:val="20"/>
                <w:szCs w:val="20"/>
                <w:color w:val="auto"/>
              </w:rPr>
            </w:pPr>
            <w:r>
              <w:rPr>
                <w:rFonts w:ascii="Arial" w:cs="Arial" w:eastAsia="Arial" w:hAnsi="Arial"/>
                <w:sz w:val="18"/>
                <w:szCs w:val="18"/>
                <w:b w:val="1"/>
                <w:bCs w:val="1"/>
                <w:color w:val="auto"/>
                <w:w w:val="98"/>
              </w:rPr>
              <w:t>ACTUAL SIGNATURES</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r>
        <w:trPr>
          <w:trHeight w:val="385"/>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Joseph Payne</w:t>
            </w:r>
          </w:p>
        </w:tc>
        <w:tc>
          <w:tcPr>
            <w:tcW w:w="56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President and CEO</w:t>
            </w:r>
          </w:p>
        </w:tc>
        <w:tc>
          <w:tcPr>
            <w:tcW w:w="3080" w:type="dxa"/>
            <w:vAlign w:val="bottom"/>
            <w:gridSpan w:val="3"/>
          </w:tcPr>
          <w:p>
            <w:pPr>
              <w:spacing w:after="0"/>
              <w:rPr>
                <w:sz w:val="24"/>
                <w:szCs w:val="24"/>
                <w:color w:val="auto"/>
              </w:rPr>
            </w:pPr>
          </w:p>
        </w:tc>
        <w:tc>
          <w:tcPr>
            <w:tcW w:w="1960" w:type="dxa"/>
            <w:vAlign w:val="bottom"/>
          </w:tcPr>
          <w:p>
            <w:pPr>
              <w:spacing w:after="0"/>
              <w:rPr>
                <w:sz w:val="24"/>
                <w:szCs w:val="24"/>
                <w:color w:val="auto"/>
              </w:rPr>
            </w:pPr>
          </w:p>
        </w:tc>
      </w:tr>
      <w:tr>
        <w:trPr>
          <w:trHeight w:val="385"/>
        </w:trPr>
        <w:tc>
          <w:tcPr>
            <w:tcW w:w="1120" w:type="dxa"/>
            <w:vAlign w:val="bottom"/>
            <w:gridSpan w:val="2"/>
          </w:tcPr>
          <w:p>
            <w:pPr>
              <w:spacing w:after="0"/>
              <w:rPr>
                <w:sz w:val="20"/>
                <w:szCs w:val="20"/>
                <w:color w:val="auto"/>
              </w:rPr>
            </w:pPr>
            <w:r>
              <w:rPr>
                <w:rFonts w:ascii="Arial" w:cs="Arial" w:eastAsia="Arial" w:hAnsi="Arial"/>
                <w:sz w:val="18"/>
                <w:szCs w:val="18"/>
                <w:color w:val="auto"/>
                <w:w w:val="91"/>
              </w:rPr>
              <w:t>Pad Chiviukula</w:t>
            </w:r>
          </w:p>
        </w:tc>
        <w:tc>
          <w:tcPr>
            <w:tcW w:w="2820" w:type="dxa"/>
            <w:vAlign w:val="bottom"/>
            <w:gridSpan w:val="3"/>
          </w:tcPr>
          <w:p>
            <w:pPr>
              <w:spacing w:after="0"/>
              <w:rPr>
                <w:sz w:val="24"/>
                <w:szCs w:val="24"/>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COO, CSO and Secretary</w:t>
            </w:r>
          </w:p>
        </w:tc>
        <w:tc>
          <w:tcPr>
            <w:tcW w:w="1960" w:type="dxa"/>
            <w:vAlign w:val="bottom"/>
          </w:tcPr>
          <w:p>
            <w:pPr>
              <w:spacing w:after="0"/>
              <w:rPr>
                <w:sz w:val="24"/>
                <w:szCs w:val="24"/>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4970145</wp:posOffset>
            </wp:positionH>
            <wp:positionV relativeFrom="paragraph">
              <wp:posOffset>257175</wp:posOffset>
            </wp:positionV>
            <wp:extent cx="285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acting for and on behalf of this Corporation and as its act and deed be, and they hereby are, authorized and empowered:</w:t>
      </w:r>
    </w:p>
    <w:p>
      <w:pPr>
        <w:spacing w:after="0" w:line="20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8"/>
          <w:szCs w:val="18"/>
          <w:b w:val="1"/>
          <w:bCs w:val="1"/>
          <w:color w:val="auto"/>
        </w:rPr>
        <w:t xml:space="preserve">Borrow Money. </w:t>
      </w:r>
      <w:r>
        <w:rPr>
          <w:rFonts w:ascii="Arial" w:cs="Arial" w:eastAsia="Arial" w:hAnsi="Arial"/>
          <w:sz w:val="18"/>
          <w:szCs w:val="18"/>
          <w:color w:val="auto"/>
        </w:rPr>
        <w:t>To borrow from time to time from Western Alliance Bank, an Arizona corporation (“Bank”), on such terms as may be agreed</w:t>
      </w:r>
      <w:r>
        <w:rPr>
          <w:rFonts w:ascii="Arial" w:cs="Arial" w:eastAsia="Arial" w:hAnsi="Arial"/>
          <w:sz w:val="18"/>
          <w:szCs w:val="18"/>
          <w:b w:val="1"/>
          <w:bCs w:val="1"/>
          <w:color w:val="auto"/>
        </w:rPr>
        <w:t xml:space="preserve"> </w:t>
      </w:r>
      <w:r>
        <w:rPr>
          <w:rFonts w:ascii="Arial" w:cs="Arial" w:eastAsia="Arial" w:hAnsi="Arial"/>
          <w:sz w:val="18"/>
          <w:szCs w:val="18"/>
          <w:color w:val="auto"/>
        </w:rPr>
        <w:t>upon between the officers, employees, or agents of the Corporation and Bank, such sum or sums of money as in their judgment should be borrowed, without limitation.</w:t>
      </w:r>
    </w:p>
    <w:p>
      <w:pPr>
        <w:spacing w:after="0" w:line="177"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b w:val="1"/>
          <w:bCs w:val="1"/>
          <w:color w:val="auto"/>
        </w:rPr>
        <w:t xml:space="preserve">Execute Loan Documents. </w:t>
      </w:r>
      <w:r>
        <w:rPr>
          <w:rFonts w:ascii="Arial" w:cs="Arial" w:eastAsia="Arial" w:hAnsi="Arial"/>
          <w:sz w:val="18"/>
          <w:szCs w:val="18"/>
          <w:color w:val="auto"/>
        </w:rPr>
        <w:t>To execute and deliver to Bank one or more renewals, extensions, modifications, refinancings, consolidations,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substitutions to that certain Loan and Security Agreement dated as October 12, 2018 (the “Loan Agreement”) and any other agreement entered into between Corporation and Bank in connection with the Loan Agreement, including any amendments, all as amended or extended from time to time, including but not limited to that certain Sixth Amendment to Loan and Security Agreement dated as of April __, 2022 (collectively, with the Loan Agreement, the “Loan Documents”), or any portion thereof.</w:t>
      </w:r>
    </w:p>
    <w:p>
      <w:pPr>
        <w:spacing w:after="0" w:line="18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 xml:space="preserve">Grant Security. </w:t>
      </w:r>
      <w:r>
        <w:rPr>
          <w:rFonts w:ascii="Arial" w:cs="Arial" w:eastAsia="Arial" w:hAnsi="Arial"/>
          <w:sz w:val="18"/>
          <w:szCs w:val="18"/>
          <w:color w:val="auto"/>
        </w:rPr>
        <w:t>To grant a security interest to Bank in the Collateral described in the Loan Documents, which security interest shall secure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Corporation’s Obligations, as described in the Loan Documents.</w:t>
      </w:r>
    </w:p>
    <w:p>
      <w:pPr>
        <w:spacing w:after="0" w:line="16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b w:val="1"/>
          <w:bCs w:val="1"/>
          <w:color w:val="auto"/>
        </w:rPr>
        <w:t xml:space="preserve">Negotiate Items. </w:t>
      </w:r>
      <w:r>
        <w:rPr>
          <w:rFonts w:ascii="Arial" w:cs="Arial" w:eastAsia="Arial" w:hAnsi="Arial"/>
          <w:sz w:val="18"/>
          <w:szCs w:val="18"/>
          <w:color w:val="auto"/>
        </w:rPr>
        <w:t>To draw, endorse, and discount with Bank all drafts, trade acceptances, promissory notes, or other evidences of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or belonging to the Corporation or in which the Corporation may have an interest, and either to receive cash for the same or to cause such proceeds to be credited to the account of the Corporation with Bank, or to cause such other disposition of the proceeds derived therefrom as they may deem advisable.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 xml:space="preserve">Letters of Credit. </w:t>
      </w:r>
      <w:r>
        <w:rPr>
          <w:rFonts w:ascii="Arial" w:cs="Arial" w:eastAsia="Arial" w:hAnsi="Arial"/>
          <w:sz w:val="17"/>
          <w:szCs w:val="17"/>
          <w:color w:val="auto"/>
        </w:rPr>
        <w:t>To execute letter of credit applications and other related documents pertaining to Bank’s issuance of letters of credit.</w:t>
      </w:r>
    </w:p>
    <w:p>
      <w:pPr>
        <w:spacing w:after="0" w:line="223"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8"/>
          <w:szCs w:val="18"/>
          <w:b w:val="1"/>
          <w:bCs w:val="1"/>
          <w:color w:val="auto"/>
        </w:rPr>
        <w:t xml:space="preserve">Corporate Credit Cards. </w:t>
      </w:r>
      <w:r>
        <w:rPr>
          <w:rFonts w:ascii="Arial" w:cs="Arial" w:eastAsia="Arial" w:hAnsi="Arial"/>
          <w:sz w:val="18"/>
          <w:szCs w:val="18"/>
          <w:color w:val="auto"/>
        </w:rPr>
        <w:t>To execute corporate credit card applications and agreements and other related documents pertaining to Bank’s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corporate credit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firstLine="749"/>
        <w:spacing w:after="0" w:line="296" w:lineRule="auto"/>
        <w:rPr>
          <w:sz w:val="20"/>
          <w:szCs w:val="20"/>
          <w:color w:val="auto"/>
        </w:rPr>
      </w:pPr>
      <w:r>
        <w:rPr>
          <w:rFonts w:ascii="Arial" w:cs="Arial" w:eastAsia="Arial" w:hAnsi="Arial"/>
          <w:sz w:val="16"/>
          <w:szCs w:val="16"/>
          <w:b w:val="1"/>
          <w:bCs w:val="1"/>
          <w:color w:val="auto"/>
        </w:rPr>
        <w:t xml:space="preserve">Further Acts. </w:t>
      </w:r>
      <w:r>
        <w:rPr>
          <w:rFonts w:ascii="Arial" w:cs="Arial" w:eastAsia="Arial" w:hAnsi="Arial"/>
          <w:sz w:val="16"/>
          <w:szCs w:val="16"/>
          <w:color w:val="auto"/>
        </w:rPr>
        <w:t>In the case of lines of credit, to designate additional or alternate individuals as being authorized to request advances thereunder,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and in all cases, to do and perform such other acts and things, to pay any and all fees and costs, and to execute and deliver such other documents and agreements as they may in their discretion deem reasonably necessary or proper in order to carry into effect the provisions of these Resolutions.</w:t>
      </w:r>
    </w:p>
    <w:p>
      <w:pPr>
        <w:spacing w:after="0" w:line="14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BE IT FURTHER RESOLVED, that any and all acts authorized pursuant to these resolutions and performed prior to the passage of these resolutions are hereby ratified and approved, that these Resolutions shall remain in full force and effect and Bank may rely on these Resolutions until written notice of their revocation shall have been delivered to and received by Bank. Any such notice shall not affect any of the Corporation’s agreements or commitments in effect at the time notice is given.</w:t>
      </w:r>
    </w:p>
    <w:p>
      <w:pPr>
        <w:spacing w:after="0" w:line="188"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6"/>
          <w:szCs w:val="16"/>
          <w:color w:val="auto"/>
        </w:rPr>
        <w:t>I FURTHER CERTIFY that the officers, employees, and agents named above are duly elected, appointed, or employed by or for the Corporation, as the case may be, and occupy the positions set forth opposite their respective names; that the foregoing Resolutions now stand of record on the books of the Corporation; and that the Resolutions are in full force and effect and have not been modified or revoked in any manner whatsoever.</w:t>
      </w:r>
    </w:p>
    <w:p>
      <w:pPr>
        <w:spacing w:after="0" w:line="147"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IN WITNESS WHEREOF, I have hereunto set my hand on April __, 2022 and attest that the signatures set opposite the names listed above are their genuine signatures.</w:t>
      </w:r>
    </w:p>
    <w:p>
      <w:pPr>
        <w:spacing w:after="0" w:line="17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CERTIFIED AND ATTESTED BY:</w:t>
      </w:r>
    </w:p>
    <w:p>
      <w:pPr>
        <w:spacing w:after="0" w:line="200" w:lineRule="exact"/>
        <w:rPr>
          <w:sz w:val="20"/>
          <w:szCs w:val="20"/>
          <w:color w:val="auto"/>
        </w:rPr>
      </w:pPr>
    </w:p>
    <w:p>
      <w:pPr>
        <w:spacing w:after="0" w:line="20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X</w:t>
      </w:r>
    </w:p>
    <w:p>
      <w:pPr>
        <w:spacing w:after="0" w:line="1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Pad Chiviukula, Secretary of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t>ATTACHMENT A</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522605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t>ATTACHMENT B</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BYLAWS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386715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Joseph E. Payne, certify that:</w:t>
      </w:r>
    </w:p>
    <w:p>
      <w:pPr>
        <w:spacing w:after="0" w:line="21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E. Payne</w:t>
            </w:r>
          </w:p>
        </w:tc>
      </w:tr>
      <w:tr>
        <w:trPr>
          <w:trHeight w:val="151"/>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3"/>
              </w:rPr>
              <w:t>Joseph E. Payne</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506"/>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Andy Sassine, certify that:</w:t>
      </w:r>
    </w:p>
    <w:p>
      <w:pPr>
        <w:spacing w:after="0" w:line="21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Andy Sassine</w:t>
            </w:r>
          </w:p>
        </w:tc>
      </w:tr>
      <w:tr>
        <w:trPr>
          <w:trHeight w:val="151"/>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1"/>
              </w:rPr>
              <w:t>Andy Sassine</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506"/>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March 31, 2022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E. Payne</w:t>
            </w:r>
          </w:p>
        </w:tc>
      </w:tr>
      <w:tr>
        <w:trPr>
          <w:trHeight w:val="151"/>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3"/>
              </w:rPr>
              <w:t>Joseph E. Payne</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507"/>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March 31, 2022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Andy Sassine</w:t>
            </w:r>
          </w:p>
        </w:tc>
      </w:tr>
      <w:tr>
        <w:trPr>
          <w:trHeight w:val="151"/>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1"/>
              </w:rPr>
              <w:t>Andy Sassine</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722"/>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lvl w:ilvl="1">
      <w:lvlJc w:val="left"/>
      <w:lvlText w:val="%2"/>
      <w:numFmt w:val="decimal"/>
      <w:start w:val="104"/>
    </w:lvl>
  </w:abstractNum>
  <w:abstractNum w:abstractNumId="9">
    <w:nsid w:val="3352255A"/>
    <w:multiLevelType w:val="hybridMultilevel"/>
    <w:lvl w:ilvl="0">
      <w:lvlJc w:val="left"/>
      <w:lvlText w:val="**"/>
      <w:numFmt w:val="bullet"/>
      <w:start w:val="1"/>
    </w:lvl>
    <w:lvl w:ilvl="1">
      <w:lvlJc w:val="left"/>
      <w:lvlText w:val="%2"/>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3"/>
    </w:lvl>
  </w:abstractNum>
  <w:abstractNum w:abstractNumId="12">
    <w:nsid w:val="7FDCC233"/>
    <w:multiLevelType w:val="hybridMultilevel"/>
    <w:lvl w:ilvl="0">
      <w:lvlJc w:val="left"/>
      <w:lvlText w:val="%1."/>
      <w:numFmt w:val="decimal"/>
      <w:start w:val="6"/>
    </w:lvl>
  </w:abstractNum>
  <w:abstractNum w:abstractNumId="13">
    <w:nsid w:val="1BEFD79F"/>
    <w:multiLevelType w:val="hybridMultilevel"/>
    <w:lvl w:ilvl="0">
      <w:lvlJc w:val="left"/>
      <w:lvlText w:val="%1."/>
      <w:numFmt w:val="decimal"/>
      <w:start w:val="7"/>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218" Type="http://schemas.openxmlformats.org/officeDocument/2006/relationships/image" Target="media/image173.png"/><Relationship Id="rId219" Type="http://schemas.openxmlformats.org/officeDocument/2006/relationships/image" Target="media/image174.png"/><Relationship Id="rId220" Type="http://schemas.openxmlformats.org/officeDocument/2006/relationships/image" Target="media/image175.png"/><Relationship Id="rId156" Type="http://schemas.openxmlformats.org/officeDocument/2006/relationships/hyperlink" Target="https://www.sec.gov/Archives/edgar/data/0001566049/000119312519077140/d721306ds4.htm" TargetMode="External"/><Relationship Id="rId157" Type="http://schemas.openxmlformats.org/officeDocument/2006/relationships/hyperlink" Target="https://www.sec.gov/Archives/edgar/data/0001768224/000119380520001470/e620104_ex3-1.htm" TargetMode="External"/><Relationship Id="rId158" Type="http://schemas.openxmlformats.org/officeDocument/2006/relationships/hyperlink" Target="https://www.sec.gov/Archives/edgar/data/0001768224/000119380520000569/e619613_ex3-2.htm" TargetMode="External"/><Relationship Id="rId159" Type="http://schemas.openxmlformats.org/officeDocument/2006/relationships/hyperlink" Target="https://www.sec.gov/Archives/edgar/data/1768224/000156459021009872/arct-ex41_391.htm" TargetMode="External"/><Relationship Id="rId160" Type="http://schemas.openxmlformats.org/officeDocument/2006/relationships/hyperlink" Target="https://www.sec.gov/Archives/edgar/data/1768224/000156459020011037/arct-ex101_364.htm" TargetMode="External"/><Relationship Id="rId161" Type="http://schemas.openxmlformats.org/officeDocument/2006/relationships/hyperlink" Target="https://www.sec.gov/Archives/edgar/data/0001768224/000119380520000940/e619825_ex4-3.htm" TargetMode="External"/><Relationship Id="rId162" Type="http://schemas.openxmlformats.org/officeDocument/2006/relationships/hyperlink" Target="https://www.sec.gov/Archives/edgar/data/0001566049/000156459018024268/arct-ex101_7.htm" TargetMode="External"/><Relationship Id="rId163" Type="http://schemas.openxmlformats.org/officeDocument/2006/relationships/hyperlink" Target="https://www.sec.gov/Archives/edgar/data/0001566049/000156459018023735/arct-ex992_6.htm" TargetMode="External"/><Relationship Id="rId164" Type="http://schemas.openxmlformats.org/officeDocument/2006/relationships/hyperlink" Target="https://www.sec.gov/Archives/edgar/data/0001566049/000156459018013460/arct-ex47_880.htm" TargetMode="External"/><Relationship Id="rId165" Type="http://schemas.openxmlformats.org/officeDocument/2006/relationships/hyperlink" Target="https://www.sec.gov/Archives/edgar/data/0001566049/000156459018013460/arct-ex48_879.htm" TargetMode="External"/><Relationship Id="rId166" Type="http://schemas.openxmlformats.org/officeDocument/2006/relationships/hyperlink" Target="https://www.sec.gov/Archives/edgar/data/0001566049/000156459018013460/arct-ex49_884.htm" TargetMode="External"/><Relationship Id="rId167" Type="http://schemas.openxmlformats.org/officeDocument/2006/relationships/hyperlink" Target="https://www.sec.gov/Archives/edgar/data/0001566049/000156459018013460/arct-ex410_883.htm" TargetMode="External"/><Relationship Id="rId168" Type="http://schemas.openxmlformats.org/officeDocument/2006/relationships/hyperlink" Target="https://www.sec.gov/Archives/edgar/data/0001566049/000119312519176908/d721252dex102.htm" TargetMode="External"/><Relationship Id="rId169" Type="http://schemas.openxmlformats.org/officeDocument/2006/relationships/hyperlink" Target="https://www.sec.gov/Archives/edgar/data/0001566049/000156459018013460/arct-ex411_878.htm" TargetMode="External"/><Relationship Id="rId170" Type="http://schemas.openxmlformats.org/officeDocument/2006/relationships/hyperlink" Target="https://www.sec.gov/Archives/edgar/data/0001768224/000156459019032166/arct-ex1016_165.htm" TargetMode="External"/><Relationship Id="rId171" Type="http://schemas.openxmlformats.org/officeDocument/2006/relationships/hyperlink" Target="https://www.sec.gov/Archives/edgar/data/0001566049/000156459018013460/arct-ex412_1677.htm" TargetMode="External"/><Relationship Id="rId172" Type="http://schemas.openxmlformats.org/officeDocument/2006/relationships/hyperlink" Target="https://www.sec.gov/Archives/edgar/data/0001768224/000156459019032166/arct-ex1020_166.htm" TargetMode="External"/><Relationship Id="rId175" Type="http://schemas.openxmlformats.org/officeDocument/2006/relationships/hyperlink" Target="https://www.sec.gov/Archives/edgar/data/0001566049/000156459018013460/arct-ex413_1676.htm" TargetMode="External"/><Relationship Id="rId176" Type="http://schemas.openxmlformats.org/officeDocument/2006/relationships/hyperlink" Target="https://www.sec.gov/Archives/edgar/data/0001768224/000156459019032166/arct-ex1021_167.htm" TargetMode="External"/><Relationship Id="rId177" Type="http://schemas.openxmlformats.org/officeDocument/2006/relationships/hyperlink" Target="https://www.sec.gov/Archives/edgar/data/0001566049/000156459018016705/arct-ex414_7.htm" TargetMode="External"/><Relationship Id="rId178" Type="http://schemas.openxmlformats.org/officeDocument/2006/relationships/hyperlink" Target="https://www.sec.gov/Archives/edgar/data/0001566049/000156459018013460/arct-ex415_876.htm" TargetMode="External"/><Relationship Id="rId179" Type="http://schemas.openxmlformats.org/officeDocument/2006/relationships/hyperlink" Target="https://www.sec.gov/Archives/edgar/data/0001566049/000156459019008092/arct-ex1013_446.htm" TargetMode="External"/><Relationship Id="rId180" Type="http://schemas.openxmlformats.org/officeDocument/2006/relationships/hyperlink" Target="https://www.sec.gov/Archives/edgar/data/0001566049/000156459019008092/arct-ex1014_583.htm" TargetMode="External"/><Relationship Id="rId181" Type="http://schemas.openxmlformats.org/officeDocument/2006/relationships/hyperlink" Target="https://www.sec.gov/Archives/edgar/data/0001566049/000156459019008092/arct-ex1015_582.htm" TargetMode="External"/><Relationship Id="rId182" Type="http://schemas.openxmlformats.org/officeDocument/2006/relationships/hyperlink" Target="https://www.sec.gov/Archives/edgar/data/0001566049/000156459018013460/arct-ex46_882.htm" TargetMode="External"/><Relationship Id="rId183" Type="http://schemas.openxmlformats.org/officeDocument/2006/relationships/hyperlink" Target="https://www.sec.gov/Archives/edgar/data/0001768224/000156459020011037/arct-ex1023_426.htm" TargetMode="External"/><Relationship Id="rId184" Type="http://schemas.openxmlformats.org/officeDocument/2006/relationships/hyperlink" Target="https://www.sec.gov/Archives/edgar/data/0001768224/000156459020011037/arct-ex1024_365.htm" TargetMode="External"/><Relationship Id="rId185" Type="http://schemas.openxmlformats.org/officeDocument/2006/relationships/hyperlink" Target="https://www.sec.gov/Archives/edgar/data/0001768224/000156459020052527/arct-ex1032_97.htm" TargetMode="External"/><Relationship Id="rId186" Type="http://schemas.openxmlformats.org/officeDocument/2006/relationships/hyperlink" Target="https://www.sec.gov/Archives/edgar/data/0001768224/000156459020052527/arct-ex1033_98.htm" TargetMode="External"/><Relationship Id="rId187" Type="http://schemas.openxmlformats.org/officeDocument/2006/relationships/hyperlink" Target="https://www.sec.gov/Archives/edgar/data/0001768224/000119380520001498/e620119_ex10-1.htm" TargetMode="External"/><Relationship Id="rId188" Type="http://schemas.openxmlformats.org/officeDocument/2006/relationships/hyperlink" Target="https://www.sec.gov/Archives/edgar/data/1768224/000156459021009872/arct-ex1029_392.htm" TargetMode="External"/><Relationship Id="rId189" Type="http://schemas.openxmlformats.org/officeDocument/2006/relationships/hyperlink" Target="https://www.sec.gov/Archives/edgar/data/1768224/000156459021009872/arct-ex1030_393.htm" TargetMode="External"/><Relationship Id="rId190" Type="http://schemas.openxmlformats.org/officeDocument/2006/relationships/hyperlink" Target="https://www.sec.gov/Archives/edgar/data/1768224/000119380521000538/e620514_ex10-1.htm" TargetMode="External"/><Relationship Id="rId193" Type="http://schemas.openxmlformats.org/officeDocument/2006/relationships/hyperlink" Target="https://www.sec.gov/Archives/edgar/data/0001768224/000156459021042750/arct-ex1032_47.htm" TargetMode="External"/><Relationship Id="rId194" Type="http://schemas.openxmlformats.org/officeDocument/2006/relationships/hyperlink" Target="https://www.sec.gov/Archives/edgar/data/0001768224/000156459021042750/arct-ex1033_46.htm" TargetMode="External"/><Relationship Id="rId195" Type="http://schemas.openxmlformats.org/officeDocument/2006/relationships/hyperlink" Target="https://www.sec.gov/Archives/edgar/data/1768224/000156459021055372/arct-ex1034_76.htm" TargetMode="External"/><Relationship Id="rId196" Type="http://schemas.openxmlformats.org/officeDocument/2006/relationships/hyperlink" Target="https://www.sec.gov/Archives/edgar/data/1768224/000156459021055372/arct-ex1035_75.htm" TargetMode="External"/><Relationship Id="rId197" Type="http://schemas.openxmlformats.org/officeDocument/2006/relationships/hyperlink" Target="https://www.sec.gov/Archives/edgar/data/0001768224/000119380521001468/e621018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2022-05-09T16:49:14Z</dcterms:created>
  <dcterms:modified xsi:type="dcterms:W3CDTF">2022-05-09T16:49:14Z</dcterms:modified>
</cp:coreProperties>
</file>