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right="579"/>
        <w:spacing w:after="0" w:line="253" w:lineRule="auto"/>
        <w:rPr>
          <w:sz w:val="20"/>
          <w:szCs w:val="20"/>
          <w:color w:val="auto"/>
        </w:rPr>
      </w:pPr>
      <w:r>
        <w:rPr>
          <w:rFonts w:ascii="Arial" w:cs="Arial" w:eastAsia="Arial" w:hAnsi="Arial"/>
          <w:sz w:val="18"/>
          <w:szCs w:val="18"/>
          <w:color w:val="FF0000"/>
        </w:rPr>
        <w:drawing>
          <wp:anchor simplePos="0" relativeHeight="251657728" behindDoc="1" locked="0" layoutInCell="0" allowOverlap="1">
            <wp:simplePos x="0" y="0"/>
            <wp:positionH relativeFrom="page">
              <wp:posOffset>232410</wp:posOffset>
            </wp:positionH>
            <wp:positionV relativeFrom="page">
              <wp:posOffset>266700</wp:posOffset>
            </wp:positionV>
            <wp:extent cx="6075680" cy="810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5680" cy="810260"/>
                    </a:xfrm>
                    <a:prstGeom prst="rect">
                      <a:avLst/>
                    </a:prstGeom>
                    <a:noFill/>
                  </pic:spPr>
                </pic:pic>
              </a:graphicData>
            </a:graphic>
          </wp:anchor>
        </w:drawing>
        <w:t>The information contained in this preliminary prospectus supplement and the accompanying prospectus is not complete and may be changed. A registration statement relating to the securities has been declared effective by the Securities and Exchange Commission. This preliminary prospectus supplement and the accompanying prospectus are not an offer to sell these securities and are not soliciting an offer to buy these securities in any jurisdiction where the offer or sale is not permitted.</w:t>
      </w:r>
    </w:p>
    <w:p>
      <w:pPr>
        <w:spacing w:after="0" w:line="116" w:lineRule="exact"/>
        <w:rPr>
          <w:sz w:val="24"/>
          <w:szCs w:val="24"/>
          <w:color w:val="auto"/>
        </w:rPr>
      </w:pPr>
    </w:p>
    <w:p>
      <w:pPr>
        <w:jc w:val="right"/>
        <w:ind w:right="519"/>
        <w:spacing w:after="0"/>
        <w:rPr>
          <w:sz w:val="20"/>
          <w:szCs w:val="20"/>
          <w:color w:val="auto"/>
        </w:rPr>
      </w:pPr>
      <w:r>
        <w:rPr>
          <w:rFonts w:ascii="Arial" w:cs="Arial" w:eastAsia="Arial" w:hAnsi="Arial"/>
          <w:sz w:val="18"/>
          <w:szCs w:val="18"/>
          <w:b w:val="1"/>
          <w:bCs w:val="1"/>
          <w:color w:val="auto"/>
        </w:rPr>
        <w:t>Filed pursuant to Rule 424(b)(5)</w:t>
      </w:r>
    </w:p>
    <w:p>
      <w:pPr>
        <w:spacing w:after="0" w:line="31" w:lineRule="exact"/>
        <w:rPr>
          <w:sz w:val="24"/>
          <w:szCs w:val="24"/>
          <w:color w:val="auto"/>
        </w:rPr>
      </w:pPr>
    </w:p>
    <w:p>
      <w:pPr>
        <w:jc w:val="right"/>
        <w:ind w:right="519"/>
        <w:spacing w:after="0"/>
        <w:rPr>
          <w:sz w:val="20"/>
          <w:szCs w:val="20"/>
          <w:color w:val="auto"/>
        </w:rPr>
      </w:pPr>
      <w:r>
        <w:rPr>
          <w:rFonts w:ascii="Arial" w:cs="Arial" w:eastAsia="Arial" w:hAnsi="Arial"/>
          <w:sz w:val="18"/>
          <w:szCs w:val="18"/>
          <w:b w:val="1"/>
          <w:bCs w:val="1"/>
          <w:color w:val="auto"/>
        </w:rPr>
        <w:t>Registration No. 333-197411</w:t>
      </w:r>
    </w:p>
    <w:p>
      <w:pPr>
        <w:spacing w:after="0" w:line="117" w:lineRule="exact"/>
        <w:rPr>
          <w:sz w:val="24"/>
          <w:szCs w:val="24"/>
          <w:color w:val="auto"/>
        </w:rPr>
      </w:pPr>
    </w:p>
    <w:p>
      <w:pPr>
        <w:ind w:left="4820"/>
        <w:spacing w:after="0"/>
        <w:rPr>
          <w:sz w:val="20"/>
          <w:szCs w:val="20"/>
          <w:color w:val="auto"/>
        </w:rPr>
      </w:pPr>
      <w:r>
        <w:rPr>
          <w:rFonts w:ascii="Arial" w:cs="Arial" w:eastAsia="Arial" w:hAnsi="Arial"/>
          <w:sz w:val="17"/>
          <w:szCs w:val="17"/>
          <w:color w:val="FF0000"/>
        </w:rPr>
        <w:t>SUBJECT TO COMPLETION, DATED NOVEMBER 12, 2015</w:t>
      </w:r>
    </w:p>
    <w:p>
      <w:pPr>
        <w:spacing w:after="0" w:line="152" w:lineRule="exact"/>
        <w:rPr>
          <w:sz w:val="24"/>
          <w:szCs w:val="24"/>
          <w:color w:val="auto"/>
        </w:rPr>
      </w:pPr>
    </w:p>
    <w:p>
      <w:pPr>
        <w:ind w:left="180"/>
        <w:spacing w:after="0"/>
        <w:rPr>
          <w:sz w:val="20"/>
          <w:szCs w:val="20"/>
          <w:color w:val="auto"/>
        </w:rPr>
      </w:pPr>
      <w:r>
        <w:rPr>
          <w:rFonts w:ascii="Arial" w:cs="Arial" w:eastAsia="Arial" w:hAnsi="Arial"/>
          <w:sz w:val="16"/>
          <w:szCs w:val="16"/>
          <w:b w:val="1"/>
          <w:bCs w:val="1"/>
          <w:color w:val="auto"/>
        </w:rPr>
        <w:t>PRELIMINARY PROSPECTUS SUPPLEMENT</w:t>
      </w:r>
    </w:p>
    <w:p>
      <w:pPr>
        <w:spacing w:after="0" w:line="25" w:lineRule="exact"/>
        <w:rPr>
          <w:sz w:val="24"/>
          <w:szCs w:val="24"/>
          <w:color w:val="auto"/>
        </w:rPr>
      </w:pPr>
    </w:p>
    <w:p>
      <w:pPr>
        <w:ind w:left="180"/>
        <w:spacing w:after="0"/>
        <w:rPr>
          <w:sz w:val="20"/>
          <w:szCs w:val="20"/>
          <w:color w:val="auto"/>
        </w:rPr>
      </w:pPr>
      <w:r>
        <w:rPr>
          <w:rFonts w:ascii="Arial" w:cs="Arial" w:eastAsia="Arial" w:hAnsi="Arial"/>
          <w:sz w:val="16"/>
          <w:szCs w:val="16"/>
          <w:b w:val="1"/>
          <w:bCs w:val="1"/>
          <w:color w:val="auto"/>
        </w:rPr>
        <w:t>(To prospectus dated August 1, 2014)</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88265</wp:posOffset>
            </wp:positionV>
            <wp:extent cx="1964055" cy="763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6405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379"/>
        <w:spacing w:after="0"/>
        <w:rPr>
          <w:sz w:val="20"/>
          <w:szCs w:val="20"/>
          <w:color w:val="auto"/>
        </w:rPr>
      </w:pPr>
      <w:r>
        <w:rPr>
          <w:rFonts w:ascii="Arial" w:cs="Arial" w:eastAsia="Arial" w:hAnsi="Arial"/>
          <w:sz w:val="36"/>
          <w:szCs w:val="36"/>
          <w:b w:val="1"/>
          <w:bCs w:val="1"/>
          <w:color w:val="auto"/>
        </w:rPr>
        <w:t>Alcobra Ltd.</w:t>
      </w:r>
    </w:p>
    <w:p>
      <w:pPr>
        <w:spacing w:after="0" w:line="215" w:lineRule="exact"/>
        <w:rPr>
          <w:sz w:val="24"/>
          <w:szCs w:val="24"/>
          <w:color w:val="auto"/>
        </w:rPr>
      </w:pPr>
    </w:p>
    <w:p>
      <w:pPr>
        <w:jc w:val="center"/>
        <w:ind w:right="379"/>
        <w:spacing w:after="0"/>
        <w:rPr>
          <w:sz w:val="20"/>
          <w:szCs w:val="20"/>
          <w:color w:val="auto"/>
        </w:rPr>
      </w:pPr>
      <w:r>
        <w:rPr>
          <w:rFonts w:ascii="Arial" w:cs="Arial" w:eastAsia="Arial" w:hAnsi="Arial"/>
          <w:sz w:val="29"/>
          <w:szCs w:val="29"/>
          <w:b w:val="1"/>
          <w:bCs w:val="1"/>
          <w:color w:val="auto"/>
        </w:rPr>
        <w:t>Ordinary Shares</w:t>
      </w:r>
    </w:p>
    <w:p>
      <w:pPr>
        <w:spacing w:after="0" w:line="138" w:lineRule="exact"/>
        <w:rPr>
          <w:sz w:val="24"/>
          <w:szCs w:val="24"/>
          <w:color w:val="auto"/>
        </w:rPr>
      </w:pPr>
    </w:p>
    <w:p>
      <w:pPr>
        <w:ind w:left="180" w:right="699"/>
        <w:spacing w:after="0" w:line="256" w:lineRule="auto"/>
        <w:rPr>
          <w:sz w:val="20"/>
          <w:szCs w:val="20"/>
          <w:color w:val="auto"/>
        </w:rPr>
      </w:pPr>
      <w:r>
        <w:rPr>
          <w:rFonts w:ascii="Arial" w:cs="Arial" w:eastAsia="Arial" w:hAnsi="Arial"/>
          <w:sz w:val="18"/>
          <w:szCs w:val="18"/>
          <w:color w:val="auto"/>
        </w:rPr>
        <w:t>We are offering our ordinary shares. The offering price is $ per ordinary share. Our ordinary shares are listed on the NASDAQ Global Market under the symbol “ADHD.” On November 11, 2015, the last reported sales price of our ordinary shares on the NASDAQ Global Market was $7.51 per share.</w:t>
      </w:r>
    </w:p>
    <w:p>
      <w:pPr>
        <w:spacing w:after="0" w:line="72" w:lineRule="exact"/>
        <w:rPr>
          <w:sz w:val="24"/>
          <w:szCs w:val="24"/>
          <w:color w:val="auto"/>
        </w:rPr>
      </w:pPr>
    </w:p>
    <w:p>
      <w:pPr>
        <w:ind w:left="180" w:right="599"/>
        <w:spacing w:after="0" w:line="287" w:lineRule="auto"/>
        <w:rPr>
          <w:sz w:val="20"/>
          <w:szCs w:val="20"/>
          <w:color w:val="auto"/>
        </w:rPr>
      </w:pPr>
      <w:r>
        <w:rPr>
          <w:rFonts w:ascii="Arial" w:cs="Arial" w:eastAsia="Arial" w:hAnsi="Arial"/>
          <w:sz w:val="18"/>
          <w:szCs w:val="18"/>
          <w:b w:val="1"/>
          <w:bCs w:val="1"/>
          <w:color w:val="auto"/>
        </w:rPr>
        <w:t>We are an “emerging growth company” as defined under the federal securities laws and, as such, may elect to comply with certain reduced public company reporting requirements for future filings.</w:t>
      </w:r>
    </w:p>
    <w:p>
      <w:pPr>
        <w:spacing w:after="0" w:line="45" w:lineRule="exact"/>
        <w:rPr>
          <w:sz w:val="24"/>
          <w:szCs w:val="24"/>
          <w:color w:val="auto"/>
        </w:rPr>
      </w:pPr>
    </w:p>
    <w:p>
      <w:pPr>
        <w:ind w:left="180" w:right="639"/>
        <w:spacing w:after="0" w:line="287"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ordinary shares involves a high degree of risk. Please read “Risk Factors” beginning on page S-</w:t>
      </w:r>
      <w:hyperlink w:anchor="page9">
        <w:r>
          <w:rPr>
            <w:rFonts w:ascii="Arial" w:cs="Arial" w:eastAsia="Arial" w:hAnsi="Arial"/>
            <w:sz w:val="18"/>
            <w:szCs w:val="18"/>
            <w:b w:val="1"/>
            <w:bCs w:val="1"/>
            <w:u w:val="single" w:color="auto"/>
            <w:color w:val="0000EE"/>
          </w:rPr>
          <w:t>6</w:t>
        </w:r>
      </w:hyperlink>
      <w:r>
        <w:rPr>
          <w:rFonts w:ascii="Arial" w:cs="Arial" w:eastAsia="Arial" w:hAnsi="Arial"/>
          <w:sz w:val="18"/>
          <w:szCs w:val="18"/>
          <w:b w:val="1"/>
          <w:bCs w:val="1"/>
          <w:color w:val="auto"/>
        </w:rPr>
        <w:t>.</w:t>
      </w:r>
    </w:p>
    <w:p>
      <w:pPr>
        <w:spacing w:after="0" w:line="45" w:lineRule="exact"/>
        <w:rPr>
          <w:sz w:val="24"/>
          <w:szCs w:val="24"/>
          <w:color w:val="auto"/>
        </w:rPr>
      </w:pPr>
    </w:p>
    <w:p>
      <w:pPr>
        <w:ind w:left="180" w:right="619"/>
        <w:spacing w:after="0" w:line="26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52705</wp:posOffset>
            </wp:positionV>
            <wp:extent cx="60375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37580" cy="171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86995</wp:posOffset>
            </wp:positionV>
            <wp:extent cx="53168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spacing w:after="0" w:line="225" w:lineRule="exact"/>
        <w:rPr>
          <w:sz w:val="24"/>
          <w:szCs w:val="24"/>
          <w:color w:val="auto"/>
        </w:rPr>
      </w:pPr>
    </w:p>
    <w:tbl>
      <w:tblPr>
        <w:tblLayout w:type="fixed"/>
        <w:tblInd w:w="12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16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c>
          <w:tcPr>
            <w:tcW w:w="17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TOTAL</w:t>
            </w:r>
          </w:p>
        </w:tc>
      </w:tr>
      <w:tr>
        <w:trPr>
          <w:trHeight w:val="183"/>
        </w:trPr>
        <w:tc>
          <w:tcPr>
            <w:tcW w:w="492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Public Offering Price</w:t>
            </w:r>
          </w:p>
        </w:tc>
        <w:tc>
          <w:tcPr>
            <w:tcW w:w="1600" w:type="dxa"/>
            <w:vAlign w:val="bottom"/>
            <w:shd w:val="clear" w:color="auto" w:fill="CCEEFF"/>
          </w:tcPr>
          <w:p>
            <w:pPr>
              <w:jc w:val="right"/>
              <w:ind w:right="1421"/>
              <w:spacing w:after="0" w:line="183" w:lineRule="exact"/>
              <w:rPr>
                <w:sz w:val="20"/>
                <w:szCs w:val="20"/>
                <w:color w:val="auto"/>
              </w:rPr>
            </w:pPr>
            <w:r>
              <w:rPr>
                <w:rFonts w:ascii="Arial" w:cs="Arial" w:eastAsia="Arial" w:hAnsi="Arial"/>
                <w:sz w:val="16"/>
                <w:szCs w:val="16"/>
                <w:color w:val="auto"/>
                <w:w w:val="89"/>
              </w:rPr>
              <w:t>$</w:t>
            </w:r>
          </w:p>
        </w:tc>
        <w:tc>
          <w:tcPr>
            <w:tcW w:w="1860" w:type="dxa"/>
            <w:vAlign w:val="bottom"/>
            <w:gridSpan w:val="2"/>
            <w:shd w:val="clear" w:color="auto" w:fill="CCEEFF"/>
          </w:tcPr>
          <w:p>
            <w:pPr>
              <w:jc w:val="right"/>
              <w:ind w:right="1528"/>
              <w:spacing w:after="0" w:line="183" w:lineRule="exact"/>
              <w:rPr>
                <w:sz w:val="20"/>
                <w:szCs w:val="20"/>
                <w:color w:val="auto"/>
              </w:rPr>
            </w:pPr>
            <w:r>
              <w:rPr>
                <w:rFonts w:ascii="Arial" w:cs="Arial" w:eastAsia="Arial" w:hAnsi="Arial"/>
                <w:sz w:val="16"/>
                <w:szCs w:val="16"/>
                <w:color w:val="auto"/>
              </w:rPr>
              <w:t>$</w:t>
            </w:r>
          </w:p>
        </w:tc>
      </w:tr>
      <w:tr>
        <w:trPr>
          <w:trHeight w:val="230"/>
        </w:trPr>
        <w:tc>
          <w:tcPr>
            <w:tcW w:w="4920" w:type="dxa"/>
            <w:vAlign w:val="bottom"/>
          </w:tcPr>
          <w:p>
            <w:pPr>
              <w:ind w:left="20"/>
              <w:spacing w:after="0" w:line="230"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6"/>
                <w:szCs w:val="26"/>
                <w:color w:val="auto"/>
                <w:vertAlign w:val="superscript"/>
              </w:rPr>
              <w:t>(1)</w:t>
            </w:r>
          </w:p>
        </w:tc>
        <w:tc>
          <w:tcPr>
            <w:tcW w:w="1600" w:type="dxa"/>
            <w:vAlign w:val="bottom"/>
          </w:tcPr>
          <w:p>
            <w:pPr>
              <w:jc w:val="right"/>
              <w:ind w:right="1421"/>
              <w:spacing w:after="0"/>
              <w:rPr>
                <w:sz w:val="20"/>
                <w:szCs w:val="20"/>
                <w:color w:val="auto"/>
              </w:rPr>
            </w:pPr>
            <w:r>
              <w:rPr>
                <w:rFonts w:ascii="Arial" w:cs="Arial" w:eastAsia="Arial" w:hAnsi="Arial"/>
                <w:sz w:val="16"/>
                <w:szCs w:val="16"/>
                <w:color w:val="auto"/>
                <w:w w:val="89"/>
              </w:rPr>
              <w:t>$</w:t>
            </w:r>
          </w:p>
        </w:tc>
        <w:tc>
          <w:tcPr>
            <w:tcW w:w="1860" w:type="dxa"/>
            <w:vAlign w:val="bottom"/>
            <w:gridSpan w:val="2"/>
          </w:tcPr>
          <w:p>
            <w:pPr>
              <w:jc w:val="right"/>
              <w:ind w:right="1528"/>
              <w:spacing w:after="0"/>
              <w:rPr>
                <w:sz w:val="20"/>
                <w:szCs w:val="20"/>
                <w:color w:val="auto"/>
              </w:rPr>
            </w:pPr>
            <w:r>
              <w:rPr>
                <w:rFonts w:ascii="Arial" w:cs="Arial" w:eastAsia="Arial" w:hAnsi="Arial"/>
                <w:sz w:val="16"/>
                <w:szCs w:val="16"/>
                <w:color w:val="auto"/>
              </w:rPr>
              <w:t>$</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to us before expenses.</w:t>
            </w:r>
          </w:p>
        </w:tc>
        <w:tc>
          <w:tcPr>
            <w:tcW w:w="1600" w:type="dxa"/>
            <w:vAlign w:val="bottom"/>
            <w:shd w:val="clear" w:color="auto" w:fill="CCEEFF"/>
          </w:tcPr>
          <w:p>
            <w:pPr>
              <w:jc w:val="right"/>
              <w:ind w:right="1421"/>
              <w:spacing w:after="0"/>
              <w:rPr>
                <w:sz w:val="20"/>
                <w:szCs w:val="20"/>
                <w:color w:val="auto"/>
              </w:rPr>
            </w:pPr>
            <w:r>
              <w:rPr>
                <w:rFonts w:ascii="Arial" w:cs="Arial" w:eastAsia="Arial" w:hAnsi="Arial"/>
                <w:sz w:val="16"/>
                <w:szCs w:val="16"/>
                <w:color w:val="auto"/>
                <w:w w:val="89"/>
              </w:rPr>
              <w:t>$</w:t>
            </w:r>
          </w:p>
        </w:tc>
        <w:tc>
          <w:tcPr>
            <w:tcW w:w="1860" w:type="dxa"/>
            <w:vAlign w:val="bottom"/>
            <w:gridSpan w:val="2"/>
            <w:shd w:val="clear" w:color="auto" w:fill="CCEEFF"/>
          </w:tcPr>
          <w:p>
            <w:pPr>
              <w:jc w:val="right"/>
              <w:ind w:right="1528"/>
              <w:spacing w:after="0"/>
              <w:rPr>
                <w:sz w:val="20"/>
                <w:szCs w:val="20"/>
                <w:color w:val="auto"/>
              </w:rPr>
            </w:pPr>
            <w:r>
              <w:rPr>
                <w:rFonts w:ascii="Arial" w:cs="Arial" w:eastAsia="Arial" w:hAnsi="Arial"/>
                <w:sz w:val="16"/>
                <w:szCs w:val="16"/>
                <w:color w:val="auto"/>
              </w:rPr>
              <w:t>$</w:t>
            </w:r>
          </w:p>
        </w:tc>
      </w:tr>
    </w:tbl>
    <w:p>
      <w:pPr>
        <w:spacing w:after="0" w:line="73" w:lineRule="exact"/>
        <w:rPr>
          <w:sz w:val="24"/>
          <w:szCs w:val="24"/>
          <w:color w:val="auto"/>
        </w:rPr>
      </w:pPr>
    </w:p>
    <w:p>
      <w:pPr>
        <w:ind w:left="640" w:hanging="182"/>
        <w:spacing w:after="0"/>
        <w:tabs>
          <w:tab w:leader="none" w:pos="640" w:val="left"/>
        </w:tabs>
        <w:numPr>
          <w:ilvl w:val="0"/>
          <w:numId w:val="1"/>
        </w:numPr>
        <w:rPr>
          <w:rFonts w:ascii="Arial" w:cs="Arial" w:eastAsia="Arial" w:hAnsi="Arial"/>
          <w:sz w:val="22"/>
          <w:szCs w:val="22"/>
          <w:color w:val="auto"/>
          <w:vertAlign w:val="superscript"/>
        </w:rPr>
      </w:pPr>
      <w:r>
        <w:rPr>
          <w:rFonts w:ascii="Arial" w:cs="Arial" w:eastAsia="Arial" w:hAnsi="Arial"/>
          <w:sz w:val="13"/>
          <w:szCs w:val="13"/>
          <w:color w:val="auto"/>
        </w:rPr>
        <w:t>The underwriters will also be reimbursed for certain expenses incurred in this offering. See “Underwriting” for details.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67945</wp:posOffset>
            </wp:positionV>
            <wp:extent cx="6037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207" w:lineRule="exact"/>
        <w:rPr>
          <w:sz w:val="24"/>
          <w:szCs w:val="24"/>
          <w:color w:val="auto"/>
        </w:rPr>
      </w:pPr>
    </w:p>
    <w:p>
      <w:pPr>
        <w:jc w:val="both"/>
        <w:ind w:left="180" w:right="559"/>
        <w:spacing w:after="0" w:line="254" w:lineRule="auto"/>
        <w:rPr>
          <w:sz w:val="20"/>
          <w:szCs w:val="20"/>
          <w:color w:val="auto"/>
        </w:rPr>
      </w:pPr>
      <w:r>
        <w:rPr>
          <w:rFonts w:ascii="Arial" w:cs="Arial" w:eastAsia="Arial" w:hAnsi="Arial"/>
          <w:sz w:val="18"/>
          <w:szCs w:val="18"/>
          <w:color w:val="auto"/>
        </w:rPr>
        <w:t>Delivery of the ordinary shares is expected to be made on or about , 2015. We have granted the underwriters an option for a period of 30 days to purchase up to an additional ordinary shares. If the underwriters exercise the option in full, the total underwriting discounts and commissions payable by us will be $ , and the total proceeds to us, before expenses, will be $ .</w:t>
      </w:r>
    </w:p>
    <w:p>
      <w:pPr>
        <w:spacing w:after="0" w:line="78" w:lineRule="exact"/>
        <w:rPr>
          <w:sz w:val="24"/>
          <w:szCs w:val="24"/>
          <w:color w:val="auto"/>
        </w:rPr>
      </w:pPr>
    </w:p>
    <w:p>
      <w:pPr>
        <w:jc w:val="center"/>
        <w:ind w:right="339"/>
        <w:spacing w:after="0"/>
        <w:rPr>
          <w:sz w:val="20"/>
          <w:szCs w:val="20"/>
          <w:color w:val="auto"/>
        </w:rPr>
      </w:pPr>
      <w:r>
        <w:rPr>
          <w:rFonts w:ascii="Arial" w:cs="Arial" w:eastAsia="Arial" w:hAnsi="Arial"/>
          <w:sz w:val="18"/>
          <w:szCs w:val="18"/>
          <w:i w:val="1"/>
          <w:iCs w:val="1"/>
          <w:color w:val="auto"/>
        </w:rPr>
        <w:t>Joint Book-Running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86360</wp:posOffset>
            </wp:positionV>
            <wp:extent cx="574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383"/>
        </w:trPr>
        <w:tc>
          <w:tcPr>
            <w:tcW w:w="5900" w:type="dxa"/>
            <w:vAlign w:val="bottom"/>
          </w:tcPr>
          <w:p>
            <w:pPr>
              <w:ind w:left="140"/>
              <w:spacing w:after="0"/>
              <w:rPr>
                <w:sz w:val="20"/>
                <w:szCs w:val="20"/>
                <w:color w:val="auto"/>
              </w:rPr>
            </w:pPr>
            <w:r>
              <w:rPr>
                <w:rFonts w:ascii="Arial" w:cs="Arial" w:eastAsia="Arial" w:hAnsi="Arial"/>
                <w:sz w:val="29"/>
                <w:szCs w:val="29"/>
                <w:b w:val="1"/>
                <w:bCs w:val="1"/>
                <w:color w:val="auto"/>
              </w:rPr>
              <w:t>Jefferies</w:t>
            </w:r>
          </w:p>
        </w:tc>
        <w:tc>
          <w:tcPr>
            <w:tcW w:w="3700" w:type="dxa"/>
            <w:vAlign w:val="bottom"/>
          </w:tcPr>
          <w:p>
            <w:pPr>
              <w:jc w:val="right"/>
              <w:ind w:right="283"/>
              <w:spacing w:after="0"/>
              <w:rPr>
                <w:sz w:val="20"/>
                <w:szCs w:val="20"/>
                <w:color w:val="auto"/>
              </w:rPr>
            </w:pPr>
            <w:r>
              <w:rPr>
                <w:rFonts w:ascii="Arial" w:cs="Arial" w:eastAsia="Arial" w:hAnsi="Arial"/>
                <w:sz w:val="29"/>
                <w:szCs w:val="29"/>
                <w:b w:val="1"/>
                <w:bCs w:val="1"/>
                <w:color w:val="auto"/>
              </w:rPr>
              <w:t>Barclays</w:t>
            </w:r>
          </w:p>
        </w:tc>
      </w:tr>
      <w:tr>
        <w:trPr>
          <w:trHeight w:val="319"/>
        </w:trPr>
        <w:tc>
          <w:tcPr>
            <w:tcW w:w="5900" w:type="dxa"/>
            <w:vAlign w:val="bottom"/>
          </w:tcPr>
          <w:p>
            <w:pPr>
              <w:ind w:left="3180"/>
              <w:spacing w:after="0"/>
              <w:rPr>
                <w:sz w:val="20"/>
                <w:szCs w:val="20"/>
                <w:color w:val="auto"/>
              </w:rPr>
            </w:pPr>
            <w:r>
              <w:rPr>
                <w:rFonts w:ascii="Arial" w:cs="Arial" w:eastAsia="Arial" w:hAnsi="Arial"/>
                <w:sz w:val="18"/>
                <w:szCs w:val="18"/>
                <w:color w:val="auto"/>
              </w:rPr>
              <w:t>Prospectus Supplement dated</w:t>
            </w:r>
          </w:p>
        </w:tc>
        <w:tc>
          <w:tcPr>
            <w:tcW w:w="3700" w:type="dxa"/>
            <w:vAlign w:val="bottom"/>
          </w:tcPr>
          <w:p>
            <w:pPr>
              <w:jc w:val="right"/>
              <w:ind w:right="2783"/>
              <w:spacing w:after="0"/>
              <w:rPr>
                <w:sz w:val="20"/>
                <w:szCs w:val="20"/>
                <w:color w:val="auto"/>
              </w:rPr>
            </w:pPr>
            <w:r>
              <w:rPr>
                <w:rFonts w:ascii="Arial" w:cs="Arial" w:eastAsia="Arial" w:hAnsi="Arial"/>
                <w:sz w:val="18"/>
                <w:szCs w:val="18"/>
                <w:color w:val="auto"/>
              </w:rPr>
              <w:t>, 2015</w:t>
            </w:r>
          </w:p>
        </w:tc>
      </w:tr>
      <w:tr>
        <w:trPr>
          <w:trHeight w:val="716"/>
        </w:trPr>
        <w:tc>
          <w:tcPr>
            <w:tcW w:w="59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r>
        <w:trPr>
          <w:trHeight w:val="21"/>
        </w:trPr>
        <w:tc>
          <w:tcPr>
            <w:tcW w:w="5900" w:type="dxa"/>
            <w:vAlign w:val="bottom"/>
            <w:tcBorders>
              <w:bottom w:val="single" w:sz="8" w:color="EEEEEE"/>
            </w:tcBorders>
          </w:tcPr>
          <w:p>
            <w:pPr>
              <w:spacing w:after="0" w:line="20" w:lineRule="exact"/>
              <w:rPr>
                <w:sz w:val="1"/>
                <w:szCs w:val="1"/>
                <w:color w:val="auto"/>
              </w:rPr>
            </w:pPr>
          </w:p>
        </w:tc>
        <w:tc>
          <w:tcPr>
            <w:tcW w:w="3700" w:type="dxa"/>
            <w:vAlign w:val="bottom"/>
            <w:tcBorders>
              <w:bottom w:val="single" w:sz="8" w:color="EEEEEE"/>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1" w:name="page2"/>
    <w:bookmarkEnd w:id="1"/>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20" w:type="dxa"/>
            <w:vAlign w:val="bottom"/>
            <w:gridSpan w:val="2"/>
          </w:tcPr>
          <w:p>
            <w:pPr>
              <w:ind w:left="30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Page</w:t>
            </w:r>
          </w:p>
        </w:tc>
        <w:tc>
          <w:tcPr>
            <w:tcW w:w="1260" w:type="dxa"/>
            <w:vAlign w:val="bottom"/>
          </w:tcPr>
          <w:p>
            <w:pPr>
              <w:spacing w:after="0"/>
              <w:rPr>
                <w:sz w:val="24"/>
                <w:szCs w:val="24"/>
                <w:color w:val="auto"/>
              </w:rPr>
            </w:pPr>
          </w:p>
        </w:tc>
      </w:tr>
      <w:tr>
        <w:trPr>
          <w:trHeight w:val="156"/>
        </w:trPr>
        <w:tc>
          <w:tcPr>
            <w:tcW w:w="140" w:type="dxa"/>
            <w:vAlign w:val="bottom"/>
            <w:tcBorders>
              <w:right w:val="single" w:sz="8" w:color="CCEEFF"/>
            </w:tcBorders>
          </w:tcPr>
          <w:p>
            <w:pPr>
              <w:spacing w:after="0"/>
              <w:rPr>
                <w:sz w:val="13"/>
                <w:szCs w:val="13"/>
                <w:color w:val="auto"/>
              </w:rPr>
            </w:pPr>
          </w:p>
        </w:tc>
        <w:tc>
          <w:tcPr>
            <w:tcW w:w="7640" w:type="dxa"/>
            <w:vAlign w:val="bottom"/>
            <w:gridSpan w:val="16"/>
            <w:shd w:val="clear" w:color="auto" w:fill="CCEEFF"/>
          </w:tcPr>
          <w:p>
            <w:pPr>
              <w:spacing w:after="0" w:line="155" w:lineRule="exact"/>
              <w:rPr>
                <w:rFonts w:ascii="Arial" w:cs="Arial" w:eastAsia="Arial" w:hAnsi="Arial"/>
                <w:sz w:val="16"/>
                <w:szCs w:val="16"/>
                <w:color w:val="0000EE"/>
              </w:rPr>
            </w:pPr>
            <w:hyperlink w:anchor="page3">
              <w:r>
                <w:rPr>
                  <w:rFonts w:ascii="Arial" w:cs="Arial" w:eastAsia="Arial" w:hAnsi="Arial"/>
                  <w:sz w:val="16"/>
                  <w:szCs w:val="16"/>
                  <w:color w:val="0000EE"/>
                </w:rPr>
                <w:t>About this Prospectus Supplement</w:t>
              </w:r>
            </w:hyperlink>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60" w:type="dxa"/>
            <w:vAlign w:val="bottom"/>
            <w:gridSpan w:val="2"/>
            <w:shd w:val="clear" w:color="auto" w:fill="CCEEFF"/>
          </w:tcPr>
          <w:p>
            <w:pPr>
              <w:jc w:val="right"/>
              <w:ind w:right="29"/>
              <w:spacing w:after="0" w:line="156" w:lineRule="exact"/>
              <w:rPr>
                <w:rFonts w:ascii="Arial" w:cs="Arial" w:eastAsia="Arial" w:hAnsi="Arial"/>
                <w:sz w:val="15"/>
                <w:szCs w:val="15"/>
                <w:color w:val="0000EE"/>
                <w:w w:val="73"/>
              </w:rPr>
            </w:pPr>
            <w:hyperlink w:anchor="page3">
              <w:r>
                <w:rPr>
                  <w:rFonts w:ascii="Arial" w:cs="Arial" w:eastAsia="Arial" w:hAnsi="Arial"/>
                  <w:sz w:val="15"/>
                  <w:szCs w:val="15"/>
                  <w:color w:val="0000EE"/>
                  <w:w w:val="73"/>
                </w:rPr>
                <w:t>S-ii</w:t>
              </w:r>
            </w:hyperlink>
          </w:p>
        </w:tc>
        <w:tc>
          <w:tcPr>
            <w:tcW w:w="1260" w:type="dxa"/>
            <w:vAlign w:val="bottom"/>
          </w:tcPr>
          <w:p>
            <w:pPr>
              <w:spacing w:after="0"/>
              <w:rPr>
                <w:sz w:val="13"/>
                <w:szCs w:val="13"/>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4">
              <w:r>
                <w:rPr>
                  <w:rFonts w:ascii="Arial" w:cs="Arial" w:eastAsia="Arial" w:hAnsi="Arial"/>
                  <w:sz w:val="16"/>
                  <w:szCs w:val="16"/>
                  <w:color w:val="0000EE"/>
                </w:rPr>
                <w:t>Prospectus Supplement Summary</w:t>
              </w:r>
            </w:hyperlink>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gridSpan w:val="2"/>
          </w:tcPr>
          <w:p>
            <w:pPr>
              <w:jc w:val="right"/>
              <w:ind w:right="29"/>
              <w:spacing w:after="0"/>
              <w:rPr>
                <w:rFonts w:ascii="Arial" w:cs="Arial" w:eastAsia="Arial" w:hAnsi="Arial"/>
                <w:sz w:val="14"/>
                <w:szCs w:val="14"/>
                <w:color w:val="0000EE"/>
                <w:w w:val="73"/>
              </w:rPr>
            </w:pPr>
            <w:hyperlink w:anchor="page4">
              <w:r>
                <w:rPr>
                  <w:rFonts w:ascii="Arial" w:cs="Arial" w:eastAsia="Arial" w:hAnsi="Arial"/>
                  <w:sz w:val="14"/>
                  <w:szCs w:val="14"/>
                  <w:color w:val="0000EE"/>
                  <w:w w:val="73"/>
                </w:rPr>
                <w:t>S-1</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9">
              <w:r>
                <w:rPr>
                  <w:rFonts w:ascii="Arial" w:cs="Arial" w:eastAsia="Arial" w:hAnsi="Arial"/>
                  <w:sz w:val="16"/>
                  <w:szCs w:val="16"/>
                  <w:color w:val="0000EE"/>
                </w:rPr>
                <w:t>Risk Factors</w:t>
              </w:r>
            </w:hyperlink>
          </w:p>
        </w:tc>
        <w:tc>
          <w:tcPr>
            <w:tcW w:w="1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60" w:type="dxa"/>
            <w:vAlign w:val="bottom"/>
            <w:gridSpan w:val="2"/>
            <w:shd w:val="clear" w:color="auto" w:fill="CCEEFF"/>
          </w:tcPr>
          <w:p>
            <w:pPr>
              <w:jc w:val="right"/>
              <w:ind w:right="29"/>
              <w:spacing w:after="0"/>
              <w:rPr>
                <w:rFonts w:ascii="Arial" w:cs="Arial" w:eastAsia="Arial" w:hAnsi="Arial"/>
                <w:sz w:val="14"/>
                <w:szCs w:val="14"/>
                <w:color w:val="0000EE"/>
                <w:w w:val="73"/>
              </w:rPr>
            </w:pPr>
            <w:hyperlink w:anchor="page9">
              <w:r>
                <w:rPr>
                  <w:rFonts w:ascii="Arial" w:cs="Arial" w:eastAsia="Arial" w:hAnsi="Arial"/>
                  <w:sz w:val="14"/>
                  <w:szCs w:val="14"/>
                  <w:color w:val="0000EE"/>
                  <w:w w:val="73"/>
                </w:rPr>
                <w:t>S-6</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12">
              <w:r>
                <w:rPr>
                  <w:rFonts w:ascii="Arial" w:cs="Arial" w:eastAsia="Arial" w:hAnsi="Arial"/>
                  <w:sz w:val="16"/>
                  <w:szCs w:val="16"/>
                  <w:color w:val="0000EE"/>
                </w:rPr>
                <w:t>Warning Regarding Forward-Looking Statements</w:t>
              </w:r>
            </w:hyperlink>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gridSpan w:val="2"/>
          </w:tcPr>
          <w:p>
            <w:pPr>
              <w:jc w:val="right"/>
              <w:ind w:right="29"/>
              <w:spacing w:after="0"/>
              <w:rPr>
                <w:rFonts w:ascii="Arial" w:cs="Arial" w:eastAsia="Arial" w:hAnsi="Arial"/>
                <w:sz w:val="14"/>
                <w:szCs w:val="14"/>
                <w:color w:val="0000EE"/>
                <w:w w:val="73"/>
              </w:rPr>
            </w:pPr>
            <w:hyperlink w:anchor="page12">
              <w:r>
                <w:rPr>
                  <w:rFonts w:ascii="Arial" w:cs="Arial" w:eastAsia="Arial" w:hAnsi="Arial"/>
                  <w:sz w:val="14"/>
                  <w:szCs w:val="14"/>
                  <w:color w:val="0000EE"/>
                  <w:w w:val="73"/>
                </w:rPr>
                <w:t>S-9</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13">
              <w:r>
                <w:rPr>
                  <w:rFonts w:ascii="Arial" w:cs="Arial" w:eastAsia="Arial" w:hAnsi="Arial"/>
                  <w:sz w:val="16"/>
                  <w:szCs w:val="16"/>
                  <w:color w:val="0000EE"/>
                </w:rPr>
                <w:t>Use of Proceeds</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13">
              <w:r>
                <w:rPr>
                  <w:rFonts w:ascii="Arial" w:cs="Arial" w:eastAsia="Arial" w:hAnsi="Arial"/>
                  <w:sz w:val="16"/>
                  <w:szCs w:val="16"/>
                  <w:color w:val="0000EE"/>
                </w:rPr>
                <w:t>S-10</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14">
              <w:r>
                <w:rPr>
                  <w:rFonts w:ascii="Arial" w:cs="Arial" w:eastAsia="Arial" w:hAnsi="Arial"/>
                  <w:sz w:val="16"/>
                  <w:szCs w:val="16"/>
                  <w:color w:val="0000EE"/>
                </w:rPr>
                <w:t>Price Range of Ordinary Shares</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14">
              <w:r>
                <w:rPr>
                  <w:rFonts w:ascii="Arial" w:cs="Arial" w:eastAsia="Arial" w:hAnsi="Arial"/>
                  <w:sz w:val="16"/>
                  <w:szCs w:val="16"/>
                  <w:color w:val="0000EE"/>
                </w:rPr>
                <w:t>S-11</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15">
              <w:r>
                <w:rPr>
                  <w:rFonts w:ascii="Arial" w:cs="Arial" w:eastAsia="Arial" w:hAnsi="Arial"/>
                  <w:sz w:val="16"/>
                  <w:szCs w:val="16"/>
                  <w:color w:val="0000EE"/>
                </w:rPr>
                <w:t>Dividend Policy</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15">
              <w:r>
                <w:rPr>
                  <w:rFonts w:ascii="Arial" w:cs="Arial" w:eastAsia="Arial" w:hAnsi="Arial"/>
                  <w:sz w:val="16"/>
                  <w:szCs w:val="16"/>
                  <w:color w:val="0000EE"/>
                </w:rPr>
                <w:t>S-12</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16">
              <w:r>
                <w:rPr>
                  <w:rFonts w:ascii="Arial" w:cs="Arial" w:eastAsia="Arial" w:hAnsi="Arial"/>
                  <w:sz w:val="16"/>
                  <w:szCs w:val="16"/>
                  <w:color w:val="0000EE"/>
                </w:rPr>
                <w:t>Capitalization</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16">
              <w:r>
                <w:rPr>
                  <w:rFonts w:ascii="Arial" w:cs="Arial" w:eastAsia="Arial" w:hAnsi="Arial"/>
                  <w:sz w:val="16"/>
                  <w:szCs w:val="16"/>
                  <w:color w:val="0000EE"/>
                </w:rPr>
                <w:t>S-13</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17">
              <w:r>
                <w:rPr>
                  <w:rFonts w:ascii="Arial" w:cs="Arial" w:eastAsia="Arial" w:hAnsi="Arial"/>
                  <w:sz w:val="16"/>
                  <w:szCs w:val="16"/>
                  <w:color w:val="0000EE"/>
                </w:rPr>
                <w:t>Dilution</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17">
              <w:r>
                <w:rPr>
                  <w:rFonts w:ascii="Arial" w:cs="Arial" w:eastAsia="Arial" w:hAnsi="Arial"/>
                  <w:sz w:val="16"/>
                  <w:szCs w:val="16"/>
                  <w:color w:val="0000EE"/>
                </w:rPr>
                <w:t>S-14</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18">
              <w:r>
                <w:rPr>
                  <w:rFonts w:ascii="Arial" w:cs="Arial" w:eastAsia="Arial" w:hAnsi="Arial"/>
                  <w:sz w:val="16"/>
                  <w:szCs w:val="16"/>
                  <w:color w:val="0000EE"/>
                </w:rPr>
                <w:t>Underwriting</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18">
              <w:r>
                <w:rPr>
                  <w:rFonts w:ascii="Arial" w:cs="Arial" w:eastAsia="Arial" w:hAnsi="Arial"/>
                  <w:sz w:val="16"/>
                  <w:szCs w:val="16"/>
                  <w:color w:val="0000EE"/>
                </w:rPr>
                <w:t>S-15</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26">
              <w:r>
                <w:rPr>
                  <w:rFonts w:ascii="Arial" w:cs="Arial" w:eastAsia="Arial" w:hAnsi="Arial"/>
                  <w:sz w:val="16"/>
                  <w:szCs w:val="16"/>
                  <w:color w:val="0000EE"/>
                </w:rPr>
                <w:t>Legal Matters</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26">
              <w:r>
                <w:rPr>
                  <w:rFonts w:ascii="Arial" w:cs="Arial" w:eastAsia="Arial" w:hAnsi="Arial"/>
                  <w:sz w:val="16"/>
                  <w:szCs w:val="16"/>
                  <w:color w:val="0000EE"/>
                </w:rPr>
                <w:t>S-23</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26">
              <w:r>
                <w:rPr>
                  <w:rFonts w:ascii="Arial" w:cs="Arial" w:eastAsia="Arial" w:hAnsi="Arial"/>
                  <w:sz w:val="16"/>
                  <w:szCs w:val="16"/>
                  <w:color w:val="0000EE"/>
                </w:rPr>
                <w:t>Experts</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26">
              <w:r>
                <w:rPr>
                  <w:rFonts w:ascii="Arial" w:cs="Arial" w:eastAsia="Arial" w:hAnsi="Arial"/>
                  <w:sz w:val="16"/>
                  <w:szCs w:val="16"/>
                  <w:color w:val="0000EE"/>
                </w:rPr>
                <w:t>S-23</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26">
              <w:r>
                <w:rPr>
                  <w:rFonts w:ascii="Arial" w:cs="Arial" w:eastAsia="Arial" w:hAnsi="Arial"/>
                  <w:sz w:val="16"/>
                  <w:szCs w:val="16"/>
                  <w:color w:val="0000EE"/>
                </w:rPr>
                <w:t>Where You Can Find More Information and Incorporation of Certain Information by Reference</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26">
              <w:r>
                <w:rPr>
                  <w:rFonts w:ascii="Arial" w:cs="Arial" w:eastAsia="Arial" w:hAnsi="Arial"/>
                  <w:sz w:val="16"/>
                  <w:szCs w:val="16"/>
                  <w:color w:val="0000EE"/>
                </w:rPr>
                <w:t>S-23</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180" w:type="dxa"/>
            <w:vAlign w:val="bottom"/>
            <w:tcBorders>
              <w:right w:val="single" w:sz="8" w:color="CCEEFF"/>
            </w:tcBorders>
            <w:shd w:val="clear" w:color="auto" w:fill="0000EE"/>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40" w:type="dxa"/>
            <w:vAlign w:val="bottom"/>
          </w:tcPr>
          <w:p>
            <w:pPr>
              <w:spacing w:after="0"/>
              <w:rPr>
                <w:sz w:val="16"/>
                <w:szCs w:val="16"/>
                <w:color w:val="auto"/>
              </w:rPr>
            </w:pPr>
          </w:p>
        </w:tc>
        <w:tc>
          <w:tcPr>
            <w:tcW w:w="7640" w:type="dxa"/>
            <w:vAlign w:val="bottom"/>
            <w:gridSpan w:val="16"/>
          </w:tcPr>
          <w:p>
            <w:pPr>
              <w:spacing w:after="0"/>
              <w:rPr>
                <w:sz w:val="20"/>
                <w:szCs w:val="20"/>
                <w:color w:val="auto"/>
              </w:rPr>
            </w:pPr>
            <w:r>
              <w:rPr>
                <w:rFonts w:ascii="Arial" w:cs="Arial" w:eastAsia="Arial" w:hAnsi="Arial"/>
                <w:sz w:val="16"/>
                <w:szCs w:val="16"/>
                <w:b w:val="1"/>
                <w:bCs w:val="1"/>
                <w:color w:val="auto"/>
              </w:rPr>
              <w:t>Prospectus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30">
              <w:r>
                <w:rPr>
                  <w:rFonts w:ascii="Arial" w:cs="Arial" w:eastAsia="Arial" w:hAnsi="Arial"/>
                  <w:sz w:val="16"/>
                  <w:szCs w:val="16"/>
                  <w:color w:val="0000EE"/>
                </w:rPr>
                <w:t>About this Prospectus</w:t>
              </w:r>
            </w:hyperlink>
          </w:p>
        </w:tc>
        <w:tc>
          <w:tcPr>
            <w:tcW w:w="1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jc w:val="right"/>
              <w:ind w:right="29"/>
              <w:spacing w:after="0"/>
              <w:rPr>
                <w:rFonts w:ascii="Arial" w:cs="Arial" w:eastAsia="Arial" w:hAnsi="Arial"/>
                <w:sz w:val="12"/>
                <w:szCs w:val="12"/>
                <w:color w:val="0000EE"/>
                <w:w w:val="74"/>
              </w:rPr>
            </w:pPr>
            <w:hyperlink w:anchor="page30">
              <w:r>
                <w:rPr>
                  <w:rFonts w:ascii="Arial" w:cs="Arial" w:eastAsia="Arial" w:hAnsi="Arial"/>
                  <w:sz w:val="12"/>
                  <w:szCs w:val="12"/>
                  <w:color w:val="0000EE"/>
                  <w:w w:val="74"/>
                </w:rPr>
                <w:t>ii</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31">
              <w:r>
                <w:rPr>
                  <w:rFonts w:ascii="Arial" w:cs="Arial" w:eastAsia="Arial" w:hAnsi="Arial"/>
                  <w:sz w:val="16"/>
                  <w:szCs w:val="16"/>
                  <w:color w:val="0000EE"/>
                </w:rPr>
                <w:t>About Alcobra Ltd.</w:t>
              </w:r>
            </w:hyperlink>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jc w:val="right"/>
              <w:ind w:right="29"/>
              <w:spacing w:after="0"/>
              <w:rPr>
                <w:rFonts w:ascii="Arial" w:cs="Arial" w:eastAsia="Arial" w:hAnsi="Arial"/>
                <w:sz w:val="8"/>
                <w:szCs w:val="8"/>
                <w:color w:val="0000EE"/>
                <w:w w:val="74"/>
              </w:rPr>
            </w:pPr>
            <w:hyperlink w:anchor="page31">
              <w:r>
                <w:rPr>
                  <w:rFonts w:ascii="Arial" w:cs="Arial" w:eastAsia="Arial" w:hAnsi="Arial"/>
                  <w:sz w:val="8"/>
                  <w:szCs w:val="8"/>
                  <w:color w:val="0000EE"/>
                  <w:w w:val="74"/>
                </w:rPr>
                <w:t>iii</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32">
              <w:r>
                <w:rPr>
                  <w:rFonts w:ascii="Arial" w:cs="Arial" w:eastAsia="Arial" w:hAnsi="Arial"/>
                  <w:sz w:val="16"/>
                  <w:szCs w:val="16"/>
                  <w:color w:val="0000EE"/>
                </w:rPr>
                <w:t>Risk Factors</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32">
              <w:r>
                <w:rPr>
                  <w:rFonts w:ascii="Arial" w:cs="Arial" w:eastAsia="Arial" w:hAnsi="Arial"/>
                  <w:sz w:val="16"/>
                  <w:szCs w:val="16"/>
                  <w:color w:val="0000EE"/>
                </w:rPr>
                <w:t>1</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33">
              <w:r>
                <w:rPr>
                  <w:rFonts w:ascii="Arial" w:cs="Arial" w:eastAsia="Arial" w:hAnsi="Arial"/>
                  <w:sz w:val="16"/>
                  <w:szCs w:val="16"/>
                  <w:color w:val="0000EE"/>
                </w:rPr>
                <w:t>Warning Regarding Forward-Looking Statements</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33">
              <w:r>
                <w:rPr>
                  <w:rFonts w:ascii="Arial" w:cs="Arial" w:eastAsia="Arial" w:hAnsi="Arial"/>
                  <w:sz w:val="16"/>
                  <w:szCs w:val="16"/>
                  <w:color w:val="0000EE"/>
                </w:rPr>
                <w:t>2</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34">
              <w:r>
                <w:rPr>
                  <w:rFonts w:ascii="Arial" w:cs="Arial" w:eastAsia="Arial" w:hAnsi="Arial"/>
                  <w:sz w:val="16"/>
                  <w:szCs w:val="16"/>
                  <w:color w:val="0000EE"/>
                </w:rPr>
                <w:t>Capitalization and Indebtedness</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34">
              <w:r>
                <w:rPr>
                  <w:rFonts w:ascii="Arial" w:cs="Arial" w:eastAsia="Arial" w:hAnsi="Arial"/>
                  <w:sz w:val="16"/>
                  <w:szCs w:val="16"/>
                  <w:color w:val="0000EE"/>
                </w:rPr>
                <w:t>3</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34">
              <w:r>
                <w:rPr>
                  <w:rFonts w:ascii="Arial" w:cs="Arial" w:eastAsia="Arial" w:hAnsi="Arial"/>
                  <w:sz w:val="16"/>
                  <w:szCs w:val="16"/>
                  <w:color w:val="0000EE"/>
                </w:rPr>
                <w:t>Reasons for the Offer and Use of Proceeds</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34">
              <w:r>
                <w:rPr>
                  <w:rFonts w:ascii="Arial" w:cs="Arial" w:eastAsia="Arial" w:hAnsi="Arial"/>
                  <w:sz w:val="16"/>
                  <w:szCs w:val="16"/>
                  <w:color w:val="0000EE"/>
                </w:rPr>
                <w:t>3</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35">
              <w:r>
                <w:rPr>
                  <w:rFonts w:ascii="Arial" w:cs="Arial" w:eastAsia="Arial" w:hAnsi="Arial"/>
                  <w:sz w:val="16"/>
                  <w:szCs w:val="16"/>
                  <w:color w:val="0000EE"/>
                </w:rPr>
                <w:t>Price Range of our Ordinary Shares</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35">
              <w:r>
                <w:rPr>
                  <w:rFonts w:ascii="Arial" w:cs="Arial" w:eastAsia="Arial" w:hAnsi="Arial"/>
                  <w:sz w:val="16"/>
                  <w:szCs w:val="16"/>
                  <w:color w:val="0000EE"/>
                </w:rPr>
                <w:t>4</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36">
              <w:r>
                <w:rPr>
                  <w:rFonts w:ascii="Arial" w:cs="Arial" w:eastAsia="Arial" w:hAnsi="Arial"/>
                  <w:sz w:val="16"/>
                  <w:szCs w:val="16"/>
                  <w:color w:val="0000EE"/>
                </w:rPr>
                <w:t>Description of our Ordinary Shares</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36">
              <w:r>
                <w:rPr>
                  <w:rFonts w:ascii="Arial" w:cs="Arial" w:eastAsia="Arial" w:hAnsi="Arial"/>
                  <w:sz w:val="16"/>
                  <w:szCs w:val="16"/>
                  <w:color w:val="0000EE"/>
                </w:rPr>
                <w:t>5</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38">
              <w:r>
                <w:rPr>
                  <w:rFonts w:ascii="Arial" w:cs="Arial" w:eastAsia="Arial" w:hAnsi="Arial"/>
                  <w:sz w:val="16"/>
                  <w:szCs w:val="16"/>
                  <w:color w:val="0000EE"/>
                </w:rPr>
                <w:t>Plan of Distribution</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38">
              <w:r>
                <w:rPr>
                  <w:rFonts w:ascii="Arial" w:cs="Arial" w:eastAsia="Arial" w:hAnsi="Arial"/>
                  <w:sz w:val="16"/>
                  <w:szCs w:val="16"/>
                  <w:color w:val="0000EE"/>
                </w:rPr>
                <w:t>7</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39">
              <w:r>
                <w:rPr>
                  <w:rFonts w:ascii="Arial" w:cs="Arial" w:eastAsia="Arial" w:hAnsi="Arial"/>
                  <w:sz w:val="16"/>
                  <w:szCs w:val="16"/>
                  <w:color w:val="0000EE"/>
                </w:rPr>
                <w:t>Expenses</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39">
              <w:r>
                <w:rPr>
                  <w:rFonts w:ascii="Arial" w:cs="Arial" w:eastAsia="Arial" w:hAnsi="Arial"/>
                  <w:sz w:val="16"/>
                  <w:szCs w:val="16"/>
                  <w:color w:val="0000EE"/>
                </w:rPr>
                <w:t>8</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40">
              <w:r>
                <w:rPr>
                  <w:rFonts w:ascii="Arial" w:cs="Arial" w:eastAsia="Arial" w:hAnsi="Arial"/>
                  <w:sz w:val="16"/>
                  <w:szCs w:val="16"/>
                  <w:color w:val="0000EE"/>
                </w:rPr>
                <w:t>Legal Matters</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40">
              <w:r>
                <w:rPr>
                  <w:rFonts w:ascii="Arial" w:cs="Arial" w:eastAsia="Arial" w:hAnsi="Arial"/>
                  <w:sz w:val="16"/>
                  <w:szCs w:val="16"/>
                  <w:color w:val="0000EE"/>
                </w:rPr>
                <w:t>9</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40">
              <w:r>
                <w:rPr>
                  <w:rFonts w:ascii="Arial" w:cs="Arial" w:eastAsia="Arial" w:hAnsi="Arial"/>
                  <w:sz w:val="16"/>
                  <w:szCs w:val="16"/>
                  <w:color w:val="0000EE"/>
                </w:rPr>
                <w:t>Experts</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40">
              <w:r>
                <w:rPr>
                  <w:rFonts w:ascii="Arial" w:cs="Arial" w:eastAsia="Arial" w:hAnsi="Arial"/>
                  <w:sz w:val="16"/>
                  <w:szCs w:val="16"/>
                  <w:color w:val="0000EE"/>
                </w:rPr>
                <w:t>9</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40">
              <w:r>
                <w:rPr>
                  <w:rFonts w:ascii="Arial" w:cs="Arial" w:eastAsia="Arial" w:hAnsi="Arial"/>
                  <w:sz w:val="16"/>
                  <w:szCs w:val="16"/>
                  <w:color w:val="0000EE"/>
                </w:rPr>
                <w:t>Where You Can Find More Information and Incorporation of Certain Information By Reference</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40">
              <w:r>
                <w:rPr>
                  <w:rFonts w:ascii="Arial" w:cs="Arial" w:eastAsia="Arial" w:hAnsi="Arial"/>
                  <w:sz w:val="16"/>
                  <w:szCs w:val="16"/>
                  <w:color w:val="0000EE"/>
                </w:rPr>
                <w:t>9</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180" w:type="dxa"/>
            <w:vAlign w:val="bottom"/>
            <w:tcBorders>
              <w:right w:val="single" w:sz="8" w:color="0000EE"/>
            </w:tcBorders>
            <w:shd w:val="clear" w:color="auto" w:fill="0000EE"/>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42">
              <w:r>
                <w:rPr>
                  <w:rFonts w:ascii="Arial" w:cs="Arial" w:eastAsia="Arial" w:hAnsi="Arial"/>
                  <w:sz w:val="16"/>
                  <w:szCs w:val="16"/>
                  <w:color w:val="0000EE"/>
                </w:rPr>
                <w:t>Enforceability of Civil Liabilities</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42">
              <w:r>
                <w:rPr>
                  <w:rFonts w:ascii="Arial" w:cs="Arial" w:eastAsia="Arial" w:hAnsi="Arial"/>
                  <w:sz w:val="16"/>
                  <w:szCs w:val="16"/>
                  <w:color w:val="0000EE"/>
                </w:rPr>
                <w:t>11</w:t>
              </w:r>
            </w:hyperlink>
          </w:p>
        </w:tc>
        <w:tc>
          <w:tcPr>
            <w:tcW w:w="1260" w:type="dxa"/>
            <w:vAlign w:val="bottom"/>
          </w:tcPr>
          <w:p>
            <w:pPr>
              <w:spacing w:after="0"/>
              <w:rPr>
                <w:sz w:val="14"/>
                <w:szCs w:val="14"/>
                <w:color w:val="auto"/>
              </w:rPr>
            </w:pPr>
          </w:p>
        </w:tc>
      </w:tr>
      <w:tr>
        <w:trPr>
          <w:trHeight w:val="723"/>
        </w:trPr>
        <w:tc>
          <w:tcPr>
            <w:tcW w:w="140" w:type="dxa"/>
            <w:vAlign w:val="bottom"/>
            <w:tcBorders>
              <w:bottom w:val="single" w:sz="8" w:color="9A9A9A"/>
            </w:tcBorders>
          </w:tcPr>
          <w:p>
            <w:pPr>
              <w:spacing w:after="0"/>
              <w:rPr>
                <w:sz w:val="24"/>
                <w:szCs w:val="24"/>
                <w:color w:val="auto"/>
              </w:rPr>
            </w:pPr>
          </w:p>
        </w:tc>
        <w:tc>
          <w:tcPr>
            <w:tcW w:w="54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31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-4038600</wp:posOffset>
            </wp:positionV>
            <wp:extent cx="5205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ABOUT THIS PROSPECTUS SUPPLEMENT</w:t>
      </w:r>
    </w:p>
    <w:p>
      <w:pPr>
        <w:spacing w:after="0" w:line="139" w:lineRule="exact"/>
        <w:rPr>
          <w:sz w:val="20"/>
          <w:szCs w:val="20"/>
          <w:color w:val="auto"/>
        </w:rPr>
      </w:pPr>
    </w:p>
    <w:p>
      <w:pPr>
        <w:ind w:left="40" w:right="659"/>
        <w:spacing w:after="0" w:line="252" w:lineRule="auto"/>
        <w:rPr>
          <w:sz w:val="20"/>
          <w:szCs w:val="20"/>
          <w:color w:val="auto"/>
        </w:rPr>
      </w:pPr>
      <w:r>
        <w:rPr>
          <w:rFonts w:ascii="Arial" w:cs="Arial" w:eastAsia="Arial" w:hAnsi="Arial"/>
          <w:sz w:val="18"/>
          <w:szCs w:val="18"/>
          <w:color w:val="auto"/>
        </w:rPr>
        <w:t>A registration statement on Form F-3 (File No. 333-197411) utilizing a shelf registration process relating to the securities described in this prospectus supplement was initially filed with the Securities and Exchange Commission, or the SEC, on July 14, 2014, and was declared effective on August 1, 2014. Under this shelf registration process, of which this offering is a part, we may, from time to time, sell up to an aggregate of $100 million of our securities. In January 2015, we sold ordinary shares for a total aggregate amount of $29,900,000 under this shelf registration process.</w:t>
      </w:r>
    </w:p>
    <w:p>
      <w:pPr>
        <w:spacing w:after="0" w:line="101" w:lineRule="exact"/>
        <w:rPr>
          <w:sz w:val="20"/>
          <w:szCs w:val="20"/>
          <w:color w:val="auto"/>
        </w:rPr>
      </w:pPr>
    </w:p>
    <w:p>
      <w:pPr>
        <w:ind w:left="40" w:right="579"/>
        <w:spacing w:after="0" w:line="251" w:lineRule="auto"/>
        <w:rPr>
          <w:sz w:val="20"/>
          <w:szCs w:val="20"/>
          <w:color w:val="auto"/>
        </w:rPr>
      </w:pPr>
      <w:r>
        <w:rPr>
          <w:rFonts w:ascii="Arial" w:cs="Arial" w:eastAsia="Arial" w:hAnsi="Arial"/>
          <w:sz w:val="18"/>
          <w:szCs w:val="18"/>
          <w:color w:val="auto"/>
        </w:rPr>
        <w:t>This document is in two parts. The first part is this prospectus supplement, which describes the terms of this offering of our ordinary shares, and also adds, updates and changes information contained in the accompanying prospectus and the documents incorporated herein and therein by reference. The second part is the accompanying prospectus, which gives more general information, some of which may not apply to this offering. To the extent the information contained in this prospectus supplement differs or varies from the information contained in the accompanying prospectus or any document filed prior to the date of this prospectus supplement and incorporated herein by reference, the information in this prospectus supplement will control. In addition, this prospectus supplement and the accompanying prospectus do not contain all of the information provided in the registration statement that we filed with the SEC. For further information about us, you should refer to that registration statement, which you can obtain from the SEC as described elsewhere in this prospectus under “Where You Can Find More Information and Incorporation of Certain Information by Reference.” You may obtain a copy of this prospectus supplement, the accompanying prospectus and any of the documents incorporated by reference without charge by requesting it from us in writing or by telephone at the following</w:t>
      </w:r>
    </w:p>
    <w:p>
      <w:pPr>
        <w:ind w:left="40"/>
        <w:spacing w:after="0" w:line="207" w:lineRule="auto"/>
        <w:rPr>
          <w:sz w:val="20"/>
          <w:szCs w:val="20"/>
          <w:color w:val="auto"/>
        </w:rPr>
      </w:pPr>
      <w:r>
        <w:rPr>
          <w:rFonts w:ascii="Arial" w:cs="Arial" w:eastAsia="Arial" w:hAnsi="Arial"/>
          <w:sz w:val="17"/>
          <w:szCs w:val="17"/>
          <w:color w:val="auto"/>
        </w:rPr>
        <w:t>address or telephone number: Alcobra Ltd., Azrieli Triangle Building, 132 Derech Menachem Begin 39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Tel Aviv</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6701101 Israel, Telephone: +972 72 220 4661.</w:t>
      </w:r>
    </w:p>
    <w:p>
      <w:pPr>
        <w:spacing w:after="0" w:line="117" w:lineRule="exact"/>
        <w:rPr>
          <w:sz w:val="20"/>
          <w:szCs w:val="20"/>
          <w:color w:val="auto"/>
        </w:rPr>
      </w:pPr>
    </w:p>
    <w:p>
      <w:pPr>
        <w:ind w:left="40" w:right="679"/>
        <w:spacing w:after="0" w:line="251"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supplement and the accompanying prospectus. We have not, and the underwriters have not, authorized anyone to provide you with information that is different. This prospectus supplement is not an offer to sell or solicitation of an offer to buy these securities in any circumstances under which the offer or solicitation is unlawful. We are offering to sell, and seeking offers to buy, our securities only in jurisdictions where offers and sales are permitted. You should not assume that the information we have included in this prospectus supplement or the accompanying prospectus is accurate as of any date other than the date of this prospectus supplement or the accompanying prospectus, respectively, or that any information we have incorporated by reference is accurate as of any date other than the date of the document incorporated by reference, regardless of the time of delivery of this prospectus supplement or of any of our securities. Our business, financial condition, results of operations and prospects may have changed since those dates.</w:t>
      </w:r>
    </w:p>
    <w:p>
      <w:pPr>
        <w:spacing w:after="0" w:line="104" w:lineRule="exact"/>
        <w:rPr>
          <w:sz w:val="20"/>
          <w:szCs w:val="20"/>
          <w:color w:val="auto"/>
        </w:rPr>
      </w:pPr>
    </w:p>
    <w:p>
      <w:pPr>
        <w:ind w:left="40" w:right="1059"/>
        <w:spacing w:after="0" w:line="262" w:lineRule="auto"/>
        <w:rPr>
          <w:sz w:val="20"/>
          <w:szCs w:val="20"/>
          <w:color w:val="auto"/>
        </w:rPr>
      </w:pPr>
      <w:r>
        <w:rPr>
          <w:rFonts w:ascii="Arial" w:cs="Arial" w:eastAsia="Arial" w:hAnsi="Arial"/>
          <w:sz w:val="18"/>
          <w:szCs w:val="18"/>
          <w:color w:val="auto"/>
        </w:rPr>
        <w:t>Unless the context otherwise requires, all references in this prospectus supplement to “we,” “our,” “our company,” “Alcobra,” “us” and the “company” refer to Alcobra Ltd. and its wholly owned subsidiary, Alcobra, Inc.</w:t>
      </w:r>
    </w:p>
    <w:p>
      <w:pPr>
        <w:spacing w:after="0" w:line="88" w:lineRule="exact"/>
        <w:rPr>
          <w:sz w:val="20"/>
          <w:szCs w:val="20"/>
          <w:color w:val="auto"/>
        </w:rPr>
      </w:pPr>
    </w:p>
    <w:p>
      <w:pPr>
        <w:ind w:left="40" w:right="599"/>
        <w:spacing w:after="0" w:line="256" w:lineRule="auto"/>
        <w:rPr>
          <w:sz w:val="20"/>
          <w:szCs w:val="20"/>
          <w:color w:val="auto"/>
        </w:rPr>
      </w:pPr>
      <w:r>
        <w:rPr>
          <w:rFonts w:ascii="Arial" w:cs="Arial" w:eastAsia="Arial" w:hAnsi="Arial"/>
          <w:sz w:val="18"/>
          <w:szCs w:val="18"/>
          <w:color w:val="auto"/>
        </w:rPr>
        <w:t>All references in this prospectus supplement to “ordinary shares” refer to Alcobra’s ordinary shares, par value NIS 0.01 per share. We sometimes refer to our ordinary shares to be offered under this prospectus supplement as the “securities.”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references to “NIS” are to New Israel Shekels, the lawful currency of Israel.</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references to “dollars” or “$” are to the lawful currency of the United States.</w:t>
      </w:r>
    </w:p>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7147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04585" cy="7147560"/>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ind w:left="40" w:right="539"/>
        <w:spacing w:after="0" w:line="255" w:lineRule="auto"/>
        <w:rPr>
          <w:rFonts w:ascii="Arial" w:cs="Arial" w:eastAsia="Arial" w:hAnsi="Arial"/>
          <w:sz w:val="18"/>
          <w:szCs w:val="18"/>
          <w:i w:val="1"/>
          <w:iCs w:val="1"/>
          <w:color w:val="auto"/>
        </w:rPr>
      </w:pPr>
      <w:r>
        <w:rPr>
          <w:rFonts w:ascii="Arial" w:cs="Arial" w:eastAsia="Arial" w:hAnsi="Arial"/>
          <w:sz w:val="18"/>
          <w:szCs w:val="18"/>
          <w:i w:val="1"/>
          <w:iCs w:val="1"/>
          <w:color w:val="auto"/>
        </w:rPr>
        <w:t>This summary highlights information contained elsewhere or incorporated by reference into this prospectus supplement and the accompanying prospectus. This summary does not contain all of the information that you should consider before investing in our securities. You should carefully read the entire prospectus supplement and the accompanying prospectus, including the “Risk Factors” sections, starting on page S-</w:t>
      </w:r>
      <w:hyperlink w:anchor="page9">
        <w:r>
          <w:rPr>
            <w:rFonts w:ascii="Arial" w:cs="Arial" w:eastAsia="Arial" w:hAnsi="Arial"/>
            <w:sz w:val="18"/>
            <w:szCs w:val="18"/>
            <w:i w:val="1"/>
            <w:iCs w:val="1"/>
            <w:u w:val="single" w:color="auto"/>
            <w:color w:val="0000EE"/>
          </w:rPr>
          <w:t>6</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 xml:space="preserve">of this prospectus supplement and page </w:t>
      </w:r>
      <w:hyperlink w:anchor="page32">
        <w:r>
          <w:rPr>
            <w:rFonts w:ascii="Arial" w:cs="Arial" w:eastAsia="Arial" w:hAnsi="Arial"/>
            <w:sz w:val="18"/>
            <w:szCs w:val="18"/>
            <w:i w:val="1"/>
            <w:iCs w:val="1"/>
            <w:u w:val="single" w:color="auto"/>
            <w:color w:val="0000EE"/>
          </w:rPr>
          <w:t>1</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of the accompanying prospectus and under Item 3.D. — “Risk Factors” in our most recent Annual Report on Form 20-F, as well as the financial statements and the other information incorporated by reference herein, before making an investment decision.</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left="40" w:right="539"/>
        <w:spacing w:after="0" w:line="251" w:lineRule="auto"/>
        <w:rPr>
          <w:sz w:val="20"/>
          <w:szCs w:val="20"/>
          <w:color w:val="auto"/>
        </w:rPr>
      </w:pPr>
      <w:r>
        <w:rPr>
          <w:rFonts w:ascii="Arial" w:cs="Arial" w:eastAsia="Arial" w:hAnsi="Arial"/>
          <w:sz w:val="18"/>
          <w:szCs w:val="18"/>
          <w:color w:val="auto"/>
        </w:rPr>
        <w:t>We are an emerging biopharmaceutical company primarily focused on the development and commercialization of our proprietary oral drug candidate, MDX, to treat Attention Deficit Hyperactivity Disorder, or ADHD, and other cognitive dysfunctions including Fragile X Syndrome, or Fragile X. The most common currently available treatments for ADHD are stimulants that increase the brain chemicals dopamine and norepinephrine. Stimulants have significant side effects, and are classified as controlled substances which have significant potential for misuse, abuse and addiction. MDX is not a stimulant, and works with a different mechanism of action. MDX is a proprietary, combined rapid onset/extended release formulation of the chemical pyridoxine pyroglutamate, which is more broadly known as metadoxine. Metadoxine is designed to be a monoamine-independent modulator of gamma-aminobutyric acid transmission. Metadoxine has been available since the 1980s only in immediate release forms for the acute treatment of alcohol intoxication and the chronic treatment of alcoholic liver disease in Italy, Portugal, Hungary, Russia, India, China, Mexico and Thailand.</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MDX for the Treatment of ADHD</w:t>
      </w:r>
    </w:p>
    <w:p>
      <w:pPr>
        <w:spacing w:after="0" w:line="139" w:lineRule="exact"/>
        <w:rPr>
          <w:sz w:val="20"/>
          <w:szCs w:val="20"/>
          <w:color w:val="auto"/>
        </w:rPr>
      </w:pPr>
    </w:p>
    <w:p>
      <w:pPr>
        <w:ind w:left="40" w:right="699"/>
        <w:spacing w:after="0" w:line="253" w:lineRule="auto"/>
        <w:rPr>
          <w:sz w:val="20"/>
          <w:szCs w:val="20"/>
          <w:color w:val="auto"/>
        </w:rPr>
      </w:pPr>
      <w:r>
        <w:rPr>
          <w:rFonts w:ascii="Arial" w:cs="Arial" w:eastAsia="Arial" w:hAnsi="Arial"/>
          <w:sz w:val="18"/>
          <w:szCs w:val="18"/>
          <w:color w:val="auto"/>
        </w:rPr>
        <w:t>ADHD is one of the most common behavioral disorders in the world. It is estimated that between 8% and 10% of children worldwide are affected by this condition. Once believed to only affect children, ADHD is now known to persist into adolescence and adulthood in a large number of cases, with approximately 50% of all children with ADHD continuing to have symptoms of the disorder as adults. Over 90% of adults with ADHD experience impaired attention and executive function symptoms, of which approximately 35% also experience hyperactivity-impulsivity symptoms.</w:t>
      </w:r>
    </w:p>
    <w:p>
      <w:pPr>
        <w:spacing w:after="0" w:line="97" w:lineRule="exact"/>
        <w:rPr>
          <w:sz w:val="20"/>
          <w:szCs w:val="20"/>
          <w:color w:val="auto"/>
        </w:rPr>
      </w:pPr>
    </w:p>
    <w:p>
      <w:pPr>
        <w:ind w:left="40" w:right="559"/>
        <w:spacing w:after="0" w:line="251" w:lineRule="auto"/>
        <w:rPr>
          <w:sz w:val="20"/>
          <w:szCs w:val="20"/>
          <w:color w:val="auto"/>
        </w:rPr>
      </w:pPr>
      <w:r>
        <w:rPr>
          <w:rFonts w:ascii="Arial" w:cs="Arial" w:eastAsia="Arial" w:hAnsi="Arial"/>
          <w:sz w:val="18"/>
          <w:szCs w:val="18"/>
          <w:color w:val="auto"/>
        </w:rPr>
        <w:t>ADHD is a treatable condition. The most commonly used therapeutic drugs are stimulants (Schedule II, Controlled Substances), such as Ritalin, Adderall, Vyvanse and Concerta, which are all dopaminergic (related to dopamine) and noradrenergic (related to norepinephrine) compounds with significant abuse and misuse potential, as their use may lead to severe psychological or physical dependence. In addition, stimulants have numerous side effects, such as uncomfortable mental states, interference with sleep and appetite, development of nervous tics and potential cardiovascular effects resulting from increased blood pressure and heart rate. There are limited effective treatments for these side effects for patients taking the drugs. The prevalence of such side effects has also led to dramatically limited medication adherence rates. Up to 30% to 50% of those who are prescribed stimulants for ADHD either do not respond or cannot tolerate these treatments, and only about 20% of those who are prescribed stimulants are still taking them 12 months later. There also is a non-stimulant drug approved for children and adults with ADHD called Strattera (atomoxetine), approved in 2002. This drug also has significant potential side effects, such as fatigue, gastrointestinal upset, sexual problems, palpitations, increased heart rate and high blood pressure and also has regulatory warning labels relating to suicidal thoughts and liver damage. Moreover, Strattera takes six to eight weeks to achieve full clinical effectiveness. More recently, two additional non-stimulant medications were approved for use only in children and adolescents with ADHD, Intuniv (guanfacine) and Kapvay (clonidine). These two drugs have not been approved for use in adults with ADHD and have not had significant commercial success. All approved ADHD drugs need to be carefully monitored by the treating physician to optimize the dose, starting with a low dose and slowly escalating to the most effective and tolerable dose.</w:t>
      </w:r>
    </w:p>
    <w:p>
      <w:pPr>
        <w:spacing w:after="0" w:line="200" w:lineRule="exact"/>
        <w:rPr>
          <w:sz w:val="20"/>
          <w:szCs w:val="20"/>
          <w:color w:val="auto"/>
        </w:rPr>
      </w:pPr>
    </w:p>
    <w:p>
      <w:pPr>
        <w:spacing w:after="0" w:line="34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7336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04585" cy="7336155"/>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40" w:right="599"/>
        <w:spacing w:after="0" w:line="253" w:lineRule="auto"/>
        <w:rPr>
          <w:sz w:val="20"/>
          <w:szCs w:val="20"/>
          <w:color w:val="auto"/>
        </w:rPr>
      </w:pPr>
      <w:r>
        <w:rPr>
          <w:rFonts w:ascii="Arial" w:cs="Arial" w:eastAsia="Arial" w:hAnsi="Arial"/>
          <w:sz w:val="18"/>
          <w:szCs w:val="18"/>
          <w:color w:val="auto"/>
        </w:rPr>
        <w:t>In contrast to the most common available treatments, which involve the use of stimulants, MDX is not a stimulant and employs a different mechanism of action that is neither dopaminergic (related to dopamine) nor noradrenergic (related to norepinephrine). Our clinical trials to date have suggested a pro-cognitive effect and favorable tolerability and safety. We therefore believe MDX potentially represents an effective treatment and a safer alternative to currently marketed treatments.</w:t>
      </w:r>
    </w:p>
    <w:p>
      <w:pPr>
        <w:spacing w:after="0" w:line="97" w:lineRule="exact"/>
        <w:rPr>
          <w:sz w:val="20"/>
          <w:szCs w:val="20"/>
          <w:color w:val="auto"/>
        </w:rPr>
      </w:pPr>
    </w:p>
    <w:p>
      <w:pPr>
        <w:ind w:left="40" w:right="519"/>
        <w:spacing w:after="0" w:line="254" w:lineRule="auto"/>
        <w:rPr>
          <w:sz w:val="20"/>
          <w:szCs w:val="20"/>
          <w:color w:val="auto"/>
        </w:rPr>
      </w:pPr>
      <w:r>
        <w:rPr>
          <w:rFonts w:ascii="Arial" w:cs="Arial" w:eastAsia="Arial" w:hAnsi="Arial"/>
          <w:sz w:val="18"/>
          <w:szCs w:val="18"/>
          <w:color w:val="auto"/>
        </w:rPr>
        <w:t>In September 2011, we completed a 120 subject double-blind placebo-controlled Phase 2 study in adult ADHD subjects in two academic sites in Israel. The study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96" w:lineRule="exact"/>
        <w:rPr>
          <w:sz w:val="20"/>
          <w:szCs w:val="20"/>
          <w:color w:val="auto"/>
        </w:rPr>
      </w:pPr>
    </w:p>
    <w:p>
      <w:pPr>
        <w:jc w:val="both"/>
        <w:ind w:left="40" w:right="939"/>
        <w:spacing w:after="0" w:line="256" w:lineRule="auto"/>
        <w:rPr>
          <w:sz w:val="20"/>
          <w:szCs w:val="20"/>
          <w:color w:val="auto"/>
        </w:rPr>
      </w:pPr>
      <w:r>
        <w:rPr>
          <w:rFonts w:ascii="Arial" w:cs="Arial" w:eastAsia="Arial" w:hAnsi="Arial"/>
          <w:sz w:val="18"/>
          <w:szCs w:val="18"/>
          <w:color w:val="auto"/>
        </w:rPr>
        <w:t>In December 2013, we completed an additional 36 subject double-blind placebo-controlled Phase 2 study in adult ADHD, which confirmed our previous findings, highlighted the rapid onset of MDX, and demonstrated efficacy over placebo from the first day of dosing using a computerized assessment tool.</w:t>
      </w:r>
    </w:p>
    <w:p>
      <w:pPr>
        <w:spacing w:after="0" w:line="94" w:lineRule="exact"/>
        <w:rPr>
          <w:sz w:val="20"/>
          <w:szCs w:val="20"/>
          <w:color w:val="auto"/>
        </w:rPr>
      </w:pPr>
    </w:p>
    <w:p>
      <w:pPr>
        <w:ind w:left="40" w:right="539"/>
        <w:spacing w:after="0" w:line="254" w:lineRule="auto"/>
        <w:rPr>
          <w:sz w:val="20"/>
          <w:szCs w:val="20"/>
          <w:color w:val="auto"/>
        </w:rPr>
      </w:pPr>
      <w:r>
        <w:rPr>
          <w:rFonts w:ascii="Arial" w:cs="Arial" w:eastAsia="Arial" w:hAnsi="Arial"/>
          <w:sz w:val="18"/>
          <w:szCs w:val="18"/>
          <w:color w:val="auto"/>
        </w:rPr>
        <w:t>In October 2014, we announced the results of a 300 subject double-blind placebo-controlled Phase 3 study in adult ADHD in 20 sites (18 in the United States and 2 in Israel). The study’s primary efficacy endpoint did not reach statistical significance. A non-significant favorable trend was observed on the primary endpoint. Other secondary measures showed strong or statistically significant trends. Similar to previous studies, MDX showed a favorable safety profile.</w:t>
      </w:r>
    </w:p>
    <w:p>
      <w:pPr>
        <w:spacing w:after="0" w:line="96" w:lineRule="exact"/>
        <w:rPr>
          <w:sz w:val="20"/>
          <w:szCs w:val="20"/>
          <w:color w:val="auto"/>
        </w:rPr>
      </w:pPr>
    </w:p>
    <w:p>
      <w:pPr>
        <w:ind w:left="40" w:right="539"/>
        <w:spacing w:after="0" w:line="256" w:lineRule="auto"/>
        <w:rPr>
          <w:sz w:val="20"/>
          <w:szCs w:val="20"/>
          <w:color w:val="auto"/>
        </w:rPr>
      </w:pPr>
      <w:r>
        <w:rPr>
          <w:rFonts w:ascii="Arial" w:cs="Arial" w:eastAsia="Arial" w:hAnsi="Arial"/>
          <w:sz w:val="18"/>
          <w:szCs w:val="18"/>
          <w:color w:val="auto"/>
        </w:rPr>
        <w:t>In March 2015, we reported that our Phase 2 safety and tolerability study of a single administration of MDX in adolescent patients with ADHD achieved its primary endpoint. In the study, MDX showed good tolerability and no safety concerns were identified.</w:t>
      </w:r>
    </w:p>
    <w:p>
      <w:pPr>
        <w:spacing w:after="0" w:line="94" w:lineRule="exact"/>
        <w:rPr>
          <w:sz w:val="20"/>
          <w:szCs w:val="20"/>
          <w:color w:val="auto"/>
        </w:rPr>
      </w:pPr>
    </w:p>
    <w:p>
      <w:pPr>
        <w:ind w:left="40" w:right="579"/>
        <w:spacing w:after="0" w:line="251" w:lineRule="auto"/>
        <w:rPr>
          <w:sz w:val="20"/>
          <w:szCs w:val="20"/>
          <w:color w:val="auto"/>
        </w:rPr>
      </w:pPr>
      <w:r>
        <w:rPr>
          <w:rFonts w:ascii="Arial" w:cs="Arial" w:eastAsia="Arial" w:hAnsi="Arial"/>
          <w:sz w:val="18"/>
          <w:szCs w:val="18"/>
          <w:color w:val="auto"/>
        </w:rPr>
        <w:t>In the first quarter of 2015, we met with the U.S. Food and Drug Administration (FDA) to discuss the results of our first Phase 3 study in adults with ADHD, the proposed protocol for our second Phase 3 study in adults, the requirements for clinical development of MDX for pediatric ADHD, as well as the requirements for a new drug application (NDA) submission. The FDA confirmed that a single additional study showing efficacy in adult ADHD may provide a sufficient basis of efficacy for approval of MDX in this sub-population. The FDA also confirmed that a single Phase 2 study, followed by a single Phase 3 study, in a pediatric ADHD population can provide a sufficient basis of efficacy for approval of MDX in this population. We expect to launch the first of two adequate, well-controlled, short-term efficacy studies in children with ADHD in 2016 after receiving comments from the FDA on our Pediatric Study Plan for the indication of ADHD. The study will be a multi-center, Phase 2, placebo-controlled, short-term efficacy study.</w:t>
      </w:r>
    </w:p>
    <w:p>
      <w:pPr>
        <w:spacing w:after="0" w:line="105" w:lineRule="exact"/>
        <w:rPr>
          <w:sz w:val="20"/>
          <w:szCs w:val="20"/>
          <w:color w:val="auto"/>
        </w:rPr>
      </w:pPr>
    </w:p>
    <w:p>
      <w:pPr>
        <w:ind w:left="40" w:right="519"/>
        <w:spacing w:after="0" w:line="254" w:lineRule="auto"/>
        <w:rPr>
          <w:sz w:val="20"/>
          <w:szCs w:val="20"/>
          <w:color w:val="auto"/>
        </w:rPr>
      </w:pPr>
      <w:r>
        <w:rPr>
          <w:rFonts w:ascii="Arial" w:cs="Arial" w:eastAsia="Arial" w:hAnsi="Arial"/>
          <w:sz w:val="18"/>
          <w:szCs w:val="18"/>
          <w:color w:val="auto"/>
        </w:rPr>
        <w:t>In the second quarter of 2015, we launched the MEASURE study (MDX Evaluation in Adults — StUdy of Response and Efficacy). The MEASURE study is our second Phase 3 study of MDX in adults with ADHD. The study includes design and operational elements to potentially mitigate placebo response and reduce response variability, and we expect to report data in the middle of 2016.</w:t>
      </w:r>
    </w:p>
    <w:p>
      <w:pPr>
        <w:spacing w:after="0" w:line="96" w:lineRule="exact"/>
        <w:rPr>
          <w:sz w:val="20"/>
          <w:szCs w:val="20"/>
          <w:color w:val="auto"/>
        </w:rPr>
      </w:pPr>
    </w:p>
    <w:p>
      <w:pPr>
        <w:ind w:left="40" w:right="599"/>
        <w:spacing w:after="0" w:line="256" w:lineRule="auto"/>
        <w:rPr>
          <w:sz w:val="20"/>
          <w:szCs w:val="20"/>
          <w:color w:val="auto"/>
        </w:rPr>
      </w:pPr>
      <w:r>
        <w:rPr>
          <w:rFonts w:ascii="Arial" w:cs="Arial" w:eastAsia="Arial" w:hAnsi="Arial"/>
          <w:sz w:val="18"/>
          <w:szCs w:val="18"/>
          <w:color w:val="auto"/>
        </w:rPr>
        <w:t>If the data from these and future clinical trials demonstrate the safety and efficacy of MDX, we will seek to obtain marketing approval from the FDA for MDX for use in ADHD. We have similar plans to seek marketing approval in other territories.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MDX for the Treatment of Fragile X</w:t>
      </w:r>
    </w:p>
    <w:p>
      <w:pPr>
        <w:spacing w:after="0" w:line="139" w:lineRule="exact"/>
        <w:rPr>
          <w:sz w:val="20"/>
          <w:szCs w:val="20"/>
          <w:color w:val="auto"/>
        </w:rPr>
      </w:pPr>
    </w:p>
    <w:p>
      <w:pPr>
        <w:ind w:left="40" w:right="519"/>
        <w:spacing w:after="0" w:line="252" w:lineRule="auto"/>
        <w:rPr>
          <w:sz w:val="20"/>
          <w:szCs w:val="20"/>
          <w:color w:val="auto"/>
        </w:rPr>
      </w:pPr>
      <w:r>
        <w:rPr>
          <w:rFonts w:ascii="Arial" w:cs="Arial" w:eastAsia="Arial" w:hAnsi="Arial"/>
          <w:sz w:val="18"/>
          <w:szCs w:val="18"/>
          <w:color w:val="auto"/>
        </w:rPr>
        <w:t>We are also studying MDX for the treatment of Fragile X, a rare neurogenetic disorder related to autism marked by severe intellectual disability. In June 2015, we reported that our Phase 2 exploratory clinical study of MDX in adolescent and adult patients with Fragile X did not achieve statistical significance on the primary endpoint, yet demonstrated statistically significant improvements in certain clinically meaningful behavioral and cognitive endpoints, including the Vineland II Daily Living Skills Assessment. The FDA has granted Fast Track designation and Orphan Drug status to MDX for the treatment of Fragile X.</w:t>
      </w:r>
    </w:p>
    <w:p>
      <w:pPr>
        <w:spacing w:after="0" w:line="101" w:lineRule="exact"/>
        <w:rPr>
          <w:sz w:val="20"/>
          <w:szCs w:val="20"/>
          <w:color w:val="auto"/>
        </w:rPr>
      </w:pPr>
    </w:p>
    <w:p>
      <w:pPr>
        <w:ind w:left="40" w:right="579"/>
        <w:spacing w:after="0" w:line="262" w:lineRule="auto"/>
        <w:rPr>
          <w:sz w:val="20"/>
          <w:szCs w:val="20"/>
          <w:color w:val="auto"/>
        </w:rPr>
      </w:pPr>
      <w:r>
        <w:rPr>
          <w:rFonts w:ascii="Arial" w:cs="Arial" w:eastAsia="Arial" w:hAnsi="Arial"/>
          <w:sz w:val="18"/>
          <w:szCs w:val="18"/>
          <w:color w:val="auto"/>
        </w:rPr>
        <w:t>In October 2015, we met with the FDA to discuss the results of our Phase 2 study in Fragile X and the requirements for NDA submission of MDX in this therapeutic indication. The FDA concurred that results from a</w:t>
      </w:r>
    </w:p>
    <w:p>
      <w:pPr>
        <w:spacing w:after="0" w:line="200" w:lineRule="exact"/>
        <w:rPr>
          <w:sz w:val="20"/>
          <w:szCs w:val="20"/>
          <w:color w:val="auto"/>
        </w:rPr>
      </w:pPr>
    </w:p>
    <w:p>
      <w:pPr>
        <w:spacing w:after="0" w:line="34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5338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04585" cy="5338445"/>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40" w:right="699"/>
        <w:spacing w:after="0" w:line="252" w:lineRule="auto"/>
        <w:rPr>
          <w:sz w:val="20"/>
          <w:szCs w:val="20"/>
          <w:color w:val="auto"/>
        </w:rPr>
      </w:pPr>
      <w:r>
        <w:rPr>
          <w:rFonts w:ascii="Arial" w:cs="Arial" w:eastAsia="Arial" w:hAnsi="Arial"/>
          <w:sz w:val="18"/>
          <w:szCs w:val="18"/>
          <w:color w:val="auto"/>
        </w:rPr>
        <w:t>single short-term, adequate and well-controlled efficacy study in adolescents and adult patients with Fragile X may be sufficient to support a claim of efficacy for approval of MDX in this indication (in line with the FDA's Guidance for Industry — Providing Evidence of Effectiveness for Human Drug and Biological Products, May 1998). We plan to submit a separate application for pediatric patients (ages 4-11) following FDA approval via a supplemental NDA. The FDA confirmed that the Vineland II Daily Living Skills Assessment could serve as the primary endpoint in the adolescents and adults Fragile X pivotal study. The study is scheduled to begin in 2016.</w:t>
      </w:r>
    </w:p>
    <w:p>
      <w:pPr>
        <w:spacing w:after="0" w:line="101" w:lineRule="exact"/>
        <w:rPr>
          <w:sz w:val="20"/>
          <w:szCs w:val="20"/>
          <w:color w:val="auto"/>
        </w:rPr>
      </w:pPr>
    </w:p>
    <w:p>
      <w:pPr>
        <w:jc w:val="both"/>
        <w:ind w:left="40" w:right="859"/>
        <w:spacing w:after="0" w:line="256" w:lineRule="auto"/>
        <w:rPr>
          <w:sz w:val="20"/>
          <w:szCs w:val="20"/>
          <w:color w:val="auto"/>
        </w:rPr>
      </w:pPr>
      <w:r>
        <w:rPr>
          <w:rFonts w:ascii="Arial" w:cs="Arial" w:eastAsia="Arial" w:hAnsi="Arial"/>
          <w:sz w:val="18"/>
          <w:szCs w:val="18"/>
          <w:color w:val="auto"/>
        </w:rPr>
        <w:t>To date, we have not generated revenue from the sale of any product, and we do not expect to generate significant revenue unless and until we obtain marketing approval of, and commercialize, MDX. As of September 30, 2015, we had an accumulated deficit of $66 million, as described below under “Capitalization and Indebtedness.”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Strategic Plan</w:t>
      </w:r>
    </w:p>
    <w:p>
      <w:pPr>
        <w:spacing w:after="0" w:line="139" w:lineRule="exact"/>
        <w:rPr>
          <w:sz w:val="20"/>
          <w:szCs w:val="20"/>
          <w:color w:val="auto"/>
        </w:rPr>
      </w:pPr>
    </w:p>
    <w:p>
      <w:pPr>
        <w:ind w:left="40" w:right="679"/>
        <w:spacing w:after="0" w:line="252" w:lineRule="auto"/>
        <w:rPr>
          <w:sz w:val="20"/>
          <w:szCs w:val="20"/>
          <w:color w:val="auto"/>
        </w:rPr>
      </w:pPr>
      <w:r>
        <w:rPr>
          <w:rFonts w:ascii="Arial" w:cs="Arial" w:eastAsia="Arial" w:hAnsi="Arial"/>
          <w:sz w:val="18"/>
          <w:szCs w:val="18"/>
          <w:color w:val="auto"/>
        </w:rPr>
        <w:t>Our objective is to develop and commercialize proprietary pharmaceutical products for treatment of central nervous system disorders, and cognitive dysfunctions in particular. To this effect, we intend to seek approval to conduct additional clinical trials for our most advanced product (MDX) and, if those trials are successful, seek marketing approvals from the FDA and other worldwide regulatory bodies for MDX for the treatment of ADHD in adults and children. We also plan to advance clinical studies and commercialization plans for MDX in Fragile X. To achieve these objectives, we plan to:</w:t>
      </w:r>
    </w:p>
    <w:p>
      <w:pPr>
        <w:spacing w:after="0" w:line="101" w:lineRule="exact"/>
        <w:rPr>
          <w:sz w:val="20"/>
          <w:szCs w:val="20"/>
          <w:color w:val="auto"/>
        </w:rPr>
      </w:pPr>
    </w:p>
    <w:p>
      <w:pPr>
        <w:ind w:left="600" w:right="1079" w:hanging="322"/>
        <w:spacing w:after="0" w:line="262"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seek the necessary regulatory approvals to complete the clinical development of MDX for the treatment of ADHD in adults and children, and, if successful, file for marketing approval in the United States;</w:t>
      </w:r>
    </w:p>
    <w:p>
      <w:pPr>
        <w:spacing w:after="0" w:line="88" w:lineRule="exact"/>
        <w:rPr>
          <w:rFonts w:ascii="Arial" w:cs="Arial" w:eastAsia="Arial" w:hAnsi="Arial"/>
          <w:sz w:val="18"/>
          <w:szCs w:val="18"/>
          <w:color w:val="auto"/>
        </w:rPr>
      </w:pPr>
    </w:p>
    <w:p>
      <w:pPr>
        <w:ind w:left="600" w:right="1079" w:hanging="322"/>
        <w:spacing w:after="0" w:line="262"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seek the necessary regulatory approvals to complete the clinical development of MDX for the treatment of Fragile X in adults and children, and, if successful, file for marketing approval in the United States; and</w:t>
      </w:r>
    </w:p>
    <w:p>
      <w:pPr>
        <w:spacing w:after="0" w:line="88" w:lineRule="exact"/>
        <w:rPr>
          <w:rFonts w:ascii="Arial" w:cs="Arial" w:eastAsia="Arial" w:hAnsi="Arial"/>
          <w:sz w:val="18"/>
          <w:szCs w:val="18"/>
          <w:color w:val="auto"/>
        </w:rPr>
      </w:pPr>
    </w:p>
    <w:p>
      <w:pPr>
        <w:ind w:left="600" w:right="619" w:hanging="322"/>
        <w:spacing w:after="0" w:line="256"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prepare to commercialize MDX for the treatment of patients with ADHD and Fragile X by establishing independent distribution capabilities or in conjunction with other pharmaceutical companies in the United States and other key markets.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Information</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 were incorporated under the laws of the State of Israel in 2008. Our principal executive offices are located at Azrieli</w:t>
      </w:r>
    </w:p>
    <w:p>
      <w:pPr>
        <w:spacing w:after="0" w:line="48" w:lineRule="exact"/>
        <w:rPr>
          <w:sz w:val="20"/>
          <w:szCs w:val="20"/>
          <w:color w:val="auto"/>
        </w:rPr>
      </w:pPr>
    </w:p>
    <w:p>
      <w:pPr>
        <w:ind w:left="40" w:right="579"/>
        <w:spacing w:after="0" w:line="229" w:lineRule="auto"/>
        <w:rPr>
          <w:sz w:val="20"/>
          <w:szCs w:val="20"/>
          <w:color w:val="auto"/>
        </w:rPr>
      </w:pPr>
      <w:r>
        <w:rPr>
          <w:rFonts w:ascii="Arial" w:cs="Arial" w:eastAsia="Arial" w:hAnsi="Arial"/>
          <w:sz w:val="18"/>
          <w:szCs w:val="18"/>
          <w:color w:val="auto"/>
        </w:rPr>
        <w:t>Triangle Building, 132 Derech Menachem Begin 39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Tel Aviv 6701101 Israel, and our telephone number is +972 72 220 4661. In 2013, we established a wholly-owned subsidiary in the United States, Alcobra Inc., a Delaware corporation. Alcobra, Inc. is located at 600 West Germantown Pike, Suite 400, Plymouth Meeting, PA, 19462, and its telephone number is (610) 940-1631. Our website address is </w:t>
      </w:r>
      <w:r>
        <w:rPr>
          <w:rFonts w:ascii="Arial" w:cs="Arial" w:eastAsia="Arial" w:hAnsi="Arial"/>
          <w:sz w:val="18"/>
          <w:szCs w:val="18"/>
          <w:i w:val="1"/>
          <w:iCs w:val="1"/>
          <w:color w:val="auto"/>
        </w:rPr>
        <w:t>www.alcobra-pharma.com</w:t>
      </w:r>
      <w:r>
        <w:rPr>
          <w:rFonts w:ascii="Arial" w:cs="Arial" w:eastAsia="Arial" w:hAnsi="Arial"/>
          <w:sz w:val="18"/>
          <w:szCs w:val="18"/>
          <w:color w:val="auto"/>
        </w:rPr>
        <w:t>. The information contained on our website is not incorporated by reference and should not be considered as part of this prospectus supplement.</w:t>
      </w:r>
    </w:p>
    <w:p>
      <w:pPr>
        <w:spacing w:after="0" w:line="200" w:lineRule="exact"/>
        <w:rPr>
          <w:sz w:val="20"/>
          <w:szCs w:val="20"/>
          <w:color w:val="auto"/>
        </w:rPr>
      </w:pPr>
    </w:p>
    <w:p>
      <w:pPr>
        <w:spacing w:after="0" w:line="3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4249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04585" cy="4249420"/>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079"/>
          </w:cols>
          <w:pgMar w:left="380" w:top="8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offered</w:t>
      </w:r>
    </w:p>
    <w:p>
      <w:pPr>
        <w:spacing w:after="0" w:line="9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Ordinary shares to be outstanding after this offering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Underwriters’ Option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THE OFFERING</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shares</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shares</w:t>
      </w:r>
    </w:p>
    <w:p>
      <w:pPr>
        <w:spacing w:after="0" w:line="90" w:lineRule="exact"/>
        <w:rPr>
          <w:sz w:val="20"/>
          <w:szCs w:val="20"/>
          <w:color w:val="auto"/>
        </w:rPr>
      </w:pPr>
    </w:p>
    <w:p>
      <w:pPr>
        <w:ind w:right="919"/>
        <w:spacing w:after="0"/>
        <w:rPr>
          <w:sz w:val="20"/>
          <w:szCs w:val="20"/>
          <w:color w:val="auto"/>
        </w:rPr>
      </w:pPr>
      <w:r>
        <w:rPr>
          <w:rFonts w:ascii="Arial" w:cs="Arial" w:eastAsia="Arial" w:hAnsi="Arial"/>
          <w:sz w:val="18"/>
          <w:szCs w:val="18"/>
          <w:color w:val="auto"/>
        </w:rPr>
        <w:t>We have granted the underwriters an option for a period of 30 days after the date of the underwriting agreement to purchase up to additional ordinary shares.</w:t>
      </w:r>
    </w:p>
    <w:p>
      <w:pPr>
        <w:spacing w:after="0" w:line="81" w:lineRule="exact"/>
        <w:rPr>
          <w:sz w:val="20"/>
          <w:szCs w:val="20"/>
          <w:color w:val="auto"/>
        </w:rPr>
      </w:pPr>
    </w:p>
    <w:p>
      <w:pPr>
        <w:ind w:right="1179"/>
        <w:spacing w:after="0" w:line="246" w:lineRule="auto"/>
        <w:rPr>
          <w:sz w:val="20"/>
          <w:szCs w:val="20"/>
          <w:color w:val="auto"/>
        </w:rPr>
      </w:pPr>
      <w:r>
        <w:rPr>
          <w:rFonts w:ascii="Arial" w:cs="Arial" w:eastAsia="Arial" w:hAnsi="Arial"/>
          <w:sz w:val="18"/>
          <w:szCs w:val="18"/>
          <w:color w:val="auto"/>
        </w:rPr>
        <w:t>To fund our future clinical development program and for general corporate purposes</w:t>
      </w:r>
    </w:p>
    <w:p>
      <w:pPr>
        <w:spacing w:after="0" w:line="75" w:lineRule="exact"/>
        <w:rPr>
          <w:sz w:val="20"/>
          <w:szCs w:val="20"/>
          <w:color w:val="auto"/>
        </w:rPr>
      </w:pPr>
    </w:p>
    <w:p>
      <w:pPr>
        <w:ind w:right="879"/>
        <w:spacing w:after="0" w:line="234" w:lineRule="auto"/>
        <w:rPr>
          <w:rFonts w:ascii="Arial" w:cs="Arial" w:eastAsia="Arial" w:hAnsi="Arial"/>
          <w:sz w:val="18"/>
          <w:szCs w:val="18"/>
          <w:color w:val="auto"/>
        </w:rPr>
      </w:pPr>
      <w:r>
        <w:rPr>
          <w:rFonts w:ascii="Arial" w:cs="Arial" w:eastAsia="Arial" w:hAnsi="Arial"/>
          <w:sz w:val="18"/>
          <w:szCs w:val="18"/>
          <w:color w:val="auto"/>
        </w:rPr>
        <w:t>See “Risk Factors” beginning on page S-</w:t>
      </w:r>
      <w:hyperlink w:anchor="page9">
        <w:r>
          <w:rPr>
            <w:rFonts w:ascii="Arial" w:cs="Arial" w:eastAsia="Arial" w:hAnsi="Arial"/>
            <w:sz w:val="18"/>
            <w:szCs w:val="18"/>
            <w:u w:val="single" w:color="auto"/>
            <w:color w:val="0000EE"/>
          </w:rPr>
          <w:t>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 supplement and page 1 of the accompanying prospectus and in the documents incorporated by reference herein (including under Item</w:t>
      </w:r>
    </w:p>
    <w:p>
      <w:pPr>
        <w:spacing w:after="0" w:line="2" w:lineRule="exact"/>
        <w:rPr>
          <w:sz w:val="20"/>
          <w:szCs w:val="20"/>
          <w:color w:val="auto"/>
        </w:rPr>
      </w:pPr>
    </w:p>
    <w:p>
      <w:pPr>
        <w:ind w:right="619"/>
        <w:spacing w:after="0"/>
        <w:rPr>
          <w:sz w:val="20"/>
          <w:szCs w:val="20"/>
          <w:color w:val="auto"/>
        </w:rPr>
      </w:pPr>
      <w:r>
        <w:rPr>
          <w:rFonts w:ascii="Arial" w:cs="Arial" w:eastAsia="Arial" w:hAnsi="Arial"/>
          <w:sz w:val="18"/>
          <w:szCs w:val="18"/>
          <w:color w:val="auto"/>
        </w:rPr>
        <w:t>3.D. — “Risk Factors” in our most recent Annual Report on Form 20-F) for a discussion of the risks you should carefully consider before deciding to invest in our ordinary shares.</w:t>
      </w:r>
    </w:p>
    <w:p>
      <w:pPr>
        <w:spacing w:after="0" w:line="81" w:lineRule="exact"/>
        <w:rPr>
          <w:sz w:val="20"/>
          <w:szCs w:val="20"/>
          <w:color w:val="auto"/>
        </w:rPr>
      </w:pPr>
    </w:p>
    <w:p>
      <w:pPr>
        <w:sectPr>
          <w:pgSz w:w="11900" w:h="16838" w:orient="portrait"/>
          <w:cols w:equalWidth="0" w:num="2">
            <w:col w:w="3120" w:space="700"/>
            <w:col w:w="6259"/>
          </w:cols>
          <w:pgMar w:left="380" w:top="802" w:right="1440" w:bottom="1440" w:gutter="0" w:footer="0" w:header="0"/>
          <w:type w:val="continuous"/>
        </w:sectPr>
      </w:pPr>
    </w:p>
    <w:p>
      <w:pPr>
        <w:spacing w:after="0"/>
        <w:tabs>
          <w:tab w:leader="none" w:pos="3800" w:val="left"/>
        </w:tabs>
        <w:rPr>
          <w:sz w:val="20"/>
          <w:szCs w:val="20"/>
          <w:color w:val="auto"/>
        </w:rPr>
      </w:pPr>
      <w:r>
        <w:rPr>
          <w:rFonts w:ascii="Arial" w:cs="Arial" w:eastAsia="Arial" w:hAnsi="Arial"/>
          <w:sz w:val="18"/>
          <w:szCs w:val="18"/>
          <w:color w:val="auto"/>
        </w:rPr>
        <w:t>NASDAQ Global Market symbol</w:t>
      </w:r>
      <w:r>
        <w:rPr>
          <w:sz w:val="20"/>
          <w:szCs w:val="20"/>
          <w:color w:val="auto"/>
        </w:rPr>
        <w:tab/>
      </w:r>
      <w:r>
        <w:rPr>
          <w:rFonts w:ascii="Arial" w:cs="Arial" w:eastAsia="Arial" w:hAnsi="Arial"/>
          <w:sz w:val="18"/>
          <w:szCs w:val="18"/>
          <w:color w:val="auto"/>
        </w:rPr>
        <w:t>ADHD</w:t>
      </w:r>
    </w:p>
    <w:p>
      <w:pPr>
        <w:spacing w:after="0" w:line="104" w:lineRule="exact"/>
        <w:rPr>
          <w:sz w:val="20"/>
          <w:szCs w:val="20"/>
          <w:color w:val="auto"/>
        </w:rPr>
      </w:pPr>
    </w:p>
    <w:p>
      <w:pPr>
        <w:ind w:left="40" w:right="899"/>
        <w:spacing w:after="0" w:line="256" w:lineRule="auto"/>
        <w:rPr>
          <w:sz w:val="20"/>
          <w:szCs w:val="20"/>
          <w:color w:val="auto"/>
        </w:rPr>
      </w:pPr>
      <w:r>
        <w:rPr>
          <w:rFonts w:ascii="Arial" w:cs="Arial" w:eastAsia="Arial" w:hAnsi="Arial"/>
          <w:sz w:val="18"/>
          <w:szCs w:val="18"/>
          <w:color w:val="auto"/>
        </w:rPr>
        <w:t>Unless otherwise stated, all information in this prospectus supplement is based on 21,181,722 ordinary shares outstanding as of September 30, 2015, and assumes no exercise of the underwriters’ option to purchase additional shares and does not include the following as of that date:</w:t>
      </w:r>
    </w:p>
    <w:p>
      <w:pPr>
        <w:spacing w:after="0" w:line="94" w:lineRule="exact"/>
        <w:rPr>
          <w:sz w:val="20"/>
          <w:szCs w:val="20"/>
          <w:color w:val="auto"/>
        </w:rPr>
      </w:pPr>
    </w:p>
    <w:p>
      <w:pPr>
        <w:ind w:left="600" w:right="859" w:hanging="322"/>
        <w:spacing w:after="0" w:line="262"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1,836,979 ordinary shares issuable upon the exercise of share options outstanding under our 2010 Incentive Option Plan, at a weighted average exercise price of $5.80 per share; and</w:t>
      </w:r>
    </w:p>
    <w:p>
      <w:pPr>
        <w:spacing w:after="0" w:line="88" w:lineRule="exact"/>
        <w:rPr>
          <w:rFonts w:ascii="Arial" w:cs="Arial" w:eastAsia="Arial" w:hAnsi="Arial"/>
          <w:sz w:val="18"/>
          <w:szCs w:val="18"/>
          <w:color w:val="auto"/>
        </w:rPr>
      </w:pPr>
    </w:p>
    <w:p>
      <w:pPr>
        <w:ind w:left="600" w:right="839" w:hanging="322"/>
        <w:spacing w:after="0" w:line="262"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104,167 ordinary shares issuable upon the exercise of outstanding warrants, at a weighted average exercise price of $18.00 per share.</w:t>
      </w:r>
    </w:p>
    <w:p>
      <w:pPr>
        <w:spacing w:after="0" w:line="200" w:lineRule="exact"/>
        <w:rPr>
          <w:sz w:val="20"/>
          <w:szCs w:val="20"/>
          <w:color w:val="auto"/>
        </w:rPr>
      </w:pPr>
    </w:p>
    <w:p>
      <w:pPr>
        <w:spacing w:after="0" w:line="33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type w:val="continuous"/>
        </w:sectPr>
      </w:pPr>
    </w:p>
    <w:bookmarkStart w:id="7" w:name="page8"/>
    <w:bookmarkEnd w:id="7"/>
    <w:p>
      <w:pPr>
        <w:ind w:left="20"/>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4823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04585" cy="4823460"/>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SUMMARY CONSOLIDATED FINANCIAL DATA</w:t>
      </w:r>
    </w:p>
    <w:p>
      <w:pPr>
        <w:spacing w:after="0" w:line="139" w:lineRule="exact"/>
        <w:rPr>
          <w:sz w:val="20"/>
          <w:szCs w:val="20"/>
          <w:color w:val="auto"/>
        </w:rPr>
      </w:pPr>
    </w:p>
    <w:p>
      <w:pPr>
        <w:ind w:left="60" w:right="539"/>
        <w:spacing w:after="0" w:line="251" w:lineRule="auto"/>
        <w:rPr>
          <w:sz w:val="20"/>
          <w:szCs w:val="20"/>
          <w:color w:val="auto"/>
        </w:rPr>
      </w:pPr>
      <w:r>
        <w:rPr>
          <w:rFonts w:ascii="Arial" w:cs="Arial" w:eastAsia="Arial" w:hAnsi="Arial"/>
          <w:sz w:val="18"/>
          <w:szCs w:val="18"/>
          <w:color w:val="auto"/>
        </w:rPr>
        <w:t>We derived the summary consolidated financial statement data for the years ended December 31, 2014, 2013 and 2012, set forth below from our audited consolidated financial statements and related notes incorporated by reference in this prospectus supplement and the accompanying prospectus. We derived the summary consolidated financial data as of September 30, 2015, and for the nine months ended September 30, 2015, and 2014, from our unaudited condensed consolidated financial information incorporated by reference in this prospectus supplement and the accompanying prospectus. The unaudited condensed financial data as of and for the nine months ended September 30, 2015, in the opinion of management, contains all adjustments (consisting of only normal recurring adjustments) necessary to present fairly our financial position and results of operations for the period. Our unaudited quarterly results as of and for the nine months ended September 30, 2015 have not been reviewed by our independent auditors. Accordingly, we cannot assure you that upon completion of the review of our independent auditors and of the audit by our independent auditors of our results for the year ending December 31, 2015, we will not report different financial results than those set forth below. Further, our results for interim periods are not necessarily indicative of the results that may be expected for the entire year. You should read the information presented below together with our consolidated financial statements, the notes to those statements and the other financial information incorporated by reference in this prospectus supplement and the accompanying prospectus.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 thousands of U.S. dollars, except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56"/>
        </w:trPr>
        <w:tc>
          <w:tcPr>
            <w:tcW w:w="2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13"/>
                <w:szCs w:val="13"/>
                <w:color w:val="auto"/>
              </w:rPr>
            </w:pPr>
          </w:p>
        </w:tc>
      </w:tr>
      <w:tr>
        <w:trPr>
          <w:trHeight w:val="156"/>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Statements of Operations Data:</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Research and development expenses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10,126</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20,197</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25,105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7,066</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818</w:t>
            </w: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 commercialization expenses</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3,667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4,403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5,839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3,224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683</w:t>
            </w: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(income) expense, net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w:t>
            </w: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Taxes on income (benefits)</w:t>
            </w: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attributable to holders of ordinary</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98"/>
        </w:trPr>
        <w:tc>
          <w:tcPr>
            <w:tcW w:w="286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14,562</w:t>
            </w:r>
          </w:p>
        </w:tc>
        <w:tc>
          <w:tcPr>
            <w:tcW w:w="1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26,032</w:t>
            </w:r>
          </w:p>
        </w:tc>
        <w:tc>
          <w:tcPr>
            <w:tcW w:w="2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32,834</w:t>
            </w:r>
          </w:p>
        </w:tc>
        <w:tc>
          <w:tcPr>
            <w:tcW w:w="1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10,548</w:t>
            </w:r>
          </w:p>
        </w:tc>
        <w:tc>
          <w:tcPr>
            <w:tcW w:w="3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1,579</w:t>
            </w:r>
          </w:p>
        </w:tc>
      </w:tr>
      <w:tr>
        <w:trPr>
          <w:trHeight w:val="160"/>
        </w:trPr>
        <w:tc>
          <w:tcPr>
            <w:tcW w:w="286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Weighted average number of ordinary</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r>
      <w:tr>
        <w:trPr>
          <w:trHeight w:val="162"/>
        </w:trPr>
        <w:tc>
          <w:tcPr>
            <w:tcW w:w="2860" w:type="dxa"/>
            <w:vAlign w:val="bottom"/>
          </w:tcPr>
          <w:p>
            <w:pPr>
              <w:ind w:left="200"/>
              <w:spacing w:after="0"/>
              <w:rPr>
                <w:sz w:val="20"/>
                <w:szCs w:val="20"/>
                <w:color w:val="auto"/>
              </w:rPr>
            </w:pPr>
            <w:r>
              <w:rPr>
                <w:rFonts w:ascii="Arial" w:cs="Arial" w:eastAsia="Arial" w:hAnsi="Arial"/>
                <w:sz w:val="14"/>
                <w:szCs w:val="14"/>
                <w:color w:val="auto"/>
              </w:rPr>
              <w:t>shares used in computing basic and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2860" w:type="dxa"/>
            <w:vAlign w:val="bottom"/>
          </w:tcPr>
          <w:p>
            <w:pPr>
              <w:ind w:left="200"/>
              <w:spacing w:after="0"/>
              <w:rPr>
                <w:sz w:val="20"/>
                <w:szCs w:val="20"/>
                <w:color w:val="auto"/>
              </w:rPr>
            </w:pPr>
            <w:r>
              <w:rPr>
                <w:rFonts w:ascii="Arial" w:cs="Arial" w:eastAsia="Arial" w:hAnsi="Arial"/>
                <w:sz w:val="14"/>
                <w:szCs w:val="14"/>
                <w:color w:val="auto"/>
              </w:rPr>
              <w:t>diluted net loss per share</w:t>
            </w: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20,796,235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13,665,459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13,674,818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10,177,786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7,791,932</w:t>
            </w:r>
          </w:p>
        </w:tc>
      </w:tr>
    </w:tbl>
    <w:p>
      <w:pPr>
        <w:spacing w:after="0" w:line="200" w:lineRule="exact"/>
        <w:rPr>
          <w:sz w:val="20"/>
          <w:szCs w:val="20"/>
          <w:color w:val="auto"/>
        </w:rPr>
      </w:pPr>
    </w:p>
    <w:p>
      <w:pPr>
        <w:spacing w:after="0" w:line="35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RISK FACTORS</w:t>
      </w:r>
    </w:p>
    <w:p>
      <w:pPr>
        <w:spacing w:after="0" w:line="139" w:lineRule="exact"/>
        <w:rPr>
          <w:sz w:val="20"/>
          <w:szCs w:val="20"/>
          <w:color w:val="auto"/>
        </w:rPr>
      </w:pPr>
    </w:p>
    <w:p>
      <w:pPr>
        <w:ind w:left="40" w:right="619"/>
        <w:spacing w:after="0" w:line="251" w:lineRule="auto"/>
        <w:rPr>
          <w:sz w:val="20"/>
          <w:szCs w:val="20"/>
          <w:color w:val="auto"/>
        </w:rPr>
      </w:pPr>
      <w:r>
        <w:rPr>
          <w:rFonts w:ascii="Arial" w:cs="Arial" w:eastAsia="Arial" w:hAnsi="Arial"/>
          <w:sz w:val="18"/>
          <w:szCs w:val="18"/>
          <w:color w:val="auto"/>
        </w:rPr>
        <w:t>Investing in our securities involves significant risks. Before making an investment decision, you should carefully consider the risks described below, in the accompanying prospectus and under Item 3.D. — “Risk Factors” in our most recent Annual Report on Form 20-F, or in any updates in our Reports on Form 6-K, together with all of the other information appearing in this prospectus supplement or the accompanying prospectus or incorporated by reference herein or therein, including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under the caption “Warning Regarding Forward-Looking Statements” below.</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subject to any number of legal proceedings.</w:t>
      </w:r>
    </w:p>
    <w:p>
      <w:pPr>
        <w:spacing w:after="0" w:line="139" w:lineRule="exact"/>
        <w:rPr>
          <w:sz w:val="20"/>
          <w:szCs w:val="20"/>
          <w:color w:val="auto"/>
        </w:rPr>
      </w:pPr>
    </w:p>
    <w:p>
      <w:pPr>
        <w:ind w:left="40" w:right="659"/>
        <w:spacing w:after="0" w:line="251" w:lineRule="auto"/>
        <w:rPr>
          <w:sz w:val="20"/>
          <w:szCs w:val="20"/>
          <w:color w:val="auto"/>
        </w:rPr>
      </w:pPr>
      <w:r>
        <w:rPr>
          <w:rFonts w:ascii="Arial" w:cs="Arial" w:eastAsia="Arial" w:hAnsi="Arial"/>
          <w:sz w:val="18"/>
          <w:szCs w:val="18"/>
          <w:color w:val="auto"/>
        </w:rPr>
        <w:t>On December 16, 2014, a class action lawsuit was filed against us and certain of our current and former officers and directors in the United States District Court for the Southern District of New York. The complaint, brought by a putative class of investors, alleges, among other things, that our officers and directors made false or misleading statements relating to the results of our Phase 3 study for our MDX drug candidate. On May 20, 2015, we moved to dismiss the complaint. The motion to dismiss has been fully briefed, and oral argument occurred on September 22, 2015, and the court’s decision remains pending. Such legal proceedings, regardless of their outcome, could be costly, divert management attention, or damage our reputation and demand for our products. Litigation, particularly in the United States, is inherently unpredictable and unexpectedly high awards of damages can result if we receive an adverse verdict. In many cases, particularly in the United States, the practice of the plaintiffs’ bar is to claim damages (compensatory, punitive and statutory) in extremely high amounts. Accordingly, it is difficult to quantify the potential exposure to claims in many proceedings of the type mentioned above. Unfavorable resolution of current and similar future proceedings could have a material adverse effect on our financial condition and results of operations. We may become subject to monetary and/or non-monetary sanctions and/or may be required to make significant provisions in our accounts related to legal proceedings, which could have a material adverse effect on our financial condition and results of operations.</w:t>
      </w:r>
    </w:p>
    <w:p>
      <w:pPr>
        <w:spacing w:after="0" w:line="121" w:lineRule="exact"/>
        <w:rPr>
          <w:sz w:val="20"/>
          <w:szCs w:val="20"/>
          <w:color w:val="auto"/>
        </w:rPr>
      </w:pPr>
    </w:p>
    <w:p>
      <w:pPr>
        <w:jc w:val="both"/>
        <w:ind w:left="40" w:right="799"/>
        <w:spacing w:after="0" w:line="262" w:lineRule="auto"/>
        <w:rPr>
          <w:sz w:val="20"/>
          <w:szCs w:val="20"/>
          <w:color w:val="auto"/>
        </w:rPr>
      </w:pPr>
      <w:r>
        <w:rPr>
          <w:rFonts w:ascii="Arial" w:cs="Arial" w:eastAsia="Arial" w:hAnsi="Arial"/>
          <w:sz w:val="18"/>
          <w:szCs w:val="18"/>
          <w:b w:val="1"/>
          <w:bCs w:val="1"/>
          <w:i w:val="1"/>
          <w:iCs w:val="1"/>
          <w:color w:val="auto"/>
        </w:rPr>
        <w:t>We have filed multiple patent applications and have three issued patents by the U.S. Patent and Trademark Office, or the USPTO, and three issued patents in other jurisdictions. There can be no assurance that any of our other patent applications will result in issued patents. As a result, we may have limited protection of our proprietary technology in the marketplace.</w:t>
      </w:r>
    </w:p>
    <w:p>
      <w:pPr>
        <w:spacing w:after="0" w:line="91" w:lineRule="exact"/>
        <w:rPr>
          <w:sz w:val="20"/>
          <w:szCs w:val="20"/>
          <w:color w:val="auto"/>
        </w:rPr>
      </w:pPr>
    </w:p>
    <w:p>
      <w:pPr>
        <w:ind w:left="40" w:right="539"/>
        <w:spacing w:after="0" w:line="251" w:lineRule="auto"/>
        <w:rPr>
          <w:sz w:val="20"/>
          <w:szCs w:val="20"/>
          <w:color w:val="auto"/>
        </w:rPr>
      </w:pPr>
      <w:r>
        <w:rPr>
          <w:rFonts w:ascii="Arial" w:cs="Arial" w:eastAsia="Arial" w:hAnsi="Arial"/>
          <w:sz w:val="18"/>
          <w:szCs w:val="18"/>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The USPTO has issued three patents to us, covering the composition of the sustained release form of MDX, the use of metadoxine for ADHD, and new molecular derivatives of metadoxine. We also have three issued patents in Australia and New Zealand. Unless and until other pending applications issue, their additional protective scope is impossible to determine. It is impossible to predict whether or how many of these additional applications will result in issued patents. Even if pending applications issue, they may issue with claims significantly narrower than those we currently seek. The patent position of biotechnology and pharmaceutical companies is generally uncertain because it involves complex legal and factual considerations. The standards applied by the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w:t>
      </w:r>
    </w:p>
    <w:p>
      <w:pPr>
        <w:spacing w:after="0" w:line="200" w:lineRule="exact"/>
        <w:rPr>
          <w:sz w:val="20"/>
          <w:szCs w:val="20"/>
          <w:color w:val="auto"/>
        </w:rPr>
      </w:pPr>
    </w:p>
    <w:p>
      <w:pPr>
        <w:spacing w:after="0" w:line="3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right="679"/>
        <w:spacing w:after="0" w:line="287" w:lineRule="auto"/>
        <w:rPr>
          <w:sz w:val="20"/>
          <w:szCs w:val="20"/>
          <w:color w:val="auto"/>
        </w:rPr>
      </w:pPr>
      <w:r>
        <w:rPr>
          <w:rFonts w:ascii="Arial" w:cs="Arial" w:eastAsia="Arial" w:hAnsi="Arial"/>
          <w:sz w:val="18"/>
          <w:szCs w:val="18"/>
          <w:b w:val="1"/>
          <w:bCs w:val="1"/>
          <w:i w:val="1"/>
          <w:iCs w:val="1"/>
          <w:color w:val="auto"/>
        </w:rPr>
        <w:t>If we were to be characterized as a “passive foreign investment company” for U.S. tax purposes, U.S. holders of our ordinary shares could have adverse U.S. income tax consequences.</w:t>
      </w:r>
    </w:p>
    <w:p>
      <w:pPr>
        <w:spacing w:after="0" w:line="67" w:lineRule="exact"/>
        <w:rPr>
          <w:sz w:val="20"/>
          <w:szCs w:val="20"/>
          <w:color w:val="auto"/>
        </w:rPr>
      </w:pPr>
    </w:p>
    <w:p>
      <w:pPr>
        <w:ind w:left="40" w:right="519"/>
        <w:spacing w:after="0" w:line="251" w:lineRule="auto"/>
        <w:rPr>
          <w:sz w:val="20"/>
          <w:szCs w:val="20"/>
          <w:color w:val="auto"/>
        </w:rPr>
      </w:pPr>
      <w:r>
        <w:rPr>
          <w:rFonts w:ascii="Arial" w:cs="Arial" w:eastAsia="Arial" w:hAnsi="Arial"/>
          <w:sz w:val="18"/>
          <w:szCs w:val="18"/>
          <w:color w:val="auto"/>
        </w:rPr>
        <w:t>If we were to be characterized as a passive foreign investment company, or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Based on the nature of our business, the projected composition of our income and the projected composition and estimated fair market values of our assets, we cannot rule out a PFIC designation. In particular, in light of the complexity of PFIC rules, we cannot assure you that we have not been a PFIC in prior years or are not a PFIC or will avoid becoming a PFIC in the future. Were we to be classified as a PFIC, a U.S. investor may be able to mitigate some of the adverse U.S. federal income tax consequences with respect to owning the ordinary shares for our taxable year ending December 31, 2015, provided that such U.S. investor is eligible to make, and successfully makes, a “mark-to-market” election. U.S. investors could also mitigate some of the adverse U.S. federal income tax consequences of us being classified as a PFIC by making a “qualified electing fund” election, provided that we provide the information necessary for a U.S. investor to make such an election. We intend to make available to U.S. investors upon request the information necessary for U.S. holders to make qualified electing fund elections. U.S. Holders are strongly urged to consult their tax advisors about the PFIC rules, including tax return filing requirements and the eligibility, manner, and consequences to them of making a QEF or mark-to-market election with respect to our Ordinary Shares in the event we that qualify as a PFIC. For more information see “U.S. Federal Income Tax Consequences” in our Annual Report on Form 20-F incorporated by reference herein.</w:t>
      </w:r>
    </w:p>
    <w:p>
      <w:pPr>
        <w:spacing w:after="0" w:line="120" w:lineRule="exact"/>
        <w:rPr>
          <w:sz w:val="20"/>
          <w:szCs w:val="20"/>
          <w:color w:val="auto"/>
        </w:rPr>
      </w:pPr>
    </w:p>
    <w:p>
      <w:pPr>
        <w:ind w:left="40" w:right="879"/>
        <w:spacing w:after="0" w:line="287" w:lineRule="auto"/>
        <w:rPr>
          <w:sz w:val="20"/>
          <w:szCs w:val="20"/>
          <w:color w:val="auto"/>
        </w:rPr>
      </w:pPr>
      <w:r>
        <w:rPr>
          <w:rFonts w:ascii="Arial" w:cs="Arial" w:eastAsia="Arial" w:hAnsi="Arial"/>
          <w:sz w:val="18"/>
          <w:szCs w:val="18"/>
          <w:b w:val="1"/>
          <w:bCs w:val="1"/>
          <w:i w:val="1"/>
          <w:iCs w:val="1"/>
          <w:color w:val="auto"/>
        </w:rPr>
        <w:t>Since we have broad discretion in how we use the proceeds from this offering, we may use the proceeds in ways with which you disagree.</w:t>
      </w:r>
    </w:p>
    <w:p>
      <w:pPr>
        <w:spacing w:after="0" w:line="67" w:lineRule="exact"/>
        <w:rPr>
          <w:sz w:val="20"/>
          <w:szCs w:val="20"/>
          <w:color w:val="auto"/>
        </w:rPr>
      </w:pPr>
    </w:p>
    <w:p>
      <w:pPr>
        <w:ind w:left="40" w:right="519"/>
        <w:spacing w:after="0" w:line="252" w:lineRule="auto"/>
        <w:rPr>
          <w:sz w:val="20"/>
          <w:szCs w:val="20"/>
          <w:color w:val="auto"/>
        </w:rPr>
      </w:pPr>
      <w:r>
        <w:rPr>
          <w:rFonts w:ascii="Arial" w:cs="Arial" w:eastAsia="Arial" w:hAnsi="Arial"/>
          <w:sz w:val="18"/>
          <w:szCs w:val="18"/>
          <w:color w:val="auto"/>
        </w:rPr>
        <w:t>We intend to use the net proceeds of this offering to fund the company’s future clinical development program and for general corporate purposes. Accordingly, our management will have significant flexibility in applying the net proceeds of this offering. You will be relying on the judgment of our management with regard to the use of these net proceeds, and you will not have the opportunity, as part of your investment decision, to assess whether the proceeds are being used in ways with which you would agree. It is possible that the net proceeds will be invested in a way that does not yield a favorable, or any, return for the company. The failure of our management to use such funds effectively could have a material adverse effect on our business, financial condition, operating results and cash flow.</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Investors will incur an immediate dilution from the public offering price.</w:t>
      </w:r>
    </w:p>
    <w:p>
      <w:pPr>
        <w:spacing w:after="0" w:line="139" w:lineRule="exact"/>
        <w:rPr>
          <w:sz w:val="20"/>
          <w:szCs w:val="20"/>
          <w:color w:val="auto"/>
        </w:rPr>
      </w:pPr>
    </w:p>
    <w:p>
      <w:pPr>
        <w:ind w:left="40" w:right="559"/>
        <w:spacing w:after="0" w:line="252" w:lineRule="auto"/>
        <w:rPr>
          <w:sz w:val="20"/>
          <w:szCs w:val="20"/>
          <w:color w:val="auto"/>
        </w:rPr>
      </w:pPr>
      <w:r>
        <w:rPr>
          <w:rFonts w:ascii="Arial" w:cs="Arial" w:eastAsia="Arial" w:hAnsi="Arial"/>
          <w:sz w:val="18"/>
          <w:szCs w:val="18"/>
          <w:color w:val="auto"/>
        </w:rPr>
        <w:t>Because the price per share of our ordinary shares being offered is substantially higher than the book value per share of our ordinary shares, you will suffer substantial dilution in the net tangible book value of the ordinary shares you purchase in this offering. Based on the initial public offering price of $ per share, if you purchase ordinary shares in this offering, you will suffer immediate and substantial dilution of $ per ordinary share in the net tangible book value of the ordinary shares, as of September 30, 2015. See “Dilution” for a more detailed discussion of the dilution you will incur in this offering.</w:t>
      </w:r>
    </w:p>
    <w:p>
      <w:pPr>
        <w:spacing w:after="0" w:line="106" w:lineRule="exact"/>
        <w:rPr>
          <w:sz w:val="20"/>
          <w:szCs w:val="20"/>
          <w:color w:val="auto"/>
        </w:rPr>
      </w:pPr>
    </w:p>
    <w:p>
      <w:pPr>
        <w:ind w:left="40" w:right="639"/>
        <w:spacing w:after="0" w:line="287" w:lineRule="auto"/>
        <w:rPr>
          <w:sz w:val="20"/>
          <w:szCs w:val="20"/>
          <w:color w:val="auto"/>
        </w:rPr>
      </w:pPr>
      <w:r>
        <w:rPr>
          <w:rFonts w:ascii="Arial" w:cs="Arial" w:eastAsia="Arial" w:hAnsi="Arial"/>
          <w:sz w:val="18"/>
          <w:szCs w:val="18"/>
          <w:b w:val="1"/>
          <w:bCs w:val="1"/>
          <w:i w:val="1"/>
          <w:iCs w:val="1"/>
          <w:color w:val="auto"/>
        </w:rPr>
        <w:t>A substantial percentage of our authorized shares may be sold in this offering, which could cause the price of our ordinary shares to decline.</w:t>
      </w:r>
    </w:p>
    <w:p>
      <w:pPr>
        <w:spacing w:after="0" w:line="67" w:lineRule="exact"/>
        <w:rPr>
          <w:sz w:val="20"/>
          <w:szCs w:val="20"/>
          <w:color w:val="auto"/>
        </w:rPr>
      </w:pPr>
    </w:p>
    <w:p>
      <w:pPr>
        <w:ind w:left="40" w:right="539"/>
        <w:spacing w:after="0" w:line="251" w:lineRule="auto"/>
        <w:rPr>
          <w:sz w:val="20"/>
          <w:szCs w:val="20"/>
          <w:color w:val="auto"/>
        </w:rPr>
      </w:pPr>
      <w:r>
        <w:rPr>
          <w:rFonts w:ascii="Arial" w:cs="Arial" w:eastAsia="Arial" w:hAnsi="Arial"/>
          <w:sz w:val="18"/>
          <w:szCs w:val="18"/>
          <w:color w:val="auto"/>
        </w:rPr>
        <w:t>Pursuant to this offering, we will sell ordinary shares, or approximately %, of our outstanding ordinary shares as of September 30, 2015. This sale and any future sales of a substantial number of ordinary shares in the public market, or the perception that such sales may occur, could adversely affect the price of our ordinary shares. We have issued a substantial number of ordinary shares upon exercise of warrants and options to purchase our ordinary shares, which are eligible for, or may become eligible for, unrestricted resale. Any sales or registration of such shares in the public market or otherwise could reduce the prevailing market price for our ordinary shares, as well as make future sales of equity securities by us less attractive or even not feasible. The sale of shares issued upon the exercise of options and warrants granted pursuant to our employee stock purchase plan could also further dilute the holdings of our then existing shareholders.</w:t>
      </w:r>
    </w:p>
    <w:p>
      <w:pPr>
        <w:spacing w:after="0" w:line="200" w:lineRule="exact"/>
        <w:rPr>
          <w:sz w:val="20"/>
          <w:szCs w:val="20"/>
          <w:color w:val="auto"/>
        </w:rPr>
      </w:pPr>
    </w:p>
    <w:p>
      <w:pPr>
        <w:spacing w:after="0" w:line="36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right="1159"/>
        <w:spacing w:after="0" w:line="287" w:lineRule="auto"/>
        <w:rPr>
          <w:sz w:val="20"/>
          <w:szCs w:val="20"/>
          <w:color w:val="auto"/>
        </w:rPr>
      </w:pPr>
      <w:r>
        <w:rPr>
          <w:rFonts w:ascii="Arial" w:cs="Arial" w:eastAsia="Arial" w:hAnsi="Arial"/>
          <w:sz w:val="18"/>
          <w:szCs w:val="18"/>
          <w:b w:val="1"/>
          <w:bCs w:val="1"/>
          <w:i w:val="1"/>
          <w:iCs w:val="1"/>
          <w:color w:val="auto"/>
        </w:rPr>
        <w:t>We may need additional funds in the future. We may be unable to obtain additional funds or if we obtain financing it may not be on terms favorable to us. You may lose your entire investment.</w:t>
      </w:r>
    </w:p>
    <w:p>
      <w:pPr>
        <w:spacing w:after="0" w:line="67" w:lineRule="exact"/>
        <w:rPr>
          <w:sz w:val="20"/>
          <w:szCs w:val="20"/>
          <w:color w:val="auto"/>
        </w:rPr>
      </w:pPr>
    </w:p>
    <w:p>
      <w:pPr>
        <w:ind w:left="40" w:right="779"/>
        <w:spacing w:after="0" w:line="253" w:lineRule="auto"/>
        <w:rPr>
          <w:sz w:val="20"/>
          <w:szCs w:val="20"/>
          <w:color w:val="auto"/>
        </w:rPr>
      </w:pPr>
      <w:r>
        <w:rPr>
          <w:rFonts w:ascii="Arial" w:cs="Arial" w:eastAsia="Arial" w:hAnsi="Arial"/>
          <w:sz w:val="18"/>
          <w:szCs w:val="18"/>
          <w:color w:val="auto"/>
        </w:rPr>
        <w:t>Based on our current plans, we believe our existing cash and cash equivalents along with cash generated from this offering will be sufficient to fund our operating expenses and capital requirements through 2017, although there is no assurance of this result, and we may need funds in the future. If our capital resources are insufficient to meet future capital requirements, we will have to raise additional funds. If we are unable to obtain additional funds on terms favorable to us, we may be required to cease or reduce our operating activities.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share price may be volatile.</w:t>
      </w:r>
    </w:p>
    <w:p>
      <w:pPr>
        <w:spacing w:after="0" w:line="139" w:lineRule="exact"/>
        <w:rPr>
          <w:sz w:val="20"/>
          <w:szCs w:val="20"/>
          <w:color w:val="auto"/>
        </w:rPr>
      </w:pPr>
    </w:p>
    <w:p>
      <w:pPr>
        <w:ind w:left="40" w:right="579"/>
        <w:spacing w:after="0" w:line="256" w:lineRule="auto"/>
        <w:rPr>
          <w:sz w:val="20"/>
          <w:szCs w:val="20"/>
          <w:color w:val="auto"/>
        </w:rPr>
      </w:pPr>
      <w:r>
        <w:rPr>
          <w:rFonts w:ascii="Arial" w:cs="Arial" w:eastAsia="Arial" w:hAnsi="Arial"/>
          <w:sz w:val="18"/>
          <w:szCs w:val="18"/>
          <w:color w:val="auto"/>
        </w:rPr>
        <w:t>The market price of our ordinary shares has been subject to fluctuation in the past. Consequently, the current market price of our ordinary shares may not be indicative of future market prices, and we may be unable to sustain or increase the value of an investment in our ordinary shares.</w:t>
      </w:r>
    </w:p>
    <w:p>
      <w:pPr>
        <w:spacing w:after="0" w:line="200" w:lineRule="exact"/>
        <w:rPr>
          <w:sz w:val="20"/>
          <w:szCs w:val="20"/>
          <w:color w:val="auto"/>
        </w:rPr>
      </w:pPr>
    </w:p>
    <w:p>
      <w:pPr>
        <w:spacing w:after="0" w:line="3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WARNING REGARDING FORWARD-LOOKING STATEMENTS</w:t>
      </w:r>
    </w:p>
    <w:p>
      <w:pPr>
        <w:spacing w:after="0" w:line="139" w:lineRule="exact"/>
        <w:rPr>
          <w:sz w:val="20"/>
          <w:szCs w:val="20"/>
          <w:color w:val="auto"/>
        </w:rPr>
      </w:pPr>
    </w:p>
    <w:p>
      <w:pPr>
        <w:ind w:left="40" w:right="539"/>
        <w:spacing w:after="0" w:line="266" w:lineRule="auto"/>
        <w:rPr>
          <w:sz w:val="20"/>
          <w:szCs w:val="20"/>
          <w:color w:val="auto"/>
        </w:rPr>
      </w:pPr>
      <w:r>
        <w:rPr>
          <w:rFonts w:ascii="Arial" w:cs="Arial" w:eastAsia="Arial" w:hAnsi="Arial"/>
          <w:sz w:val="17"/>
          <w:szCs w:val="17"/>
          <w:color w:val="auto"/>
        </w:rPr>
        <w:t>This prospectus supplement contains, “forward-looking statements” within the meaning of the Private Securities Litigation Reform Act of 1995 and other U.S. Federal securities laws. Also, documents that we incorporate by reference into this prospectus supplement, including documents that we subsequently file with the SEC, will contain forward-looking statements. These forward-looking statements include, but are not limited to, those statements regarding anticipated expenses, capital requirements and our needs for additional financing; timing, design, the initiation and successful completion of the clinical trials and studies we are or anticipate conducting, if at all; FDA approval of, or other regulatory action in the United States and elsewhere, with respect to MDX; the commercial launch and future sales of MDX or any other future products or product candidates; our ability to achieve favorable pricing for MDX; and our expectations regarding licensing, acquisitions and strategic operations. 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in this prospectus supplement would be interpreted differently in light of additional research and clinical and preclinical trials results. Also, while the FDA has indicated to us that positive efficacy results from certain clinical studies may be sufficient to demonstrate efficacy for approval of MDX, the FDA is not bound by these communications and accordingly may change its position in the future due to reasons within or outside of our control. The forward-looking statements contained in this prospectus supplement are subject to risks and uncertainties, including those described herein under “Risk Factors” and in our most recent Annual Report on Form 20-F, under Item 3.D. — “Risk Factors” and in our other filings with the SEC. You are cautioned not to place undue reliance on these forward looking statements, which speak only as of the date on which that statement is made. Although we believe that the expectations reflected in the forward-looking statements are reasonable, we cannot guarantee future results, levels of activity, performance, or achievements. Except as otherwise required by law, we are under no obligation to (and expressly disclaim any such obligation to) update or revise any of the forward-looking statements, whether as a result of new information, future events or otherwise, after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USE OF PROCEEDS</w:t>
      </w:r>
    </w:p>
    <w:p>
      <w:pPr>
        <w:spacing w:after="0" w:line="139" w:lineRule="exact"/>
        <w:rPr>
          <w:sz w:val="20"/>
          <w:szCs w:val="20"/>
          <w:color w:val="auto"/>
        </w:rPr>
      </w:pPr>
    </w:p>
    <w:p>
      <w:pPr>
        <w:ind w:left="40" w:right="779"/>
        <w:spacing w:after="0" w:line="250" w:lineRule="auto"/>
        <w:rPr>
          <w:sz w:val="20"/>
          <w:szCs w:val="20"/>
          <w:color w:val="auto"/>
        </w:rPr>
      </w:pPr>
      <w:r>
        <w:rPr>
          <w:rFonts w:ascii="Arial" w:cs="Arial" w:eastAsia="Arial" w:hAnsi="Arial"/>
          <w:sz w:val="18"/>
          <w:szCs w:val="18"/>
          <w:color w:val="auto"/>
        </w:rPr>
        <w:t>We estimate that the net proceeds from our issuance and sale of shares of our ordinary shares in this offering will be approximately $ million, based on the public offering price of $ per share, and after deducting underwriting</w:t>
      </w:r>
    </w:p>
    <w:p>
      <w:pPr>
        <w:spacing w:after="0" w:line="1" w:lineRule="exact"/>
        <w:rPr>
          <w:sz w:val="20"/>
          <w:szCs w:val="20"/>
          <w:color w:val="auto"/>
        </w:rPr>
      </w:pPr>
    </w:p>
    <w:p>
      <w:pPr>
        <w:ind w:left="40" w:right="539"/>
        <w:spacing w:after="0" w:line="253" w:lineRule="auto"/>
        <w:rPr>
          <w:sz w:val="20"/>
          <w:szCs w:val="20"/>
          <w:color w:val="auto"/>
        </w:rPr>
      </w:pPr>
      <w:r>
        <w:rPr>
          <w:rFonts w:ascii="Arial" w:cs="Arial" w:eastAsia="Arial" w:hAnsi="Arial"/>
          <w:sz w:val="18"/>
          <w:szCs w:val="18"/>
          <w:color w:val="auto"/>
        </w:rPr>
        <w:t>discounts and commissions and offering expenses payable by us. If the underwriters exercise the option to purchase additional shares in full, we estimate that the net proceeds from this offering will be approximately $ million, based on the public offering price of $ per share, and after deducting underwriting discounts and commissions and offering expenses payable by us. We currently expect to use the net proceeds from this offering to fund our future clinical development program and for general corporate purposes.</w:t>
      </w:r>
    </w:p>
    <w:p>
      <w:pPr>
        <w:spacing w:after="0" w:line="97" w:lineRule="exact"/>
        <w:rPr>
          <w:sz w:val="20"/>
          <w:szCs w:val="20"/>
          <w:color w:val="auto"/>
        </w:rPr>
      </w:pPr>
    </w:p>
    <w:p>
      <w:pPr>
        <w:ind w:left="40" w:right="539"/>
        <w:spacing w:after="0" w:line="254" w:lineRule="auto"/>
        <w:rPr>
          <w:sz w:val="20"/>
          <w:szCs w:val="20"/>
          <w:color w:val="auto"/>
        </w:rPr>
      </w:pPr>
      <w:r>
        <w:rPr>
          <w:rFonts w:ascii="Arial" w:cs="Arial" w:eastAsia="Arial" w:hAnsi="Arial"/>
          <w:sz w:val="18"/>
          <w:szCs w:val="18"/>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96" w:lineRule="exact"/>
        <w:rPr>
          <w:sz w:val="20"/>
          <w:szCs w:val="20"/>
          <w:color w:val="auto"/>
        </w:rPr>
      </w:pPr>
    </w:p>
    <w:p>
      <w:pPr>
        <w:ind w:left="40" w:right="839"/>
        <w:spacing w:after="0" w:line="262" w:lineRule="auto"/>
        <w:rPr>
          <w:sz w:val="20"/>
          <w:szCs w:val="20"/>
          <w:color w:val="auto"/>
        </w:rPr>
      </w:pPr>
      <w:r>
        <w:rPr>
          <w:rFonts w:ascii="Arial" w:cs="Arial" w:eastAsia="Arial" w:hAnsi="Arial"/>
          <w:sz w:val="18"/>
          <w:szCs w:val="18"/>
          <w:color w:val="auto"/>
        </w:rPr>
        <w:t>We have no current commitments or binding agreements with respect to any material acquisition of or investment in any technologies, products or companies.</w:t>
      </w: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PRICE RANGE OF ORDINARY SHARES</w:t>
      </w:r>
    </w:p>
    <w:p>
      <w:pPr>
        <w:spacing w:after="0" w:line="139" w:lineRule="exact"/>
        <w:rPr>
          <w:sz w:val="20"/>
          <w:szCs w:val="20"/>
          <w:color w:val="auto"/>
        </w:rPr>
      </w:pPr>
    </w:p>
    <w:p>
      <w:pPr>
        <w:ind w:left="60" w:right="699"/>
        <w:spacing w:after="0" w:line="256" w:lineRule="auto"/>
        <w:rPr>
          <w:sz w:val="20"/>
          <w:szCs w:val="20"/>
          <w:color w:val="auto"/>
        </w:rPr>
      </w:pPr>
      <w:r>
        <w:rPr>
          <w:rFonts w:ascii="Arial" w:cs="Arial" w:eastAsia="Arial" w:hAnsi="Arial"/>
          <w:sz w:val="18"/>
          <w:szCs w:val="18"/>
          <w:color w:val="auto"/>
        </w:rPr>
        <w:t>Our ordinary shares are listed on the NASDAQ Global Market under the symbol “ADHD”. From May 22, 2013, until March 28, 2014, our ordinary shares were listed on the NASDAQ Capital Market. Prior to May 22, 2013, there was no public trading market for our ordinary shares.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for the periods indicated, the high and low sales prices of our ordinary shares on the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NASDAQ Global Market or the NASDAQ Capital Market,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47510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Low</w:t>
            </w:r>
          </w:p>
        </w:tc>
      </w:tr>
      <w:tr>
        <w:trPr>
          <w:trHeight w:val="156"/>
        </w:trPr>
        <w:tc>
          <w:tcPr>
            <w:tcW w:w="5760" w:type="dxa"/>
            <w:vAlign w:val="bottom"/>
            <w:gridSpan w:val="5"/>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Year</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27"/>
        </w:trPr>
        <w:tc>
          <w:tcPr>
            <w:tcW w:w="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r>
        <w:trPr>
          <w:trHeight w:val="189"/>
        </w:trPr>
        <w:tc>
          <w:tcPr>
            <w:tcW w:w="500" w:type="dxa"/>
            <w:vAlign w:val="bottom"/>
            <w:gridSpan w:val="3"/>
          </w:tcPr>
          <w:p>
            <w:pPr>
              <w:ind w:left="20"/>
              <w:spacing w:after="0"/>
              <w:rPr>
                <w:sz w:val="20"/>
                <w:szCs w:val="20"/>
                <w:color w:val="auto"/>
              </w:rPr>
            </w:pPr>
            <w:r>
              <w:rPr>
                <w:rFonts w:ascii="Arial" w:cs="Arial" w:eastAsia="Arial" w:hAnsi="Arial"/>
                <w:sz w:val="16"/>
                <w:szCs w:val="16"/>
                <w:color w:val="auto"/>
              </w:rPr>
              <w:t>2015</w:t>
            </w:r>
          </w:p>
        </w:tc>
        <w:tc>
          <w:tcPr>
            <w:tcW w:w="8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9.50</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3.68</w:t>
            </w:r>
          </w:p>
        </w:tc>
      </w:tr>
      <w:tr>
        <w:trPr>
          <w:trHeight w:val="189"/>
        </w:trPr>
        <w:tc>
          <w:tcPr>
            <w:tcW w:w="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840" w:type="dxa"/>
            <w:vAlign w:val="bottom"/>
            <w:shd w:val="clear" w:color="auto" w:fill="CCEEFF"/>
          </w:tcPr>
          <w:p>
            <w:pPr>
              <w:spacing w:after="0"/>
              <w:rPr>
                <w:sz w:val="16"/>
                <w:szCs w:val="16"/>
                <w:color w:val="auto"/>
              </w:rPr>
            </w:pPr>
          </w:p>
        </w:tc>
        <w:tc>
          <w:tcPr>
            <w:tcW w:w="44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r>
      <w:tr>
        <w:trPr>
          <w:trHeight w:val="189"/>
        </w:trPr>
        <w:tc>
          <w:tcPr>
            <w:tcW w:w="500" w:type="dxa"/>
            <w:vAlign w:val="bottom"/>
            <w:gridSpan w:val="3"/>
          </w:tcPr>
          <w:p>
            <w:pPr>
              <w:ind w:left="20"/>
              <w:spacing w:after="0"/>
              <w:rPr>
                <w:sz w:val="20"/>
                <w:szCs w:val="20"/>
                <w:color w:val="auto"/>
              </w:rPr>
            </w:pPr>
            <w:r>
              <w:rPr>
                <w:rFonts w:ascii="Arial" w:cs="Arial" w:eastAsia="Arial" w:hAnsi="Arial"/>
                <w:sz w:val="16"/>
                <w:szCs w:val="16"/>
                <w:color w:val="auto"/>
              </w:rPr>
              <w:t>2013</w:t>
            </w:r>
          </w:p>
        </w:tc>
        <w:tc>
          <w:tcPr>
            <w:tcW w:w="8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26.96</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6.50</w:t>
            </w:r>
          </w:p>
        </w:tc>
      </w:tr>
      <w:tr>
        <w:trPr>
          <w:trHeight w:val="162"/>
        </w:trPr>
        <w:tc>
          <w:tcPr>
            <w:tcW w:w="5760" w:type="dxa"/>
            <w:vAlign w:val="bottom"/>
            <w:gridSpan w:val="5"/>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Calendar Quarter</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7"/>
        </w:trPr>
        <w:tc>
          <w:tcPr>
            <w:tcW w:w="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r>
        <w:trPr>
          <w:trHeight w:val="189"/>
        </w:trPr>
        <w:tc>
          <w:tcPr>
            <w:tcW w:w="500" w:type="dxa"/>
            <w:vAlign w:val="bottom"/>
            <w:gridSpan w:val="3"/>
          </w:tcPr>
          <w:p>
            <w:pPr>
              <w:ind w:left="20"/>
              <w:spacing w:after="0"/>
              <w:rPr>
                <w:sz w:val="20"/>
                <w:szCs w:val="20"/>
                <w:color w:val="auto"/>
              </w:rPr>
            </w:pPr>
            <w:r>
              <w:rPr>
                <w:rFonts w:ascii="Arial" w:cs="Arial" w:eastAsia="Arial" w:hAnsi="Arial"/>
                <w:sz w:val="16"/>
                <w:szCs w:val="16"/>
                <w:b w:val="1"/>
                <w:bCs w:val="1"/>
                <w:color w:val="auto"/>
              </w:rPr>
              <w:t>2015</w:t>
            </w:r>
          </w:p>
        </w:tc>
        <w:tc>
          <w:tcPr>
            <w:tcW w:w="8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Second quarter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8.84</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5.38</w:t>
            </w: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5.61</w:t>
            </w: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Fourth quarter (through November 11, 2015)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8.78</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5.28</w:t>
            </w:r>
          </w:p>
        </w:tc>
      </w:tr>
      <w:tr>
        <w:trPr>
          <w:trHeight w:val="189"/>
        </w:trPr>
        <w:tc>
          <w:tcPr>
            <w:tcW w:w="5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2014</w:t>
            </w:r>
          </w:p>
        </w:tc>
        <w:tc>
          <w:tcPr>
            <w:tcW w:w="840" w:type="dxa"/>
            <w:vAlign w:val="bottom"/>
            <w:shd w:val="clear" w:color="auto" w:fill="CCEEFF"/>
          </w:tcPr>
          <w:p>
            <w:pPr>
              <w:spacing w:after="0"/>
              <w:rPr>
                <w:sz w:val="16"/>
                <w:szCs w:val="16"/>
                <w:color w:val="auto"/>
              </w:rPr>
            </w:pPr>
          </w:p>
        </w:tc>
        <w:tc>
          <w:tcPr>
            <w:tcW w:w="4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First quarter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25.44</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17.11</w:t>
            </w: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Second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13.63</w:t>
            </w: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Third quarter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22.19</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14.77</w:t>
            </w: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r>
      <w:tr>
        <w:trPr>
          <w:trHeight w:val="189"/>
        </w:trPr>
        <w:tc>
          <w:tcPr>
            <w:tcW w:w="500" w:type="dxa"/>
            <w:vAlign w:val="bottom"/>
            <w:gridSpan w:val="3"/>
          </w:tcPr>
          <w:p>
            <w:pPr>
              <w:ind w:left="20"/>
              <w:spacing w:after="0"/>
              <w:rPr>
                <w:sz w:val="20"/>
                <w:szCs w:val="20"/>
                <w:color w:val="auto"/>
              </w:rPr>
            </w:pPr>
            <w:r>
              <w:rPr>
                <w:rFonts w:ascii="Arial" w:cs="Arial" w:eastAsia="Arial" w:hAnsi="Arial"/>
                <w:sz w:val="16"/>
                <w:szCs w:val="16"/>
                <w:b w:val="1"/>
                <w:bCs w:val="1"/>
                <w:color w:val="auto"/>
              </w:rPr>
              <w:t>2013</w:t>
            </w:r>
          </w:p>
        </w:tc>
        <w:tc>
          <w:tcPr>
            <w:tcW w:w="8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Second quarter (from May 22, 2013)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6.50</w:t>
            </w: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Third quarter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18.99</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6.80</w:t>
            </w: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14.78</w:t>
            </w:r>
          </w:p>
        </w:tc>
      </w:tr>
      <w:tr>
        <w:trPr>
          <w:trHeight w:val="162"/>
        </w:trPr>
        <w:tc>
          <w:tcPr>
            <w:tcW w:w="5760" w:type="dxa"/>
            <w:vAlign w:val="bottom"/>
            <w:gridSpan w:val="5"/>
          </w:tcPr>
          <w:p>
            <w:pPr>
              <w:ind w:left="20"/>
              <w:spacing w:after="0" w:line="162" w:lineRule="exact"/>
              <w:rPr>
                <w:sz w:val="20"/>
                <w:szCs w:val="20"/>
                <w:color w:val="auto"/>
              </w:rPr>
            </w:pPr>
            <w:r>
              <w:rPr>
                <w:rFonts w:ascii="Arial" w:cs="Arial" w:eastAsia="Arial" w:hAnsi="Arial"/>
                <w:sz w:val="16"/>
                <w:szCs w:val="16"/>
                <w:b w:val="1"/>
                <w:bCs w:val="1"/>
                <w:color w:val="auto"/>
              </w:rPr>
              <w:t>Month</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May 2015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5.38</w:t>
            </w: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June 2015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8.84</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5.91</w:t>
            </w: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July 2015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w:t>
            </w: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August 2015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9.50</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7.13</w:t>
            </w: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September 2015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5.61</w:t>
            </w: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October 2015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8.34</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5.28</w:t>
            </w: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November 2015 (through November 11, 2015)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w:t>
            </w:r>
          </w:p>
        </w:tc>
      </w:tr>
    </w:tbl>
    <w:p>
      <w:pPr>
        <w:spacing w:after="0" w:line="107" w:lineRule="exact"/>
        <w:rPr>
          <w:sz w:val="20"/>
          <w:szCs w:val="20"/>
          <w:color w:val="auto"/>
        </w:rPr>
      </w:pPr>
    </w:p>
    <w:p>
      <w:pPr>
        <w:ind w:left="60" w:right="739"/>
        <w:spacing w:after="0" w:line="262" w:lineRule="auto"/>
        <w:rPr>
          <w:sz w:val="20"/>
          <w:szCs w:val="20"/>
          <w:color w:val="auto"/>
        </w:rPr>
      </w:pPr>
      <w:r>
        <w:rPr>
          <w:rFonts w:ascii="Arial" w:cs="Arial" w:eastAsia="Arial" w:hAnsi="Arial"/>
          <w:sz w:val="18"/>
          <w:szCs w:val="18"/>
          <w:color w:val="auto"/>
        </w:rPr>
        <w:t>On November 11, 2015, the last reported sale price of our ordinary shares on the NASDAQ Global Market was $7.51 per share.</w:t>
      </w:r>
    </w:p>
    <w:p>
      <w:pPr>
        <w:spacing w:after="0" w:line="200" w:lineRule="exact"/>
        <w:rPr>
          <w:sz w:val="20"/>
          <w:szCs w:val="20"/>
          <w:color w:val="auto"/>
        </w:rPr>
      </w:pPr>
    </w:p>
    <w:p>
      <w:pPr>
        <w:spacing w:after="0" w:line="33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DIVIDEND POLICY</w:t>
      </w:r>
    </w:p>
    <w:p>
      <w:pPr>
        <w:spacing w:after="0" w:line="139" w:lineRule="exact"/>
        <w:rPr>
          <w:sz w:val="20"/>
          <w:szCs w:val="20"/>
          <w:color w:val="auto"/>
        </w:rPr>
      </w:pPr>
    </w:p>
    <w:p>
      <w:pPr>
        <w:ind w:left="40" w:right="539"/>
        <w:spacing w:after="0" w:line="252"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 The Israeli Companies Law imposes further restrictions on our ability to declare and pay dividends and payment of dividends may be subject to Israeli withholding taxes.</w:t>
      </w:r>
    </w:p>
    <w:p>
      <w:pPr>
        <w:spacing w:after="0" w:line="200" w:lineRule="exact"/>
        <w:rPr>
          <w:sz w:val="20"/>
          <w:szCs w:val="20"/>
          <w:color w:val="auto"/>
        </w:rPr>
      </w:pPr>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CAPITALIZATION</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our cash and cash equivalents, short-term investments and shareholders’ equity as of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2015, as follows:</w:t>
      </w:r>
    </w:p>
    <w:p>
      <w:pPr>
        <w:spacing w:after="0" w:line="117" w:lineRule="exact"/>
        <w:rPr>
          <w:sz w:val="20"/>
          <w:szCs w:val="20"/>
          <w:color w:val="auto"/>
        </w:rPr>
      </w:pPr>
    </w:p>
    <w:p>
      <w:pPr>
        <w:ind w:left="620" w:hanging="322"/>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620" w:right="879" w:hanging="322"/>
        <w:spacing w:after="0" w:line="256"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an as adjusted basis to give effect to the issuance and sale of ordinary shares by us in this offering at the public offering price of $ per ordinary share, after deducting underwriting discounts and commissions and estimated offering expenses payable by us.</w:t>
      </w:r>
    </w:p>
    <w:p>
      <w:pPr>
        <w:spacing w:after="0" w:line="94" w:lineRule="exact"/>
        <w:rPr>
          <w:sz w:val="20"/>
          <w:szCs w:val="20"/>
          <w:color w:val="auto"/>
        </w:rPr>
      </w:pPr>
    </w:p>
    <w:p>
      <w:pPr>
        <w:ind w:left="60" w:right="539"/>
        <w:spacing w:after="0" w:line="256" w:lineRule="auto"/>
        <w:rPr>
          <w:sz w:val="20"/>
          <w:szCs w:val="20"/>
          <w:color w:val="auto"/>
        </w:rPr>
      </w:pPr>
      <w:r>
        <w:rPr>
          <w:rFonts w:ascii="Arial" w:cs="Arial" w:eastAsia="Arial" w:hAnsi="Arial"/>
          <w:sz w:val="18"/>
          <w:szCs w:val="18"/>
          <w:color w:val="auto"/>
        </w:rPr>
        <w:t>The financial data in the following table should be read in conjunction with our consolidated unaudited financial information included in the report of foreign private issuer on Form 6-K furnished to the SEC on November 12, 2015, for the period ended September 30, 2015, which has been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52139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As of September 30, 2015</w:t>
            </w:r>
          </w:p>
        </w:tc>
      </w:tr>
      <w:tr>
        <w:trPr>
          <w:trHeight w:val="169"/>
        </w:trPr>
        <w:tc>
          <w:tcPr>
            <w:tcW w:w="6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Adjusted</w:t>
            </w:r>
          </w:p>
        </w:tc>
      </w:tr>
      <w:tr>
        <w:trPr>
          <w:trHeight w:val="160"/>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5"/>
          </w:tcPr>
          <w:p>
            <w:pPr>
              <w:jc w:val="center"/>
              <w:ind w:right="140"/>
              <w:spacing w:after="0"/>
              <w:rPr>
                <w:sz w:val="20"/>
                <w:szCs w:val="20"/>
                <w:color w:val="auto"/>
              </w:rPr>
            </w:pPr>
            <w:r>
              <w:rPr>
                <w:rFonts w:ascii="Arial" w:cs="Arial" w:eastAsia="Arial" w:hAnsi="Arial"/>
                <w:sz w:val="14"/>
                <w:szCs w:val="14"/>
                <w:color w:val="auto"/>
              </w:rPr>
              <w:t>(unaudited, U.S. Dollars,</w:t>
            </w:r>
          </w:p>
        </w:tc>
      </w:tr>
      <w:tr>
        <w:trPr>
          <w:trHeight w:val="157"/>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5"/>
          </w:tcPr>
          <w:p>
            <w:pPr>
              <w:jc w:val="center"/>
              <w:ind w:right="140"/>
              <w:spacing w:after="0" w:line="157" w:lineRule="exact"/>
              <w:rPr>
                <w:sz w:val="20"/>
                <w:szCs w:val="20"/>
                <w:color w:val="auto"/>
              </w:rPr>
            </w:pPr>
            <w:r>
              <w:rPr>
                <w:rFonts w:ascii="Arial" w:cs="Arial" w:eastAsia="Arial" w:hAnsi="Arial"/>
                <w:sz w:val="14"/>
                <w:szCs w:val="14"/>
                <w:color w:val="auto"/>
              </w:rPr>
              <w:t>in thousands)</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9,970</w:t>
            </w:r>
          </w:p>
        </w:tc>
        <w:tc>
          <w:tcPr>
            <w:tcW w:w="920" w:type="dxa"/>
            <w:vAlign w:val="bottom"/>
            <w:gridSpan w:val="2"/>
            <w:shd w:val="clear" w:color="auto" w:fill="CCEEFF"/>
          </w:tcPr>
          <w:p>
            <w:pPr>
              <w:jc w:val="right"/>
              <w:ind w:right="588"/>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r>
      <w:tr>
        <w:trPr>
          <w:trHeight w:val="189"/>
        </w:trPr>
        <w:tc>
          <w:tcPr>
            <w:tcW w:w="6120" w:type="dxa"/>
            <w:vAlign w:val="bottom"/>
          </w:tcPr>
          <w:p>
            <w:pPr>
              <w:ind w:left="20"/>
              <w:spacing w:after="0"/>
              <w:rPr>
                <w:sz w:val="20"/>
                <w:szCs w:val="20"/>
                <w:color w:val="auto"/>
              </w:rPr>
            </w:pPr>
            <w:r>
              <w:rPr>
                <w:rFonts w:ascii="Arial" w:cs="Arial" w:eastAsia="Arial" w:hAnsi="Arial"/>
                <w:sz w:val="16"/>
                <w:szCs w:val="16"/>
                <w:color w:val="auto"/>
              </w:rPr>
              <w:t>Short-term bank deposit</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83"/>
        </w:trPr>
        <w:tc>
          <w:tcPr>
            <w:tcW w:w="6120" w:type="dxa"/>
            <w:vAlign w:val="bottom"/>
            <w:shd w:val="clear" w:color="auto" w:fill="CCEEFF"/>
          </w:tcPr>
          <w:p>
            <w:pPr>
              <w:ind w:left="200"/>
              <w:spacing w:after="0" w:line="183" w:lineRule="exact"/>
              <w:rPr>
                <w:sz w:val="20"/>
                <w:szCs w:val="20"/>
                <w:color w:val="auto"/>
              </w:rPr>
            </w:pPr>
            <w:r>
              <w:rPr>
                <w:rFonts w:ascii="Arial" w:cs="Arial" w:eastAsia="Arial" w:hAnsi="Arial"/>
                <w:sz w:val="16"/>
                <w:szCs w:val="16"/>
                <w:color w:val="auto"/>
              </w:rPr>
              <w:t>Total Cash and cash equivalents and Short-term bank deposit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35,507</w:t>
            </w:r>
          </w:p>
        </w:tc>
        <w:tc>
          <w:tcPr>
            <w:tcW w:w="920" w:type="dxa"/>
            <w:vAlign w:val="bottom"/>
            <w:gridSpan w:val="2"/>
            <w:shd w:val="clear" w:color="auto" w:fill="CCEEFF"/>
          </w:tcPr>
          <w:p>
            <w:pPr>
              <w:jc w:val="right"/>
              <w:ind w:right="588"/>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r>
      <w:tr>
        <w:trPr>
          <w:trHeight w:val="189"/>
        </w:trPr>
        <w:tc>
          <w:tcPr>
            <w:tcW w:w="612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1"/>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Ordinary Shares of NIS 0.01 par value:</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9"/>
        </w:trPr>
        <w:tc>
          <w:tcPr>
            <w:tcW w:w="6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 50,000,000 as of September 30, 2015; Outstanding – 21,181,722</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7"/>
        </w:trPr>
        <w:tc>
          <w:tcPr>
            <w:tcW w:w="6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shares as of September 30, 2015</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9"/>
        </w:trPr>
        <w:tc>
          <w:tcPr>
            <w:tcW w:w="61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101,155</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 during the development stage</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(66,130)</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9"/>
        </w:trPr>
        <w:tc>
          <w:tcPr>
            <w:tcW w:w="6120" w:type="dxa"/>
            <w:vAlign w:val="bottom"/>
          </w:tcPr>
          <w:p>
            <w:pPr>
              <w:ind w:left="20"/>
              <w:spacing w:after="0"/>
              <w:rPr>
                <w:sz w:val="20"/>
                <w:szCs w:val="20"/>
                <w:color w:val="auto"/>
              </w:rPr>
            </w:pPr>
            <w:r>
              <w:rPr>
                <w:rFonts w:ascii="Arial" w:cs="Arial" w:eastAsia="Arial" w:hAnsi="Arial"/>
                <w:sz w:val="16"/>
                <w:szCs w:val="16"/>
                <w:color w:val="auto"/>
              </w:rPr>
              <w:t>Total shareholders’ equity</w:t>
            </w:r>
          </w:p>
        </w:tc>
        <w:tc>
          <w:tcPr>
            <w:tcW w:w="1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35,083</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
        </w:trPr>
        <w:tc>
          <w:tcPr>
            <w:tcW w:w="6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612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Capitalization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35,083</w:t>
            </w:r>
          </w:p>
        </w:tc>
        <w:tc>
          <w:tcPr>
            <w:tcW w:w="920" w:type="dxa"/>
            <w:vAlign w:val="bottom"/>
            <w:gridSpan w:val="2"/>
            <w:shd w:val="clear" w:color="auto" w:fill="CCEEFF"/>
          </w:tcPr>
          <w:p>
            <w:pPr>
              <w:jc w:val="right"/>
              <w:ind w:right="588"/>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35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6" w:name="page17"/>
    <w:bookmarkEnd w:id="1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DILUTION</w:t>
      </w:r>
    </w:p>
    <w:p>
      <w:pPr>
        <w:spacing w:after="0" w:line="139" w:lineRule="exact"/>
        <w:rPr>
          <w:sz w:val="20"/>
          <w:szCs w:val="20"/>
          <w:color w:val="auto"/>
        </w:rPr>
      </w:pPr>
    </w:p>
    <w:p>
      <w:pPr>
        <w:ind w:left="60" w:right="619"/>
        <w:spacing w:after="0" w:line="256" w:lineRule="auto"/>
        <w:rPr>
          <w:sz w:val="20"/>
          <w:szCs w:val="20"/>
          <w:color w:val="auto"/>
        </w:rPr>
      </w:pPr>
      <w:r>
        <w:rPr>
          <w:rFonts w:ascii="Arial" w:cs="Arial" w:eastAsia="Arial" w:hAnsi="Arial"/>
          <w:sz w:val="18"/>
          <w:szCs w:val="18"/>
          <w:color w:val="auto"/>
        </w:rPr>
        <w:t>If you invest in our ordinary shares, you will experience immediate and substantial dilution to the extent of the difference between the public offering price of our ordinary shares and the pro forma net tangible book value per share of our ordinary shares immediately after the offering.</w:t>
      </w:r>
    </w:p>
    <w:p>
      <w:pPr>
        <w:spacing w:after="0" w:line="94" w:lineRule="exact"/>
        <w:rPr>
          <w:sz w:val="20"/>
          <w:szCs w:val="20"/>
          <w:color w:val="auto"/>
        </w:rPr>
      </w:pPr>
    </w:p>
    <w:p>
      <w:pPr>
        <w:ind w:left="60" w:right="559"/>
        <w:spacing w:after="0" w:line="256" w:lineRule="auto"/>
        <w:rPr>
          <w:sz w:val="20"/>
          <w:szCs w:val="20"/>
          <w:color w:val="auto"/>
        </w:rPr>
      </w:pPr>
      <w:r>
        <w:rPr>
          <w:rFonts w:ascii="Arial" w:cs="Arial" w:eastAsia="Arial" w:hAnsi="Arial"/>
          <w:sz w:val="18"/>
          <w:szCs w:val="18"/>
          <w:color w:val="auto"/>
        </w:rPr>
        <w:t>Our historical net tangible book value per share is determined by dividing our total tangible assets, less total liabilities, by the actual number of outstanding ordinary shares. The historical net tangible book value of our ordinary shares as of September 30, 2015, was $35,083,000 or $1.66 per share.</w:t>
      </w:r>
    </w:p>
    <w:p>
      <w:pPr>
        <w:spacing w:after="0" w:line="94" w:lineRule="exact"/>
        <w:rPr>
          <w:sz w:val="20"/>
          <w:szCs w:val="20"/>
          <w:color w:val="auto"/>
        </w:rPr>
      </w:pPr>
    </w:p>
    <w:p>
      <w:pPr>
        <w:ind w:left="60"/>
        <w:spacing w:after="0"/>
        <w:tabs>
          <w:tab w:leader="none" w:pos="7780" w:val="left"/>
          <w:tab w:leader="none" w:pos="8380" w:val="left"/>
        </w:tabs>
        <w:rPr>
          <w:sz w:val="20"/>
          <w:szCs w:val="20"/>
          <w:color w:val="auto"/>
        </w:rPr>
      </w:pPr>
      <w:r>
        <w:rPr>
          <w:rFonts w:ascii="Arial" w:cs="Arial" w:eastAsia="Arial" w:hAnsi="Arial"/>
          <w:sz w:val="18"/>
          <w:szCs w:val="18"/>
          <w:color w:val="auto"/>
        </w:rPr>
        <w:t>The pro forma net tangible book value of our ordinary shares as of September 30, 2015, was $</w:t>
        <w:tab/>
        <w:t>, or $</w:t>
        <w:tab/>
        <w:t>per share.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ind w:left="60"/>
              <w:spacing w:after="0"/>
              <w:rPr>
                <w:sz w:val="20"/>
                <w:szCs w:val="20"/>
                <w:color w:val="auto"/>
              </w:rPr>
            </w:pPr>
            <w:r>
              <w:rPr>
                <w:rFonts w:ascii="Arial" w:cs="Arial" w:eastAsia="Arial" w:hAnsi="Arial"/>
                <w:sz w:val="18"/>
                <w:szCs w:val="18"/>
                <w:color w:val="auto"/>
              </w:rPr>
              <w:t>pro forma net tangible book value gives effect to the issuance and sale of</w:t>
            </w:r>
          </w:p>
        </w:tc>
        <w:tc>
          <w:tcPr>
            <w:tcW w:w="3420" w:type="dxa"/>
            <w:vAlign w:val="bottom"/>
            <w:gridSpan w:val="2"/>
          </w:tcPr>
          <w:p>
            <w:pPr>
              <w:ind w:left="140"/>
              <w:spacing w:after="0"/>
              <w:rPr>
                <w:sz w:val="20"/>
                <w:szCs w:val="20"/>
                <w:color w:val="auto"/>
              </w:rPr>
            </w:pPr>
            <w:r>
              <w:rPr>
                <w:rFonts w:ascii="Arial" w:cs="Arial" w:eastAsia="Arial" w:hAnsi="Arial"/>
                <w:sz w:val="18"/>
                <w:szCs w:val="18"/>
                <w:color w:val="auto"/>
                <w:w w:val="99"/>
              </w:rPr>
              <w:t>ordinary shares in this offering at a public</w:t>
            </w:r>
          </w:p>
        </w:tc>
      </w:tr>
      <w:tr>
        <w:trPr>
          <w:trHeight w:val="216"/>
        </w:trPr>
        <w:tc>
          <w:tcPr>
            <w:tcW w:w="9460" w:type="dxa"/>
            <w:vAlign w:val="bottom"/>
            <w:gridSpan w:val="3"/>
          </w:tcPr>
          <w:p>
            <w:pPr>
              <w:ind w:left="60"/>
              <w:spacing w:after="0"/>
              <w:rPr>
                <w:sz w:val="20"/>
                <w:szCs w:val="20"/>
                <w:color w:val="auto"/>
              </w:rPr>
            </w:pPr>
            <w:r>
              <w:rPr>
                <w:rFonts w:ascii="Arial" w:cs="Arial" w:eastAsia="Arial" w:hAnsi="Arial"/>
                <w:sz w:val="18"/>
                <w:szCs w:val="18"/>
                <w:color w:val="auto"/>
              </w:rPr>
              <w:t>offering price of $  per share, after deducting underwriting discounts and commissions and estimated offering</w:t>
            </w:r>
          </w:p>
        </w:tc>
      </w:tr>
      <w:tr>
        <w:trPr>
          <w:trHeight w:val="217"/>
        </w:trPr>
        <w:tc>
          <w:tcPr>
            <w:tcW w:w="6040" w:type="dxa"/>
            <w:vAlign w:val="bottom"/>
          </w:tcPr>
          <w:p>
            <w:pPr>
              <w:ind w:left="60"/>
              <w:spacing w:after="0"/>
              <w:rPr>
                <w:sz w:val="20"/>
                <w:szCs w:val="20"/>
                <w:color w:val="auto"/>
              </w:rPr>
            </w:pPr>
            <w:r>
              <w:rPr>
                <w:rFonts w:ascii="Arial" w:cs="Arial" w:eastAsia="Arial" w:hAnsi="Arial"/>
                <w:sz w:val="18"/>
                <w:szCs w:val="18"/>
                <w:color w:val="auto"/>
              </w:rPr>
              <w:t>expenses payable by us.</w:t>
            </w: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24"/>
        </w:trPr>
        <w:tc>
          <w:tcPr>
            <w:tcW w:w="9460" w:type="dxa"/>
            <w:vAlign w:val="bottom"/>
            <w:gridSpan w:val="3"/>
          </w:tcPr>
          <w:p>
            <w:pPr>
              <w:ind w:left="6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r>
      <w:tr>
        <w:trPr>
          <w:trHeight w:val="324"/>
        </w:trPr>
        <w:tc>
          <w:tcPr>
            <w:tcW w:w="6040" w:type="dxa"/>
            <w:vAlign w:val="bottom"/>
          </w:tcPr>
          <w:p>
            <w:pPr>
              <w:ind w:left="20"/>
              <w:spacing w:after="0"/>
              <w:rPr>
                <w:sz w:val="20"/>
                <w:szCs w:val="20"/>
                <w:color w:val="auto"/>
              </w:rPr>
            </w:pPr>
            <w:r>
              <w:rPr>
                <w:rFonts w:ascii="Arial" w:cs="Arial" w:eastAsia="Arial" w:hAnsi="Arial"/>
                <w:sz w:val="16"/>
                <w:szCs w:val="16"/>
                <w:color w:val="auto"/>
              </w:rPr>
              <w:t>Public offering price per share</w:t>
            </w:r>
          </w:p>
        </w:tc>
        <w:tc>
          <w:tcPr>
            <w:tcW w:w="1460" w:type="dxa"/>
            <w:vAlign w:val="bottom"/>
          </w:tcPr>
          <w:p>
            <w:pPr>
              <w:jc w:val="right"/>
              <w:ind w:right="794"/>
              <w:spacing w:after="0"/>
              <w:rPr>
                <w:sz w:val="20"/>
                <w:szCs w:val="20"/>
                <w:color w:val="auto"/>
              </w:rPr>
            </w:pPr>
            <w:r>
              <w:rPr>
                <w:rFonts w:ascii="Arial" w:cs="Arial" w:eastAsia="Arial" w:hAnsi="Arial"/>
                <w:sz w:val="16"/>
                <w:szCs w:val="16"/>
                <w:color w:val="auto"/>
              </w:rPr>
              <w:t>$</w:t>
            </w:r>
          </w:p>
        </w:tc>
        <w:tc>
          <w:tcPr>
            <w:tcW w:w="1960" w:type="dxa"/>
            <w:vAlign w:val="bottom"/>
          </w:tcPr>
          <w:p>
            <w:pPr>
              <w:spacing w:after="0"/>
              <w:rPr>
                <w:sz w:val="24"/>
                <w:szCs w:val="24"/>
                <w:color w:val="auto"/>
              </w:rPr>
            </w:pPr>
          </w:p>
        </w:tc>
      </w:tr>
      <w:tr>
        <w:trPr>
          <w:trHeight w:val="189"/>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tangible book value per share before this offering, as of September 30, 2015</w:t>
            </w:r>
          </w:p>
        </w:tc>
        <w:tc>
          <w:tcPr>
            <w:tcW w:w="1460" w:type="dxa"/>
            <w:vAlign w:val="bottom"/>
            <w:shd w:val="clear" w:color="auto" w:fill="CCEEFF"/>
          </w:tcPr>
          <w:p>
            <w:pPr>
              <w:spacing w:after="0"/>
              <w:rPr>
                <w:sz w:val="16"/>
                <w:szCs w:val="16"/>
                <w:color w:val="auto"/>
              </w:rPr>
            </w:pPr>
          </w:p>
        </w:tc>
        <w:tc>
          <w:tcPr>
            <w:tcW w:w="1960" w:type="dxa"/>
            <w:vAlign w:val="bottom"/>
          </w:tcPr>
          <w:p>
            <w:pPr>
              <w:spacing w:after="0"/>
              <w:rPr>
                <w:sz w:val="16"/>
                <w:szCs w:val="16"/>
                <w:color w:val="auto"/>
              </w:rPr>
            </w:pPr>
          </w:p>
        </w:tc>
      </w:tr>
      <w:tr>
        <w:trPr>
          <w:trHeight w:val="191"/>
        </w:trPr>
        <w:tc>
          <w:tcPr>
            <w:tcW w:w="6040" w:type="dxa"/>
            <w:vAlign w:val="bottom"/>
          </w:tcPr>
          <w:p>
            <w:pPr>
              <w:ind w:left="20"/>
              <w:spacing w:after="0"/>
              <w:rPr>
                <w:sz w:val="20"/>
                <w:szCs w:val="20"/>
                <w:color w:val="auto"/>
              </w:rPr>
            </w:pPr>
            <w:r>
              <w:rPr>
                <w:rFonts w:ascii="Arial" w:cs="Arial" w:eastAsia="Arial" w:hAnsi="Arial"/>
                <w:sz w:val="16"/>
                <w:szCs w:val="16"/>
                <w:color w:val="auto"/>
              </w:rPr>
              <w:t>Increase in net tangible book value per share attributable to new investors in this</w:t>
            </w:r>
          </w:p>
        </w:tc>
        <w:tc>
          <w:tcPr>
            <w:tcW w:w="146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9"/>
        </w:trPr>
        <w:tc>
          <w:tcPr>
            <w:tcW w:w="6040" w:type="dxa"/>
            <w:vAlign w:val="bottom"/>
          </w:tcPr>
          <w:p>
            <w:pPr>
              <w:ind w:left="200"/>
              <w:spacing w:after="0"/>
              <w:rPr>
                <w:sz w:val="20"/>
                <w:szCs w:val="20"/>
                <w:color w:val="auto"/>
              </w:rPr>
            </w:pPr>
            <w:r>
              <w:rPr>
                <w:rFonts w:ascii="Arial" w:cs="Arial" w:eastAsia="Arial" w:hAnsi="Arial"/>
                <w:sz w:val="16"/>
                <w:szCs w:val="16"/>
                <w:color w:val="auto"/>
              </w:rPr>
              <w:t>offering</w:t>
            </w:r>
          </w:p>
        </w:tc>
        <w:tc>
          <w:tcPr>
            <w:tcW w:w="1460" w:type="dxa"/>
            <w:vAlign w:val="bottom"/>
          </w:tcPr>
          <w:p>
            <w:pPr>
              <w:spacing w:after="0"/>
              <w:rPr>
                <w:sz w:val="16"/>
                <w:szCs w:val="16"/>
                <w:color w:val="auto"/>
              </w:rPr>
            </w:pPr>
          </w:p>
        </w:tc>
        <w:tc>
          <w:tcPr>
            <w:tcW w:w="19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475107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51070" cy="12001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-549275</wp:posOffset>
            </wp:positionV>
            <wp:extent cx="47510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Pro forma net tangible book value per share after offering</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Dilution in pro forma tangible book value per share to new investors</w:t>
      </w:r>
    </w:p>
    <w:p>
      <w:pPr>
        <w:spacing w:after="0" w:line="110" w:lineRule="exact"/>
        <w:rPr>
          <w:sz w:val="20"/>
          <w:szCs w:val="20"/>
          <w:color w:val="auto"/>
        </w:rPr>
      </w:pPr>
    </w:p>
    <w:p>
      <w:pPr>
        <w:ind w:left="60" w:right="539"/>
        <w:spacing w:after="0" w:line="250" w:lineRule="auto"/>
        <w:rPr>
          <w:sz w:val="20"/>
          <w:szCs w:val="20"/>
          <w:color w:val="auto"/>
        </w:rPr>
      </w:pPr>
      <w:r>
        <w:rPr>
          <w:rFonts w:ascii="Arial" w:cs="Arial" w:eastAsia="Arial" w:hAnsi="Arial"/>
          <w:sz w:val="18"/>
          <w:szCs w:val="18"/>
          <w:color w:val="auto"/>
        </w:rPr>
        <w:t>If the underwriters’ option to purchase additional shares from us is exercised in full, and based on a public offering price of $ per share, and after deducting underwriting discounts and commissions and estimated offering expenses payable by us, the pro forma net tangible book value per share after this offering would be approximately $ per share, the increase in the pro forma net tangible book value per share attributable to new investors would be approximately</w:t>
      </w:r>
    </w:p>
    <w:p>
      <w:pPr>
        <w:spacing w:after="0" w:line="2" w:lineRule="exact"/>
        <w:rPr>
          <w:sz w:val="20"/>
          <w:szCs w:val="20"/>
          <w:color w:val="auto"/>
        </w:rPr>
      </w:pPr>
    </w:p>
    <w:p>
      <w:pPr>
        <w:ind w:left="60"/>
        <w:spacing w:after="0"/>
        <w:tabs>
          <w:tab w:leader="none" w:pos="340" w:val="left"/>
          <w:tab w:leader="none" w:pos="8700" w:val="left"/>
        </w:tabs>
        <w:rPr>
          <w:sz w:val="20"/>
          <w:szCs w:val="20"/>
          <w:color w:val="auto"/>
        </w:rPr>
      </w:pPr>
      <w:r>
        <w:rPr>
          <w:rFonts w:ascii="Arial" w:cs="Arial" w:eastAsia="Arial" w:hAnsi="Arial"/>
          <w:sz w:val="18"/>
          <w:szCs w:val="18"/>
          <w:color w:val="auto"/>
        </w:rPr>
        <w:t>$</w:t>
        <w:tab/>
        <w:t>per share and the dilution to new investors purchasing shares in this offering would be approximately $</w:t>
        <w:tab/>
        <w:t>per share.</w:t>
      </w:r>
    </w:p>
    <w:p>
      <w:pPr>
        <w:spacing w:after="0" w:line="200" w:lineRule="exact"/>
        <w:rPr>
          <w:sz w:val="20"/>
          <w:szCs w:val="20"/>
          <w:color w:val="auto"/>
        </w:rPr>
      </w:pPr>
    </w:p>
    <w:p>
      <w:pPr>
        <w:spacing w:after="0" w:line="3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682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140" w:type="dxa"/>
            <w:vAlign w:val="bottom"/>
          </w:tcPr>
          <w:p>
            <w:pPr>
              <w:spacing w:after="0"/>
              <w:rPr>
                <w:sz w:val="14"/>
                <w:szCs w:val="14"/>
                <w:color w:val="auto"/>
              </w:rPr>
            </w:pPr>
          </w:p>
        </w:tc>
      </w:tr>
      <w:tr>
        <w:trPr>
          <w:trHeight w:val="520"/>
        </w:trPr>
        <w:tc>
          <w:tcPr>
            <w:tcW w:w="1540" w:type="dxa"/>
            <w:vAlign w:val="bottom"/>
            <w:tcBorders>
              <w:top w:val="single" w:sz="8" w:color="0000EE"/>
            </w:tcBorders>
          </w:tcPr>
          <w:p>
            <w:pPr>
              <w:spacing w:after="0"/>
              <w:rPr>
                <w:sz w:val="24"/>
                <w:szCs w:val="24"/>
                <w:color w:val="auto"/>
              </w:rPr>
            </w:pPr>
          </w:p>
        </w:tc>
        <w:tc>
          <w:tcPr>
            <w:tcW w:w="5280" w:type="dxa"/>
            <w:vAlign w:val="bottom"/>
          </w:tcPr>
          <w:p>
            <w:pPr>
              <w:ind w:left="2520"/>
              <w:spacing w:after="0"/>
              <w:rPr>
                <w:sz w:val="20"/>
                <w:szCs w:val="20"/>
                <w:color w:val="auto"/>
              </w:rPr>
            </w:pPr>
            <w:r>
              <w:rPr>
                <w:rFonts w:ascii="Arial" w:cs="Arial" w:eastAsia="Arial" w:hAnsi="Arial"/>
                <w:sz w:val="18"/>
                <w:szCs w:val="18"/>
                <w:b w:val="1"/>
                <w:bCs w:val="1"/>
                <w:color w:val="auto"/>
              </w:rPr>
              <w:t>UNDERWRITING</w:t>
            </w:r>
          </w:p>
        </w:tc>
        <w:tc>
          <w:tcPr>
            <w:tcW w:w="2140" w:type="dxa"/>
            <w:vAlign w:val="bottom"/>
          </w:tcPr>
          <w:p>
            <w:pPr>
              <w:spacing w:after="0"/>
              <w:rPr>
                <w:sz w:val="24"/>
                <w:szCs w:val="24"/>
                <w:color w:val="auto"/>
              </w:rPr>
            </w:pPr>
          </w:p>
        </w:tc>
      </w:tr>
      <w:tr>
        <w:trPr>
          <w:trHeight w:val="32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Subject to the terms and conditions set forth in the underwriting agreement, dated</w:t>
            </w:r>
          </w:p>
        </w:tc>
        <w:tc>
          <w:tcPr>
            <w:tcW w:w="2140" w:type="dxa"/>
            <w:vAlign w:val="bottom"/>
          </w:tcPr>
          <w:p>
            <w:pPr>
              <w:ind w:left="280"/>
              <w:spacing w:after="0"/>
              <w:rPr>
                <w:sz w:val="20"/>
                <w:szCs w:val="20"/>
                <w:color w:val="auto"/>
              </w:rPr>
            </w:pPr>
            <w:r>
              <w:rPr>
                <w:rFonts w:ascii="Arial" w:cs="Arial" w:eastAsia="Arial" w:hAnsi="Arial"/>
                <w:sz w:val="18"/>
                <w:szCs w:val="18"/>
                <w:color w:val="auto"/>
                <w:w w:val="98"/>
              </w:rPr>
              <w:t>, 2015, between us and</w:t>
            </w:r>
          </w:p>
        </w:tc>
      </w:tr>
    </w:tbl>
    <w:p>
      <w:pPr>
        <w:ind w:left="40" w:right="539"/>
        <w:spacing w:after="0" w:line="254" w:lineRule="auto"/>
        <w:rPr>
          <w:sz w:val="20"/>
          <w:szCs w:val="20"/>
          <w:color w:val="auto"/>
        </w:rPr>
      </w:pPr>
      <w:r>
        <w:rPr>
          <w:rFonts w:ascii="Arial" w:cs="Arial" w:eastAsia="Arial" w:hAnsi="Arial"/>
          <w:sz w:val="18"/>
          <w:szCs w:val="18"/>
          <w:color w:val="auto"/>
        </w:rPr>
        <w:t>Jefferies LLC, 520 Madison Avenue, New York, New York 10022, and Barclays Capital Inc., 745 Seventh Avenue, New York, New York 10019, as the representatives of the underwriters named below and the joint book-running managers of this offering, we have agreed to sell to the underwriters, and each of the underwriters has agreed, severally and not jointly, to purchase from us, the respective number of ordinary shares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47167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475107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51070" cy="12890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Jefferies LLC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475107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51070"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center"/>
        <w:ind w:right="2759"/>
        <w:spacing w:after="0"/>
        <w:rPr>
          <w:sz w:val="20"/>
          <w:szCs w:val="20"/>
          <w:color w:val="auto"/>
        </w:rPr>
      </w:pPr>
      <w:r>
        <w:rPr>
          <w:rFonts w:ascii="Arial" w:cs="Arial" w:eastAsia="Arial" w:hAnsi="Arial"/>
          <w:sz w:val="14"/>
          <w:szCs w:val="14"/>
          <w:b w:val="1"/>
          <w:bCs w:val="1"/>
          <w:color w:val="auto"/>
        </w:rPr>
        <w:t>Number of</w:t>
      </w:r>
    </w:p>
    <w:p>
      <w:pPr>
        <w:spacing w:after="0" w:line="19" w:lineRule="exact"/>
        <w:rPr>
          <w:sz w:val="20"/>
          <w:szCs w:val="20"/>
          <w:color w:val="auto"/>
        </w:rPr>
      </w:pPr>
    </w:p>
    <w:p>
      <w:pPr>
        <w:jc w:val="center"/>
        <w:ind w:right="2759"/>
        <w:spacing w:after="0"/>
        <w:rPr>
          <w:sz w:val="20"/>
          <w:szCs w:val="20"/>
          <w:color w:val="auto"/>
        </w:rPr>
      </w:pPr>
      <w:r>
        <w:rPr>
          <w:rFonts w:ascii="Arial" w:cs="Arial" w:eastAsia="Arial" w:hAnsi="Arial"/>
          <w:sz w:val="14"/>
          <w:szCs w:val="14"/>
          <w:b w:val="1"/>
          <w:bCs w:val="1"/>
          <w:color w:val="auto"/>
        </w:rPr>
        <w:t>Ordinary</w:t>
      </w:r>
    </w:p>
    <w:p>
      <w:pPr>
        <w:spacing w:after="0" w:line="1" w:lineRule="exact"/>
        <w:rPr>
          <w:sz w:val="20"/>
          <w:szCs w:val="20"/>
          <w:color w:val="auto"/>
        </w:rPr>
      </w:pPr>
    </w:p>
    <w:p>
      <w:pPr>
        <w:jc w:val="center"/>
        <w:ind w:right="2759"/>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-1905</wp:posOffset>
            </wp:positionV>
            <wp:extent cx="6515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246380</wp:posOffset>
            </wp:positionV>
            <wp:extent cx="5143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751" w:lineRule="exact"/>
        <w:rPr>
          <w:sz w:val="20"/>
          <w:szCs w:val="20"/>
          <w:color w:val="auto"/>
        </w:rPr>
      </w:pPr>
    </w:p>
    <w:p>
      <w:pPr>
        <w:sectPr>
          <w:pgSz w:w="11900" w:h="16838" w:orient="portrait"/>
          <w:cols w:equalWidth="0" w:num="2">
            <w:col w:w="5880" w:space="720"/>
            <w:col w:w="3479"/>
          </w:cols>
          <w:pgMar w:left="380" w:top="802" w:right="1440" w:bottom="1440" w:gutter="0" w:footer="0" w:header="0"/>
          <w:type w:val="continuous"/>
        </w:sectPr>
      </w:pPr>
    </w:p>
    <w:p>
      <w:pPr>
        <w:ind w:left="40" w:right="699"/>
        <w:spacing w:after="0" w:line="252" w:lineRule="auto"/>
        <w:rPr>
          <w:sz w:val="20"/>
          <w:szCs w:val="20"/>
          <w:color w:val="auto"/>
        </w:rPr>
      </w:pPr>
      <w:r>
        <w:rPr>
          <w:rFonts w:ascii="Arial" w:cs="Arial" w:eastAsia="Arial" w:hAnsi="Arial"/>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ordinary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98" w:lineRule="exact"/>
        <w:rPr>
          <w:sz w:val="20"/>
          <w:szCs w:val="20"/>
          <w:color w:val="auto"/>
        </w:rPr>
      </w:pPr>
    </w:p>
    <w:p>
      <w:pPr>
        <w:ind w:left="40" w:right="619"/>
        <w:spacing w:after="0" w:line="252"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ordinary shares, that you will be able to sell any of the ordinary shares held by you at a particular time or that the prices that you receive when you sell will be favorable.</w:t>
      </w:r>
    </w:p>
    <w:p>
      <w:pPr>
        <w:spacing w:after="0" w:line="101" w:lineRule="exact"/>
        <w:rPr>
          <w:sz w:val="20"/>
          <w:szCs w:val="20"/>
          <w:color w:val="auto"/>
        </w:rPr>
      </w:pPr>
    </w:p>
    <w:p>
      <w:pPr>
        <w:ind w:left="40" w:right="539"/>
        <w:spacing w:after="0" w:line="254" w:lineRule="auto"/>
        <w:rPr>
          <w:sz w:val="20"/>
          <w:szCs w:val="20"/>
          <w:color w:val="auto"/>
        </w:rPr>
      </w:pPr>
      <w:r>
        <w:rPr>
          <w:rFonts w:ascii="Arial" w:cs="Arial" w:eastAsia="Arial" w:hAnsi="Arial"/>
          <w:sz w:val="18"/>
          <w:szCs w:val="18"/>
          <w:color w:val="auto"/>
        </w:rPr>
        <w:t>The underwriters are offering the ordinary shares subject to their acceptance of the ordinary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Commission and Expenses</w:t>
      </w:r>
    </w:p>
    <w:p>
      <w:pPr>
        <w:spacing w:after="0" w:line="139" w:lineRule="exact"/>
        <w:rPr>
          <w:sz w:val="20"/>
          <w:szCs w:val="20"/>
          <w:color w:val="auto"/>
        </w:rPr>
      </w:pPr>
    </w:p>
    <w:p>
      <w:pPr>
        <w:ind w:left="40" w:right="539"/>
        <w:spacing w:after="0" w:line="253" w:lineRule="auto"/>
        <w:rPr>
          <w:sz w:val="20"/>
          <w:szCs w:val="20"/>
          <w:color w:val="auto"/>
        </w:rPr>
      </w:pPr>
      <w:r>
        <w:rPr>
          <w:rFonts w:ascii="Arial" w:cs="Arial" w:eastAsia="Arial" w:hAnsi="Arial"/>
          <w:sz w:val="18"/>
          <w:szCs w:val="18"/>
          <w:color w:val="auto"/>
        </w:rPr>
        <w:t>The underwriters have advised us that they propose to offer the ordinary shares to the public at the initial public offering price set forth on the cover page of this prospectus supplement and to certain dealers, which may include the underwriters, at that price less a concession not in excess of $ per ordinary share. After the offering, the initial public offering price and concession to dealers may be reduced by the representatives. No such reduction will change the amount of proceeds to be received by us as set forth on the cover page of this prospectus supplement.</w:t>
      </w:r>
    </w:p>
    <w:p>
      <w:pPr>
        <w:spacing w:after="0" w:line="200" w:lineRule="exact"/>
        <w:rPr>
          <w:sz w:val="20"/>
          <w:szCs w:val="20"/>
          <w:color w:val="auto"/>
        </w:rPr>
      </w:pPr>
    </w:p>
    <w:p>
      <w:pPr>
        <w:spacing w:after="0" w:line="35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type w:val="continuous"/>
        </w:sectPr>
      </w:pPr>
    </w:p>
    <w:bookmarkStart w:id="18" w:name="page19"/>
    <w:bookmarkEnd w:id="1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60" w:right="659"/>
        <w:spacing w:after="0" w:line="256"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52139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22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Per Ordinary Share</w:t>
            </w:r>
          </w:p>
        </w:tc>
        <w:tc>
          <w:tcPr>
            <w:tcW w:w="160" w:type="dxa"/>
            <w:vAlign w:val="bottom"/>
          </w:tcPr>
          <w:p>
            <w:pPr>
              <w:spacing w:after="0"/>
              <w:rPr>
                <w:sz w:val="15"/>
                <w:szCs w:val="15"/>
                <w:color w:val="auto"/>
              </w:rPr>
            </w:pPr>
          </w:p>
        </w:tc>
        <w:tc>
          <w:tcPr>
            <w:tcW w:w="2320" w:type="dxa"/>
            <w:vAlign w:val="bottom"/>
            <w:tcBorders>
              <w:bottom w:val="single" w:sz="8" w:color="auto"/>
            </w:tcBorders>
            <w:gridSpan w:val="3"/>
          </w:tcPr>
          <w:p>
            <w:pPr>
              <w:jc w:val="right"/>
              <w:ind w:right="908"/>
              <w:spacing w:after="0"/>
              <w:rPr>
                <w:sz w:val="20"/>
                <w:szCs w:val="20"/>
                <w:color w:val="auto"/>
              </w:rPr>
            </w:pPr>
            <w:r>
              <w:rPr>
                <w:rFonts w:ascii="Arial" w:cs="Arial" w:eastAsia="Arial" w:hAnsi="Arial"/>
                <w:sz w:val="14"/>
                <w:szCs w:val="14"/>
                <w:b w:val="1"/>
                <w:bCs w:val="1"/>
                <w:color w:val="auto"/>
              </w:rPr>
              <w:t>Total</w:t>
            </w:r>
          </w:p>
        </w:tc>
      </w:tr>
      <w:tr>
        <w:trPr>
          <w:trHeight w:val="142"/>
        </w:trPr>
        <w:tc>
          <w:tcPr>
            <w:tcW w:w="35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9"/>
              </w:rPr>
              <w:t>Without</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2"/>
        </w:trPr>
        <w:tc>
          <w:tcPr>
            <w:tcW w:w="35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16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With Option to</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Without Option</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With Option to</w:t>
            </w:r>
          </w:p>
        </w:tc>
      </w:tr>
      <w:tr>
        <w:trPr>
          <w:trHeight w:val="162"/>
        </w:trPr>
        <w:tc>
          <w:tcPr>
            <w:tcW w:w="35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to Purchase</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35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r>
      <w:tr>
        <w:trPr>
          <w:trHeight w:val="162"/>
        </w:trPr>
        <w:tc>
          <w:tcPr>
            <w:tcW w:w="35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r>
      <w:tr>
        <w:trPr>
          <w:trHeight w:val="175"/>
        </w:trPr>
        <w:tc>
          <w:tcPr>
            <w:tcW w:w="35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r>
      <w:tr>
        <w:trPr>
          <w:trHeight w:val="183"/>
        </w:trPr>
        <w:tc>
          <w:tcPr>
            <w:tcW w:w="3520" w:type="dxa"/>
            <w:vAlign w:val="bottom"/>
          </w:tcPr>
          <w:p>
            <w:pPr>
              <w:ind w:left="20"/>
              <w:spacing w:after="0" w:line="183" w:lineRule="exact"/>
              <w:rPr>
                <w:sz w:val="20"/>
                <w:szCs w:val="20"/>
                <w:color w:val="auto"/>
              </w:rPr>
            </w:pPr>
            <w:r>
              <w:rPr>
                <w:rFonts w:ascii="Arial" w:cs="Arial" w:eastAsia="Arial" w:hAnsi="Arial"/>
                <w:sz w:val="16"/>
                <w:szCs w:val="16"/>
                <w:color w:val="auto"/>
              </w:rPr>
              <w:t>Public offering price</w:t>
            </w:r>
          </w:p>
        </w:tc>
        <w:tc>
          <w:tcPr>
            <w:tcW w:w="1020" w:type="dxa"/>
            <w:vAlign w:val="bottom"/>
          </w:tcPr>
          <w:p>
            <w:pPr>
              <w:jc w:val="right"/>
              <w:ind w:right="845"/>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908"/>
              <w:spacing w:after="0" w:line="183"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908"/>
              <w:spacing w:after="0" w:line="183" w:lineRule="exact"/>
              <w:rPr>
                <w:sz w:val="20"/>
                <w:szCs w:val="20"/>
                <w:color w:val="auto"/>
              </w:rPr>
            </w:pPr>
            <w:r>
              <w:rPr>
                <w:rFonts w:ascii="Arial" w:cs="Arial" w:eastAsia="Arial" w:hAnsi="Arial"/>
                <w:sz w:val="16"/>
                <w:szCs w:val="16"/>
                <w:color w:val="auto"/>
              </w:rPr>
              <w:t>$</w:t>
            </w:r>
          </w:p>
        </w:tc>
      </w:tr>
      <w:tr>
        <w:trPr>
          <w:trHeight w:val="18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Underwriting discounts and commissions</w:t>
            </w:r>
          </w:p>
        </w:tc>
        <w:tc>
          <w:tcPr>
            <w:tcW w:w="1020" w:type="dxa"/>
            <w:vAlign w:val="bottom"/>
            <w:shd w:val="clear" w:color="auto" w:fill="CCEEFF"/>
          </w:tcPr>
          <w:p>
            <w:pPr>
              <w:jc w:val="right"/>
              <w:ind w:right="845"/>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908"/>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908"/>
              <w:spacing w:after="0"/>
              <w:rPr>
                <w:sz w:val="20"/>
                <w:szCs w:val="20"/>
                <w:color w:val="auto"/>
              </w:rPr>
            </w:pPr>
            <w:r>
              <w:rPr>
                <w:rFonts w:ascii="Arial" w:cs="Arial" w:eastAsia="Arial" w:hAnsi="Arial"/>
                <w:sz w:val="16"/>
                <w:szCs w:val="16"/>
                <w:color w:val="auto"/>
              </w:rPr>
              <w:t>$</w:t>
            </w:r>
          </w:p>
        </w:tc>
      </w:tr>
      <w:tr>
        <w:trPr>
          <w:trHeight w:val="197"/>
        </w:trPr>
        <w:tc>
          <w:tcPr>
            <w:tcW w:w="3520" w:type="dxa"/>
            <w:vAlign w:val="bottom"/>
          </w:tcPr>
          <w:p>
            <w:pPr>
              <w:ind w:left="20"/>
              <w:spacing w:after="0"/>
              <w:rPr>
                <w:sz w:val="20"/>
                <w:szCs w:val="20"/>
                <w:color w:val="auto"/>
              </w:rPr>
            </w:pPr>
            <w:r>
              <w:rPr>
                <w:rFonts w:ascii="Arial" w:cs="Arial" w:eastAsia="Arial" w:hAnsi="Arial"/>
                <w:sz w:val="16"/>
                <w:szCs w:val="16"/>
                <w:color w:val="auto"/>
              </w:rPr>
              <w:t>Proceeds to us, before expenses</w:t>
            </w:r>
          </w:p>
        </w:tc>
        <w:tc>
          <w:tcPr>
            <w:tcW w:w="1020" w:type="dxa"/>
            <w:vAlign w:val="bottom"/>
          </w:tcPr>
          <w:p>
            <w:pPr>
              <w:jc w:val="right"/>
              <w:ind w:right="845"/>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908"/>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908"/>
              <w:spacing w:after="0"/>
              <w:rPr>
                <w:sz w:val="20"/>
                <w:szCs w:val="20"/>
                <w:color w:val="auto"/>
              </w:rPr>
            </w:pPr>
            <w:r>
              <w:rPr>
                <w:rFonts w:ascii="Arial" w:cs="Arial" w:eastAsia="Arial" w:hAnsi="Arial"/>
                <w:sz w:val="16"/>
                <w:szCs w:val="16"/>
                <w:color w:val="auto"/>
              </w:rPr>
              <w:t>$</w:t>
            </w:r>
          </w:p>
        </w:tc>
      </w:tr>
    </w:tbl>
    <w:p>
      <w:pPr>
        <w:spacing w:after="0" w:line="100" w:lineRule="exact"/>
        <w:rPr>
          <w:sz w:val="20"/>
          <w:szCs w:val="20"/>
          <w:color w:val="auto"/>
        </w:rPr>
      </w:pPr>
    </w:p>
    <w:p>
      <w:pPr>
        <w:ind w:left="60" w:right="559"/>
        <w:spacing w:after="0" w:line="254"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$300,000. We also have agreed to reimburse the underwriters for up to $15,000 for their FINRA counsel fee. In accordance with Financial Industry Regulatory Authority, or FINRA, Rule 5110, this reimbursed fee is deemed underwriting compensation for this offering.</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Listing</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ordinary shares are listed on The NASDAQ Global Market under the trading symbol “ADHD”.</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Stamp Taxes</w:t>
      </w:r>
    </w:p>
    <w:p>
      <w:pPr>
        <w:spacing w:after="0" w:line="139" w:lineRule="exact"/>
        <w:rPr>
          <w:sz w:val="20"/>
          <w:szCs w:val="20"/>
          <w:color w:val="auto"/>
        </w:rPr>
      </w:pPr>
    </w:p>
    <w:p>
      <w:pPr>
        <w:ind w:left="60" w:right="819"/>
        <w:spacing w:after="0" w:line="256" w:lineRule="auto"/>
        <w:rPr>
          <w:sz w:val="20"/>
          <w:szCs w:val="20"/>
          <w:color w:val="auto"/>
        </w:rPr>
      </w:pPr>
      <w:r>
        <w:rPr>
          <w:rFonts w:ascii="Arial" w:cs="Arial" w:eastAsia="Arial" w:hAnsi="Arial"/>
          <w:sz w:val="18"/>
          <w:szCs w:val="18"/>
          <w:color w:val="auto"/>
        </w:rPr>
        <w:t>If you purchase ordinary shares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Option to Purchase Additional Ordinary Shares</w:t>
      </w:r>
    </w:p>
    <w:p>
      <w:pPr>
        <w:spacing w:after="0" w:line="139" w:lineRule="exact"/>
        <w:rPr>
          <w:sz w:val="20"/>
          <w:szCs w:val="20"/>
          <w:color w:val="auto"/>
        </w:rPr>
      </w:pPr>
    </w:p>
    <w:p>
      <w:pPr>
        <w:ind w:left="60" w:right="579"/>
        <w:spacing w:after="0" w:line="252" w:lineRule="auto"/>
        <w:rPr>
          <w:sz w:val="20"/>
          <w:szCs w:val="20"/>
          <w:color w:val="auto"/>
        </w:rPr>
      </w:pPr>
      <w:r>
        <w:rPr>
          <w:rFonts w:ascii="Arial" w:cs="Arial" w:eastAsia="Arial" w:hAnsi="Arial"/>
          <w:sz w:val="18"/>
          <w:szCs w:val="18"/>
          <w:color w:val="auto"/>
        </w:rPr>
        <w:t>We have granted to the underwriters an option, exercisable for 30 days from the date of the underwriting agreement, to purchase, from time to time, in whole or in part, up to an aggregate of ordinary shares from us at the public offering price set forth on the cover page of this prospectus supplement, less underwriting discounts and commissions. If the underwriters exercise this option, each underwriter will be obligated, subject to specified conditions, to purchase a number of additional ordinary shares proportionate to that underwriter’s initial purchase commitment as indicated in the table above. This option may be exercised only if the underwriters sell more ordinary shares than the total number set forth on the cover page of this prospectus supplement.</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 Sales of Similar Securities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our officers and our directors have agreed, subject to specified exceptions, not to directly or indirectly:</w:t>
      </w:r>
    </w:p>
    <w:p>
      <w:pPr>
        <w:spacing w:after="0" w:line="117" w:lineRule="exact"/>
        <w:rPr>
          <w:sz w:val="20"/>
          <w:szCs w:val="20"/>
          <w:color w:val="auto"/>
        </w:rPr>
      </w:pPr>
    </w:p>
    <w:p>
      <w:pPr>
        <w:ind w:left="620" w:right="679" w:hanging="322"/>
        <w:spacing w:after="0" w:line="256"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Securities Exchange Act of 1934, as amended, or</w:t>
      </w:r>
    </w:p>
    <w:p>
      <w:pPr>
        <w:spacing w:after="0" w:line="93" w:lineRule="exact"/>
        <w:rPr>
          <w:rFonts w:ascii="Arial" w:cs="Arial" w:eastAsia="Arial" w:hAnsi="Arial"/>
          <w:sz w:val="18"/>
          <w:szCs w:val="18"/>
          <w:color w:val="auto"/>
        </w:rPr>
      </w:pPr>
    </w:p>
    <w:p>
      <w:pPr>
        <w:jc w:val="both"/>
        <w:ind w:left="620" w:right="599" w:hanging="322"/>
        <w:spacing w:after="0" w:line="291"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otherwise dispose of any share capital, options or warrants to acquire share capital, or securities exchangeable or exercisable for or convertible into share capital currently or hereafter owned either of record or beneficially, or</w:t>
      </w:r>
    </w:p>
    <w:p>
      <w:pPr>
        <w:spacing w:after="0" w:line="66" w:lineRule="exact"/>
        <w:rPr>
          <w:rFonts w:ascii="Arial" w:cs="Arial" w:eastAsia="Arial" w:hAnsi="Arial"/>
          <w:sz w:val="17"/>
          <w:szCs w:val="17"/>
          <w:color w:val="auto"/>
        </w:rPr>
      </w:pPr>
    </w:p>
    <w:p>
      <w:pPr>
        <w:ind w:left="620" w:right="559" w:hanging="322"/>
        <w:spacing w:after="0" w:line="26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publicly announce an intention to do any of the foregoing for a period of 90 days after the date of this prospectus supplement without the prior written consent of Jefferies LLC and Barclays Capital Inc.</w:t>
      </w:r>
    </w:p>
    <w:p>
      <w:pPr>
        <w:spacing w:after="0" w:line="115" w:lineRule="exact"/>
        <w:rPr>
          <w:sz w:val="20"/>
          <w:szCs w:val="20"/>
          <w:color w:val="auto"/>
        </w:rPr>
      </w:pPr>
    </w:p>
    <w:p>
      <w:pPr>
        <w:ind w:left="60" w:right="719"/>
        <w:spacing w:after="0" w:line="205" w:lineRule="auto"/>
        <w:rPr>
          <w:sz w:val="20"/>
          <w:szCs w:val="20"/>
          <w:color w:val="auto"/>
        </w:rPr>
      </w:pPr>
      <w:r>
        <w:rPr>
          <w:rFonts w:ascii="Arial" w:cs="Arial" w:eastAsia="Arial" w:hAnsi="Arial"/>
          <w:sz w:val="18"/>
          <w:szCs w:val="18"/>
          <w:color w:val="auto"/>
        </w:rPr>
        <w:t>This restriction terminates after the close of trading of the ordinary shares on and including the 90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date of this prospectus supplement.</w:t>
      </w:r>
    </w:p>
    <w:p>
      <w:pPr>
        <w:spacing w:after="0" w:line="200" w:lineRule="exact"/>
        <w:rPr>
          <w:sz w:val="20"/>
          <w:szCs w:val="20"/>
          <w:color w:val="auto"/>
        </w:rPr>
      </w:pPr>
    </w:p>
    <w:p>
      <w:pPr>
        <w:spacing w:after="0" w:line="36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40" w:right="579"/>
        <w:spacing w:after="0" w:line="254" w:lineRule="auto"/>
        <w:rPr>
          <w:sz w:val="20"/>
          <w:szCs w:val="20"/>
          <w:color w:val="auto"/>
        </w:rPr>
      </w:pPr>
      <w:r>
        <w:rPr>
          <w:rFonts w:ascii="Arial" w:cs="Arial" w:eastAsia="Arial" w:hAnsi="Arial"/>
          <w:sz w:val="18"/>
          <w:szCs w:val="18"/>
          <w:color w:val="auto"/>
        </w:rPr>
        <w:t>Jefferies LLC and Barclays Capital Inc. may, in their sole discretion and at any time or from time to time before the termination of the 90-day period release all or any portion of the securities subject to lock-up agreements. There are no existing agreements between the underwriters and any of our shareholders who will execute a lock-up agreement, providing consent to the sale of share capital prior to the expiration of the lock-up period.</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Stabilization</w:t>
      </w:r>
    </w:p>
    <w:p>
      <w:pPr>
        <w:spacing w:after="0" w:line="139" w:lineRule="exact"/>
        <w:rPr>
          <w:sz w:val="20"/>
          <w:szCs w:val="20"/>
          <w:color w:val="auto"/>
        </w:rPr>
      </w:pPr>
    </w:p>
    <w:p>
      <w:pPr>
        <w:ind w:left="40" w:right="619"/>
        <w:spacing w:after="0" w:line="252" w:lineRule="auto"/>
        <w:rPr>
          <w:sz w:val="20"/>
          <w:szCs w:val="20"/>
          <w:color w:val="auto"/>
        </w:rPr>
      </w:pPr>
      <w:r>
        <w:rPr>
          <w:rFonts w:ascii="Arial" w:cs="Arial" w:eastAsia="Arial" w:hAnsi="Arial"/>
          <w:sz w:val="18"/>
          <w:szCs w:val="18"/>
          <w:color w:val="auto"/>
        </w:rPr>
        <w:t>The underwriters have advised us that they, pursuant to Regulation M under the Securities Exchange Act of 1934, as amended,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ordinary shares at a level above that which might otherwise prevail in the open market. Establishing short sales positions may involve either “covered” short sales or “naked” short sales.</w:t>
      </w:r>
    </w:p>
    <w:p>
      <w:pPr>
        <w:spacing w:after="0" w:line="101" w:lineRule="exact"/>
        <w:rPr>
          <w:sz w:val="20"/>
          <w:szCs w:val="20"/>
          <w:color w:val="auto"/>
        </w:rPr>
      </w:pPr>
    </w:p>
    <w:p>
      <w:pPr>
        <w:ind w:left="40" w:right="619"/>
        <w:spacing w:after="0" w:line="252"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ordinary shares in this offering. The underwriters may close out any covered short position by either exercising their option to purchase additional ordinary shares or purchasing our ordinary shares in the open market. In determining the source of ordinary shares to close out the covered short position, the underwriters will consider, among other things, the price of ordinary shares available for purchase in the open market as compared to the price at which they may purchase ordinary shares through the option to purchase additional ordinary shares.</w:t>
      </w:r>
    </w:p>
    <w:p>
      <w:pPr>
        <w:spacing w:after="0" w:line="101" w:lineRule="exact"/>
        <w:rPr>
          <w:sz w:val="20"/>
          <w:szCs w:val="20"/>
          <w:color w:val="auto"/>
        </w:rPr>
      </w:pPr>
    </w:p>
    <w:p>
      <w:pPr>
        <w:ind w:left="40" w:right="579"/>
        <w:spacing w:after="0" w:line="254" w:lineRule="auto"/>
        <w:rPr>
          <w:sz w:val="20"/>
          <w:szCs w:val="20"/>
          <w:color w:val="auto"/>
        </w:rPr>
      </w:pPr>
      <w:r>
        <w:rPr>
          <w:rFonts w:ascii="Arial" w:cs="Arial" w:eastAsia="Arial" w:hAnsi="Arial"/>
          <w:sz w:val="18"/>
          <w:szCs w:val="18"/>
          <w:color w:val="auto"/>
        </w:rPr>
        <w:t>“Naked” short sales are sales in excess of the option to purchase additional ordinary shares. The underwriters must close out any naked short position by purchasing ordinary shares in the open market. A naked short position is more likely to be created if the underwriters are concerned that there may be downward pressure on the price of our ordinary shares in the open market after pricing that could adversely affect investors who purchase in this offering.</w:t>
      </w:r>
    </w:p>
    <w:p>
      <w:pPr>
        <w:spacing w:after="0" w:line="96" w:lineRule="exact"/>
        <w:rPr>
          <w:sz w:val="20"/>
          <w:szCs w:val="20"/>
          <w:color w:val="auto"/>
        </w:rPr>
      </w:pPr>
    </w:p>
    <w:p>
      <w:pPr>
        <w:ind w:left="40" w:right="659"/>
        <w:spacing w:after="0" w:line="251" w:lineRule="auto"/>
        <w:rPr>
          <w:sz w:val="20"/>
          <w:szCs w:val="20"/>
          <w:color w:val="auto"/>
        </w:rPr>
      </w:pPr>
      <w:r>
        <w:rPr>
          <w:rFonts w:ascii="Arial" w:cs="Arial" w:eastAsia="Arial" w:hAnsi="Arial"/>
          <w:sz w:val="18"/>
          <w:szCs w:val="18"/>
          <w:color w:val="auto"/>
        </w:rPr>
        <w:t>A stabilizing bid is a bid for the purchase of ordinary shares on behalf of the underwriters for the purpose of fixing or maintaining the price of the ordinary shares. A syndicate covering transaction is the bid for or the purchase of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A penalty bid is an arrangement permitting the underwriters to reclaim the selling concession otherwise accruing to a syndicate member in connection with the offering if the ordinary shares originally sold by such syndicate member are purchased in a syndicate covering transaction and therefore have not been effectively placed by such syndicate member.</w:t>
      </w:r>
    </w:p>
    <w:p>
      <w:pPr>
        <w:spacing w:after="0" w:line="104" w:lineRule="exact"/>
        <w:rPr>
          <w:sz w:val="20"/>
          <w:szCs w:val="20"/>
          <w:color w:val="auto"/>
        </w:rPr>
      </w:pPr>
    </w:p>
    <w:p>
      <w:pPr>
        <w:ind w:left="40" w:right="739"/>
        <w:spacing w:after="0" w:line="256"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ordinary shares. The underwriters are not obligated to engage in these activities and, if commenced, any of the activities may be discontinued at any time.</w:t>
      </w:r>
    </w:p>
    <w:p>
      <w:pPr>
        <w:spacing w:after="0" w:line="94" w:lineRule="exact"/>
        <w:rPr>
          <w:sz w:val="20"/>
          <w:szCs w:val="20"/>
          <w:color w:val="auto"/>
        </w:rPr>
      </w:pPr>
    </w:p>
    <w:p>
      <w:pPr>
        <w:ind w:left="40" w:right="919"/>
        <w:spacing w:after="0" w:line="252" w:lineRule="auto"/>
        <w:rPr>
          <w:sz w:val="20"/>
          <w:szCs w:val="20"/>
          <w:color w:val="auto"/>
        </w:rPr>
      </w:pPr>
      <w:r>
        <w:rPr>
          <w:rFonts w:ascii="Arial" w:cs="Arial" w:eastAsia="Arial" w:hAnsi="Arial"/>
          <w:sz w:val="18"/>
          <w:szCs w:val="18"/>
          <w:color w:val="auto"/>
        </w:rPr>
        <w:t>The underwriters may also engage in passive market making transactions in our ordinary shares on The NASDAQ Global Market in accordance with Rule 103 of Regulation M during a period before the commencement of offers or sales of our ordinary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00" w:lineRule="exact"/>
        <w:rPr>
          <w:sz w:val="20"/>
          <w:szCs w:val="20"/>
          <w:color w:val="auto"/>
        </w:rPr>
      </w:pPr>
    </w:p>
    <w:p>
      <w:pPr>
        <w:spacing w:after="0" w:line="36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1"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Electronic Distribution</w:t>
      </w:r>
    </w:p>
    <w:p>
      <w:pPr>
        <w:spacing w:after="0" w:line="139" w:lineRule="exact"/>
        <w:rPr>
          <w:sz w:val="20"/>
          <w:szCs w:val="20"/>
          <w:color w:val="auto"/>
        </w:rPr>
      </w:pPr>
    </w:p>
    <w:p>
      <w:pPr>
        <w:ind w:left="40" w:right="539"/>
        <w:spacing w:after="0" w:line="252" w:lineRule="auto"/>
        <w:rPr>
          <w:sz w:val="20"/>
          <w:szCs w:val="20"/>
          <w:color w:val="auto"/>
        </w:rPr>
      </w:pPr>
      <w:r>
        <w:rPr>
          <w:rFonts w:ascii="Arial" w:cs="Arial" w:eastAsia="Arial" w:hAnsi="Arial"/>
          <w:sz w:val="18"/>
          <w:szCs w:val="18"/>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ordinary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supplement, has not been approved and/or endorsed by us or the underwriters and should not be relied upon by investors.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Activities and Relationships</w:t>
      </w:r>
    </w:p>
    <w:p>
      <w:pPr>
        <w:spacing w:after="0" w:line="139" w:lineRule="exact"/>
        <w:rPr>
          <w:sz w:val="20"/>
          <w:szCs w:val="20"/>
          <w:color w:val="auto"/>
        </w:rPr>
      </w:pPr>
    </w:p>
    <w:p>
      <w:pPr>
        <w:ind w:left="40" w:right="619"/>
        <w:spacing w:after="0" w:line="252"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01" w:lineRule="exact"/>
        <w:rPr>
          <w:sz w:val="20"/>
          <w:szCs w:val="20"/>
          <w:color w:val="auto"/>
        </w:rPr>
      </w:pPr>
    </w:p>
    <w:p>
      <w:pPr>
        <w:ind w:left="40" w:right="659"/>
        <w:spacing w:after="0" w:line="251"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ordinary shares offered hereby. Any such short positions could adversely affect future trading prices of the ordinary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00" w:lineRule="exact"/>
        <w:rPr>
          <w:sz w:val="20"/>
          <w:szCs w:val="20"/>
          <w:color w:val="auto"/>
        </w:rPr>
      </w:pPr>
    </w:p>
    <w:p>
      <w:pPr>
        <w:spacing w:after="0" w:line="34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NOTICE TO INVESTORS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Resale Restrictions</w:t>
      </w:r>
    </w:p>
    <w:p>
      <w:pPr>
        <w:spacing w:after="0" w:line="135" w:lineRule="exact"/>
        <w:rPr>
          <w:sz w:val="20"/>
          <w:szCs w:val="20"/>
          <w:color w:val="auto"/>
        </w:rPr>
      </w:pPr>
    </w:p>
    <w:p>
      <w:pPr>
        <w:ind w:left="40" w:right="619"/>
        <w:spacing w:after="0" w:line="252" w:lineRule="auto"/>
        <w:rPr>
          <w:sz w:val="20"/>
          <w:szCs w:val="20"/>
          <w:color w:val="auto"/>
        </w:rPr>
      </w:pPr>
      <w:r>
        <w:rPr>
          <w:rFonts w:ascii="Arial" w:cs="Arial" w:eastAsia="Arial" w:hAnsi="Arial"/>
          <w:sz w:val="18"/>
          <w:szCs w:val="18"/>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Representations of Canadian Purchasers</w:t>
      </w:r>
    </w:p>
    <w:p>
      <w:pPr>
        <w:spacing w:after="0" w:line="135" w:lineRule="exact"/>
        <w:rPr>
          <w:sz w:val="20"/>
          <w:szCs w:val="20"/>
          <w:color w:val="auto"/>
        </w:rPr>
      </w:pPr>
    </w:p>
    <w:p>
      <w:pPr>
        <w:ind w:left="40" w:right="619"/>
        <w:spacing w:after="0" w:line="262" w:lineRule="auto"/>
        <w:rPr>
          <w:sz w:val="20"/>
          <w:szCs w:val="20"/>
          <w:color w:val="auto"/>
        </w:rPr>
      </w:pPr>
      <w:r>
        <w:rPr>
          <w:rFonts w:ascii="Arial" w:cs="Arial" w:eastAsia="Arial" w:hAnsi="Arial"/>
          <w:sz w:val="18"/>
          <w:szCs w:val="18"/>
          <w:color w:val="auto"/>
        </w:rPr>
        <w:t>By purchasing the securities in Canada and accepting delivery of a purchase confirmation, a purchaser is representing to us and the dealer from whom the purchase confirmation is received that:</w:t>
      </w:r>
    </w:p>
    <w:p>
      <w:pPr>
        <w:spacing w:after="0" w:line="88" w:lineRule="exact"/>
        <w:rPr>
          <w:sz w:val="20"/>
          <w:szCs w:val="20"/>
          <w:color w:val="auto"/>
        </w:rPr>
      </w:pPr>
    </w:p>
    <w:p>
      <w:pPr>
        <w:ind w:left="600" w:right="559" w:hanging="322"/>
        <w:spacing w:after="0" w:line="256"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the securities without the benefit of a prospectus qualified under those securities laws as it is an “accredited investor” as defined under National Instrument 45-106 — Prospectus Exemptions,</w:t>
      </w:r>
    </w:p>
    <w:p>
      <w:pPr>
        <w:spacing w:after="0" w:line="93" w:lineRule="exact"/>
        <w:rPr>
          <w:rFonts w:ascii="Arial" w:cs="Arial" w:eastAsia="Arial" w:hAnsi="Arial"/>
          <w:sz w:val="18"/>
          <w:szCs w:val="18"/>
          <w:color w:val="auto"/>
        </w:rPr>
      </w:pPr>
    </w:p>
    <w:p>
      <w:pPr>
        <w:ind w:left="600" w:right="899" w:hanging="322"/>
        <w:spacing w:after="0" w:line="262"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 — Registration Requirements, Exemptions and Ongoing Registrant Obligations,</w:t>
      </w:r>
    </w:p>
    <w:p>
      <w:pPr>
        <w:spacing w:after="0" w:line="88"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Conflicts of Interest</w:t>
      </w:r>
    </w:p>
    <w:p>
      <w:pPr>
        <w:spacing w:after="0" w:line="135" w:lineRule="exact"/>
        <w:rPr>
          <w:sz w:val="20"/>
          <w:szCs w:val="20"/>
          <w:color w:val="auto"/>
        </w:rPr>
      </w:pPr>
    </w:p>
    <w:p>
      <w:pPr>
        <w:ind w:left="40" w:right="539"/>
        <w:spacing w:after="0" w:line="256" w:lineRule="auto"/>
        <w:rPr>
          <w:sz w:val="20"/>
          <w:szCs w:val="20"/>
          <w:color w:val="auto"/>
        </w:rPr>
      </w:pPr>
      <w:r>
        <w:rPr>
          <w:rFonts w:ascii="Arial" w:cs="Arial" w:eastAsia="Arial" w:hAnsi="Arial"/>
          <w:sz w:val="18"/>
          <w:szCs w:val="18"/>
          <w:color w:val="auto"/>
        </w:rPr>
        <w:t>Canadian purchasers are hereby notified that Jefferies LLC and Barclays Capital Inc. are relying on the exemption set out in section 3A.3 or 3A.4, if applicable, of National Instrument 33-105 — Underwriting Conflicts from having to provide certain conflict of interest disclosure in this document.</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Statutory Rights of Action</w:t>
      </w:r>
    </w:p>
    <w:p>
      <w:pPr>
        <w:spacing w:after="0" w:line="135" w:lineRule="exact"/>
        <w:rPr>
          <w:sz w:val="20"/>
          <w:szCs w:val="20"/>
          <w:color w:val="auto"/>
        </w:rPr>
      </w:pPr>
    </w:p>
    <w:p>
      <w:pPr>
        <w:ind w:left="40" w:right="559"/>
        <w:spacing w:after="0" w:line="252"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Enforcement of Legal Rights</w:t>
      </w:r>
    </w:p>
    <w:p>
      <w:pPr>
        <w:spacing w:after="0" w:line="135" w:lineRule="exact"/>
        <w:rPr>
          <w:sz w:val="20"/>
          <w:szCs w:val="20"/>
          <w:color w:val="auto"/>
        </w:rPr>
      </w:pPr>
    </w:p>
    <w:p>
      <w:pPr>
        <w:ind w:left="40" w:right="559"/>
        <w:spacing w:after="0" w:line="253"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135" w:lineRule="exact"/>
        <w:rPr>
          <w:sz w:val="20"/>
          <w:szCs w:val="20"/>
          <w:color w:val="auto"/>
        </w:rPr>
      </w:pPr>
    </w:p>
    <w:p>
      <w:pPr>
        <w:ind w:left="40" w:right="1239"/>
        <w:spacing w:after="0" w:line="256" w:lineRule="auto"/>
        <w:rPr>
          <w:sz w:val="20"/>
          <w:szCs w:val="20"/>
          <w:color w:val="auto"/>
        </w:rPr>
      </w:pPr>
      <w:r>
        <w:rPr>
          <w:rFonts w:ascii="Arial" w:cs="Arial" w:eastAsia="Arial" w:hAnsi="Arial"/>
          <w:sz w:val="18"/>
          <w:szCs w:val="18"/>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200" w:lineRule="exact"/>
        <w:rPr>
          <w:sz w:val="20"/>
          <w:szCs w:val="20"/>
          <w:color w:val="auto"/>
        </w:rPr>
      </w:pPr>
    </w:p>
    <w:p>
      <w:pPr>
        <w:spacing w:after="0" w:line="35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Australia</w:t>
      </w:r>
    </w:p>
    <w:p>
      <w:pPr>
        <w:spacing w:after="0" w:line="166" w:lineRule="exact"/>
        <w:rPr>
          <w:sz w:val="20"/>
          <w:szCs w:val="20"/>
          <w:color w:val="auto"/>
        </w:rPr>
      </w:pPr>
    </w:p>
    <w:p>
      <w:pPr>
        <w:jc w:val="both"/>
        <w:ind w:left="40" w:right="519"/>
        <w:spacing w:after="0" w:line="218"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w:t>
      </w:r>
      <w:r>
        <w:rPr>
          <w:rFonts w:ascii="Arial" w:cs="Arial" w:eastAsia="Arial" w:hAnsi="Arial"/>
          <w:sz w:val="30"/>
          <w:szCs w:val="30"/>
          <w:color w:val="auto"/>
          <w:vertAlign w:val="superscript"/>
        </w:rPr>
        <w:t>th</w:t>
      </w:r>
      <w:r>
        <w:rPr>
          <w:rFonts w:ascii="Arial" w:cs="Arial" w:eastAsia="Arial" w:hAnsi="Arial"/>
          <w:sz w:val="18"/>
          <w:szCs w:val="18"/>
          <w:color w:val="auto"/>
        </w:rPr>
        <w:t>) of Australia, or Corporations Act, has not been lodged with the Australian Securities &amp; Investments Commission and is only directed to the categories of exempt persons set out below. Accordingly, if you receive this prospectus in Australia:</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You confirm and warrant that you are either:</w:t>
      </w:r>
    </w:p>
    <w:p>
      <w:pPr>
        <w:spacing w:after="0" w:line="139" w:lineRule="exact"/>
        <w:rPr>
          <w:sz w:val="20"/>
          <w:szCs w:val="20"/>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17" w:lineRule="exact"/>
        <w:rPr>
          <w:rFonts w:ascii="Arial" w:cs="Arial" w:eastAsia="Arial" w:hAnsi="Arial"/>
          <w:sz w:val="18"/>
          <w:szCs w:val="18"/>
          <w:color w:val="auto"/>
        </w:rPr>
      </w:pPr>
    </w:p>
    <w:p>
      <w:pPr>
        <w:ind w:left="600" w:right="599" w:hanging="322"/>
        <w:spacing w:after="0" w:line="256"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or</w:t>
      </w:r>
    </w:p>
    <w:p>
      <w:pPr>
        <w:spacing w:after="0" w:line="93"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117" w:lineRule="exact"/>
        <w:rPr>
          <w:sz w:val="20"/>
          <w:szCs w:val="20"/>
          <w:color w:val="auto"/>
        </w:rPr>
      </w:pPr>
    </w:p>
    <w:p>
      <w:pPr>
        <w:ind w:left="40" w:right="679"/>
        <w:spacing w:after="0" w:line="262"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or professional investor under the Corporations Act any offer made to you under this prospectus is void and incapable of acceptance.</w:t>
      </w:r>
    </w:p>
    <w:p>
      <w:pPr>
        <w:spacing w:after="0" w:line="88" w:lineRule="exact"/>
        <w:rPr>
          <w:sz w:val="20"/>
          <w:szCs w:val="20"/>
          <w:color w:val="auto"/>
        </w:rPr>
      </w:pPr>
    </w:p>
    <w:p>
      <w:pPr>
        <w:ind w:left="40" w:right="539"/>
        <w:spacing w:after="0" w:line="256" w:lineRule="auto"/>
        <w:rPr>
          <w:sz w:val="20"/>
          <w:szCs w:val="20"/>
          <w:color w:val="auto"/>
        </w:rPr>
      </w:pPr>
      <w:r>
        <w:rPr>
          <w:rFonts w:ascii="Arial" w:cs="Arial" w:eastAsia="Arial" w:hAnsi="Arial"/>
          <w:sz w:val="18"/>
          <w:szCs w:val="18"/>
          <w:color w:val="auto"/>
        </w:rPr>
        <w:t>You warrant and agree that you will not offer any of the shares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European Economic Area</w:t>
      </w:r>
    </w:p>
    <w:p>
      <w:pPr>
        <w:spacing w:after="0" w:line="139" w:lineRule="exact"/>
        <w:rPr>
          <w:sz w:val="20"/>
          <w:szCs w:val="20"/>
          <w:color w:val="auto"/>
        </w:rPr>
      </w:pPr>
    </w:p>
    <w:p>
      <w:pPr>
        <w:ind w:left="40" w:right="559"/>
        <w:spacing w:after="0" w:line="251"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referred to herein as a Relevant Member State, with effect from and including the date on which the Prospectus Directive is implemented in that Relevant Member State, referred to herein as the Relevant Implementation Date, no offer of any securities which are the subject of the offering contemplated by this prospectus has been or will be made to the public in that Relevant Member State other than any offer where a prospectus has been or will be published in relation to such securities that has been approved by the competent authority in that Relevant Member State or, where appropriate, approved in another Relevant Member State and notified to the relevant competent authority in that Relevant Member State in accordance with the Prospectus Directive, except that with effect from and including the Relevant Implementation Date, an offer of such securities may be made to the public in that Relevant Member State:</w:t>
      </w:r>
    </w:p>
    <w:p>
      <w:pPr>
        <w:spacing w:after="0" w:line="105" w:lineRule="exact"/>
        <w:rPr>
          <w:sz w:val="20"/>
          <w:szCs w:val="20"/>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600" w:right="799" w:hanging="322"/>
        <w:spacing w:after="0" w:line="254"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96"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jc w:val="both"/>
        <w:ind w:left="40" w:right="759"/>
        <w:spacing w:after="0" w:line="256" w:lineRule="auto"/>
        <w:rPr>
          <w:sz w:val="20"/>
          <w:szCs w:val="20"/>
          <w:color w:val="auto"/>
        </w:rPr>
      </w:pPr>
      <w:r>
        <w:rPr>
          <w:rFonts w:ascii="Arial" w:cs="Arial" w:eastAsia="Arial" w:hAnsi="Arial"/>
          <w:sz w:val="18"/>
          <w:szCs w:val="18"/>
          <w:color w:val="auto"/>
        </w:rPr>
        <w:t>provided that no such offer of securities shall require the Company or any of the underwriters to publish a prospectus pursuant to Article 3 of the Prospectus Directive or supplement a prospectus pursuant to Article 16 of the Prospectus Directive.</w:t>
      </w:r>
    </w:p>
    <w:p>
      <w:pPr>
        <w:spacing w:after="0" w:line="94" w:lineRule="exact"/>
        <w:rPr>
          <w:sz w:val="20"/>
          <w:szCs w:val="20"/>
          <w:color w:val="auto"/>
        </w:rPr>
      </w:pPr>
    </w:p>
    <w:p>
      <w:pPr>
        <w:ind w:left="40" w:right="639"/>
        <w:spacing w:after="0" w:line="252"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that Relevant Member State by any measure implementing the Prospectus Directive in that Relevant Member State and the expression “Prospectus Directive” means Directive 2003/71/EC (and amendments thereto, including the 2010 PD Amending</w:t>
      </w:r>
    </w:p>
    <w:p>
      <w:pPr>
        <w:spacing w:after="0" w:line="200" w:lineRule="exact"/>
        <w:rPr>
          <w:sz w:val="20"/>
          <w:szCs w:val="20"/>
          <w:color w:val="auto"/>
        </w:rPr>
      </w:pPr>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1"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40" w:right="659"/>
        <w:spacing w:after="0" w:line="262" w:lineRule="auto"/>
        <w:rPr>
          <w:sz w:val="20"/>
          <w:szCs w:val="20"/>
          <w:color w:val="auto"/>
        </w:rPr>
      </w:pPr>
      <w:r>
        <w:rPr>
          <w:rFonts w:ascii="Arial" w:cs="Arial" w:eastAsia="Arial" w:hAnsi="Arial"/>
          <w:sz w:val="18"/>
          <w:szCs w:val="18"/>
          <w:color w:val="auto"/>
        </w:rPr>
        <w:t>Directive, to the extent implemented in the Relevant Member State), and includes any relevant implementing measure in the Relevant Member State and the expression “2010 PD Amending Directive” means Directive 2010/73/EU.</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Hong Kong</w:t>
      </w:r>
    </w:p>
    <w:p>
      <w:pPr>
        <w:spacing w:after="0" w:line="139" w:lineRule="exact"/>
        <w:rPr>
          <w:sz w:val="20"/>
          <w:szCs w:val="20"/>
          <w:color w:val="auto"/>
        </w:rPr>
      </w:pPr>
    </w:p>
    <w:p>
      <w:pPr>
        <w:ind w:left="40" w:right="619"/>
        <w:spacing w:after="0" w:line="251" w:lineRule="auto"/>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to the public within the meaning of the Companies Ordinance (Cap.32)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103" w:lineRule="exact"/>
        <w:rPr>
          <w:sz w:val="20"/>
          <w:szCs w:val="20"/>
          <w:color w:val="auto"/>
        </w:rPr>
      </w:pPr>
    </w:p>
    <w:p>
      <w:pPr>
        <w:ind w:left="40" w:right="579"/>
        <w:spacing w:after="0" w:line="252"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Japan</w:t>
      </w:r>
    </w:p>
    <w:p>
      <w:pPr>
        <w:spacing w:after="0" w:line="139" w:lineRule="exact"/>
        <w:rPr>
          <w:sz w:val="20"/>
          <w:szCs w:val="20"/>
          <w:color w:val="auto"/>
        </w:rPr>
      </w:pPr>
    </w:p>
    <w:p>
      <w:pPr>
        <w:ind w:left="40" w:right="599"/>
        <w:spacing w:after="0" w:line="252"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FIEL and any other applicable laws, regulations and ministerial guidelines of Japan.</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Singapore</w:t>
      </w:r>
    </w:p>
    <w:p>
      <w:pPr>
        <w:spacing w:after="0" w:line="139" w:lineRule="exact"/>
        <w:rPr>
          <w:sz w:val="20"/>
          <w:szCs w:val="20"/>
          <w:color w:val="auto"/>
        </w:rPr>
      </w:pPr>
    </w:p>
    <w:p>
      <w:pPr>
        <w:ind w:left="40" w:right="559"/>
        <w:spacing w:after="0" w:line="251" w:lineRule="auto"/>
        <w:rPr>
          <w:sz w:val="20"/>
          <w:szCs w:val="20"/>
          <w:color w:val="auto"/>
        </w:rPr>
      </w:pPr>
      <w:r>
        <w:rPr>
          <w:rFonts w:ascii="Arial" w:cs="Arial" w:eastAsia="Arial" w:hAnsi="Arial"/>
          <w:sz w:val="18"/>
          <w:szCs w:val="18"/>
          <w:color w:val="auto"/>
        </w:rPr>
        <w:t>This prospectus has not been and will not be lodged or registered with the Monetary Authority of Singapore. Accordingly, this prospectus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the public or any member of the public in Singapore other than (i) to an institutional investor under Section 274 of the Securities and Futures Act, Chapter 289 of Singapore, or the SFA, (ii) to a relevant person as defined under Section 275(2), or any person pursuant to Section 275(1A) of the SFA, and in accordance with the conditions, specified in Section 275 of the SFA, or (iii) otherwise pursuant to, and in accordance with the conditions of any other applicable provision of the SFA.</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17" w:lineRule="exact"/>
        <w:rPr>
          <w:sz w:val="20"/>
          <w:szCs w:val="20"/>
          <w:color w:val="auto"/>
        </w:rPr>
      </w:pPr>
    </w:p>
    <w:p>
      <w:pPr>
        <w:jc w:val="both"/>
        <w:ind w:left="600" w:right="659" w:hanging="322"/>
        <w:spacing w:after="0" w:line="256"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under Section 4A of the SFA) the sole business of which is to hold investments and the entire share capital of which is owned by one or more individuals, each of whom is an accredited investor; or</w:t>
      </w:r>
    </w:p>
    <w:p>
      <w:pPr>
        <w:spacing w:after="0" w:line="93" w:lineRule="exact"/>
        <w:rPr>
          <w:rFonts w:ascii="Arial" w:cs="Arial" w:eastAsia="Arial" w:hAnsi="Arial"/>
          <w:sz w:val="18"/>
          <w:szCs w:val="18"/>
          <w:color w:val="auto"/>
        </w:rPr>
      </w:pPr>
    </w:p>
    <w:p>
      <w:pPr>
        <w:ind w:left="600" w:right="899" w:hanging="322"/>
        <w:spacing w:after="0" w:line="262"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40" w:right="559"/>
        <w:spacing w:after="0" w:line="256"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in that trust shall not be transferable for six months after that corporation or that trust has acquired the Offer Shares under Section 275 of the SFA except:</w:t>
      </w:r>
    </w:p>
    <w:p>
      <w:pPr>
        <w:spacing w:after="0" w:line="94" w:lineRule="exact"/>
        <w:rPr>
          <w:sz w:val="20"/>
          <w:szCs w:val="20"/>
          <w:color w:val="auto"/>
        </w:rPr>
      </w:pPr>
    </w:p>
    <w:p>
      <w:pPr>
        <w:ind w:left="600" w:right="559" w:hanging="322"/>
        <w:spacing w:after="0" w:line="252"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00"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Switzerland</w:t>
      </w:r>
    </w:p>
    <w:p>
      <w:pPr>
        <w:spacing w:after="0" w:line="139" w:lineRule="exact"/>
        <w:rPr>
          <w:sz w:val="20"/>
          <w:szCs w:val="20"/>
          <w:color w:val="auto"/>
        </w:rPr>
      </w:pPr>
    </w:p>
    <w:p>
      <w:pPr>
        <w:ind w:left="40" w:right="759"/>
        <w:spacing w:after="0" w:line="252"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99" w:lineRule="exact"/>
        <w:rPr>
          <w:sz w:val="20"/>
          <w:szCs w:val="20"/>
          <w:color w:val="auto"/>
        </w:rPr>
      </w:pPr>
    </w:p>
    <w:p>
      <w:pPr>
        <w:ind w:left="40" w:right="539"/>
        <w:spacing w:after="0" w:line="252"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Israel</w:t>
      </w:r>
    </w:p>
    <w:p>
      <w:pPr>
        <w:spacing w:after="0" w:line="139" w:lineRule="exact"/>
        <w:rPr>
          <w:sz w:val="20"/>
          <w:szCs w:val="20"/>
          <w:color w:val="auto"/>
        </w:rPr>
      </w:pPr>
    </w:p>
    <w:p>
      <w:pPr>
        <w:ind w:left="40" w:right="519"/>
        <w:spacing w:after="0" w:line="251"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ordinary shares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United Kingdom</w:t>
      </w:r>
    </w:p>
    <w:p>
      <w:pPr>
        <w:spacing w:after="0" w:line="139" w:lineRule="exact"/>
        <w:rPr>
          <w:sz w:val="20"/>
          <w:szCs w:val="20"/>
          <w:color w:val="auto"/>
        </w:rPr>
      </w:pPr>
    </w:p>
    <w:p>
      <w:pPr>
        <w:ind w:left="40" w:right="839"/>
        <w:spacing w:after="0" w:line="252"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referred to herein as the Order, and/or (ii) high net worth entities falling within Article 49(2)(a) to (d) of the Order and other persons to whom it may lawfully be communicated. Each such person is referred to herein as a Relevant Person.</w:t>
      </w:r>
    </w:p>
    <w:p>
      <w:pPr>
        <w:spacing w:after="0" w:line="200" w:lineRule="exact"/>
        <w:rPr>
          <w:sz w:val="20"/>
          <w:szCs w:val="20"/>
          <w:color w:val="auto"/>
        </w:rPr>
      </w:pPr>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40" w:right="599"/>
        <w:spacing w:after="0" w:line="256"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8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LEGAL MATTERS</w:t>
      </w:r>
    </w:p>
    <w:p>
      <w:pPr>
        <w:spacing w:after="0" w:line="139" w:lineRule="exact"/>
        <w:rPr>
          <w:sz w:val="20"/>
          <w:szCs w:val="20"/>
          <w:color w:val="auto"/>
        </w:rPr>
      </w:pPr>
    </w:p>
    <w:p>
      <w:pPr>
        <w:ind w:left="40" w:right="559"/>
        <w:spacing w:after="0" w:line="253" w:lineRule="auto"/>
        <w:rPr>
          <w:sz w:val="20"/>
          <w:szCs w:val="20"/>
          <w:color w:val="auto"/>
        </w:rPr>
      </w:pPr>
      <w:r>
        <w:rPr>
          <w:rFonts w:ascii="Arial" w:cs="Arial" w:eastAsia="Arial" w:hAnsi="Arial"/>
          <w:sz w:val="18"/>
          <w:szCs w:val="18"/>
          <w:color w:val="auto"/>
        </w:rPr>
        <w:t>The validity of the securities offered hereby and certain matters of Israeli law will be passed upon for us by Zysman, Aharoni, Gayer &amp; Co., Tel Aviv, Israel. Certain matters of United States federal securities law relating to this offering will be passed upon for us by Zysman, Aharoni, Gayer and Sullivan &amp; Worcester, LLP, New York, New York. Legal counsel to the underwriters are Gornitzky &amp; Co., Tel Aviv, Israel, with respect to Israeli law, and Covington &amp; Burling LLP, New York, New York, with respect to U.S. law.</w:t>
      </w:r>
    </w:p>
    <w:p>
      <w:pPr>
        <w:spacing w:after="0" w:line="18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EXPERTS</w:t>
      </w:r>
    </w:p>
    <w:p>
      <w:pPr>
        <w:spacing w:after="0" w:line="139" w:lineRule="exact"/>
        <w:rPr>
          <w:sz w:val="20"/>
          <w:szCs w:val="20"/>
          <w:color w:val="auto"/>
        </w:rPr>
      </w:pPr>
    </w:p>
    <w:p>
      <w:pPr>
        <w:ind w:left="40" w:right="639"/>
        <w:spacing w:after="0" w:line="254" w:lineRule="auto"/>
        <w:rPr>
          <w:sz w:val="20"/>
          <w:szCs w:val="20"/>
          <w:color w:val="auto"/>
        </w:rPr>
      </w:pPr>
      <w:r>
        <w:rPr>
          <w:rFonts w:ascii="Arial" w:cs="Arial" w:eastAsia="Arial" w:hAnsi="Arial"/>
          <w:sz w:val="18"/>
          <w:szCs w:val="18"/>
          <w:color w:val="auto"/>
        </w:rPr>
        <w:t>The consolidated financial statements of Alcobra Ltd. as of December 31, 2014, have been incorporated by reference herein in reliance upon the report of Kost Forer Gabbay &amp; Kasier, a member firm of EY Global, independent registered public accounting firm, incorporated by reference herein, and upon the authority of said firm as experts in accounting and auditing.</w:t>
      </w:r>
    </w:p>
    <w:p>
      <w:pPr>
        <w:spacing w:after="0" w:line="18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AND INCORPORATION OF CERTAIN INFORMATION BY REFERENCE</w:t>
      </w:r>
    </w:p>
    <w:p>
      <w:pPr>
        <w:spacing w:after="0" w:line="117" w:lineRule="exact"/>
        <w:rPr>
          <w:sz w:val="20"/>
          <w:szCs w:val="20"/>
          <w:color w:val="auto"/>
        </w:rPr>
      </w:pPr>
    </w:p>
    <w:p>
      <w:pPr>
        <w:ind w:left="40" w:right="559"/>
        <w:spacing w:after="0" w:line="254" w:lineRule="auto"/>
        <w:rPr>
          <w:sz w:val="20"/>
          <w:szCs w:val="20"/>
          <w:color w:val="auto"/>
        </w:rPr>
      </w:pPr>
      <w:r>
        <w:rPr>
          <w:rFonts w:ascii="Arial" w:cs="Arial" w:eastAsia="Arial" w:hAnsi="Arial"/>
          <w:sz w:val="18"/>
          <w:szCs w:val="18"/>
          <w:color w:val="auto"/>
        </w:rPr>
        <w:t>We are an Israeli company and are a “foreign private issuer” as defined in Rule 3b-4 under the Exchange Act. As a result, (1) our proxy solicitations are not subject to the disclosure and procedural requirements of Regulation 14A under the Exchange Act, and (2) transactions in our equity securities by our officers and directors are exempt from Section 16 of the Exchange Act.</w:t>
      </w:r>
    </w:p>
    <w:p>
      <w:pPr>
        <w:spacing w:after="0" w:line="96" w:lineRule="exact"/>
        <w:rPr>
          <w:sz w:val="20"/>
          <w:szCs w:val="20"/>
          <w:color w:val="auto"/>
        </w:rPr>
      </w:pPr>
    </w:p>
    <w:p>
      <w:pPr>
        <w:ind w:left="40" w:right="519"/>
        <w:spacing w:after="0" w:line="252" w:lineRule="auto"/>
        <w:rPr>
          <w:sz w:val="20"/>
          <w:szCs w:val="20"/>
          <w:color w:val="auto"/>
        </w:rPr>
      </w:pPr>
      <w:r>
        <w:rPr>
          <w:rFonts w:ascii="Arial" w:cs="Arial" w:eastAsia="Arial" w:hAnsi="Arial"/>
          <w:sz w:val="18"/>
          <w:szCs w:val="18"/>
          <w:color w:val="auto"/>
        </w:rPr>
        <w:t>In addition, we are not required to file reports and financial statements with the SEC as frequently or as promptly as U.S. companies whose securities are registered under the Exchange Act. However, we file with the SEC an Annual Report on Form 20-F containing financial statements audited by an independent registered public accounting firm. We also furnish reports on Form 6-K containing unaudited financial information for each calendar quarter and other material information that we are required to make public, that we file with, and that is made public by, any stock exchange on which our shares are traded, or that we distribute, or that is required to be distributed by us, to our shareholders.</w:t>
      </w:r>
    </w:p>
    <w:p>
      <w:pPr>
        <w:spacing w:after="0" w:line="101" w:lineRule="exact"/>
        <w:rPr>
          <w:sz w:val="20"/>
          <w:szCs w:val="20"/>
          <w:color w:val="auto"/>
        </w:rPr>
      </w:pPr>
    </w:p>
    <w:p>
      <w:pPr>
        <w:ind w:left="40" w:right="539"/>
        <w:spacing w:after="0" w:line="254" w:lineRule="auto"/>
        <w:rPr>
          <w:sz w:val="20"/>
          <w:szCs w:val="20"/>
          <w:color w:val="auto"/>
        </w:rPr>
      </w:pPr>
      <w:r>
        <w:rPr>
          <w:rFonts w:ascii="Arial" w:cs="Arial" w:eastAsia="Arial" w:hAnsi="Arial"/>
          <w:sz w:val="18"/>
          <w:szCs w:val="18"/>
          <w:color w:val="auto"/>
        </w:rPr>
        <w:t xml:space="preserve">You can read and copy any materials we file with the SEC at its Public Reference Room at 100 F Street, N.E., Washington, D.C. 20549. You can obtain information about the operation of the SEC Public Reference Room by calling the SEC at 1-800-SEC-0330. The SEC also maintains a web site that contains information we file electronically with the SEC, which you can access over the Internet at </w:t>
      </w:r>
      <w:r>
        <w:rPr>
          <w:rFonts w:ascii="Arial" w:cs="Arial" w:eastAsia="Arial" w:hAnsi="Arial"/>
          <w:sz w:val="18"/>
          <w:szCs w:val="18"/>
          <w:i w:val="1"/>
          <w:iCs w:val="1"/>
          <w:color w:val="auto"/>
        </w:rPr>
        <w:t>http://www.sec.gov.</w:t>
      </w:r>
    </w:p>
    <w:p>
      <w:pPr>
        <w:spacing w:after="0" w:line="96" w:lineRule="exact"/>
        <w:rPr>
          <w:sz w:val="20"/>
          <w:szCs w:val="20"/>
          <w:color w:val="auto"/>
        </w:rPr>
      </w:pPr>
    </w:p>
    <w:p>
      <w:pPr>
        <w:ind w:left="40" w:right="519"/>
        <w:spacing w:after="0" w:line="251" w:lineRule="auto"/>
        <w:rPr>
          <w:sz w:val="20"/>
          <w:szCs w:val="20"/>
          <w:color w:val="auto"/>
        </w:rPr>
      </w:pPr>
      <w:r>
        <w:rPr>
          <w:rFonts w:ascii="Arial" w:cs="Arial" w:eastAsia="Arial" w:hAnsi="Arial"/>
          <w:sz w:val="18"/>
          <w:szCs w:val="18"/>
          <w:color w:val="auto"/>
        </w:rPr>
        <w:t>This prospectus supplement and the accompanying prospectus are part of a registration statement on Form F-3 filed by us with the SEC under the Securities Act. As permitted by the rules and regulations of the SEC, this prospectus does not contain all the information set forth in the registration statement and the exhibits thereto filed with the SEC. For further information with respect to us and the ordinary shares offered hereby, you should refer to the complete registration statement on Form F-3, which may be obtained from the locations described above. Statements contained in this prospectus or in any prospectus supplement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document or matter involved. Each statement regarding a contract or other document is qualified in its entirety by reference to the actual document.</w:t>
      </w:r>
    </w:p>
    <w:p>
      <w:pPr>
        <w:spacing w:after="0" w:line="200" w:lineRule="exact"/>
        <w:rPr>
          <w:sz w:val="20"/>
          <w:szCs w:val="20"/>
          <w:color w:val="auto"/>
        </w:rPr>
      </w:pPr>
    </w:p>
    <w:p>
      <w:pPr>
        <w:spacing w:after="0" w:line="35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40" w:right="1059"/>
        <w:spacing w:after="0" w:line="262" w:lineRule="auto"/>
        <w:rPr>
          <w:sz w:val="20"/>
          <w:szCs w:val="20"/>
          <w:color w:val="auto"/>
        </w:rPr>
      </w:pPr>
      <w:r>
        <w:rPr>
          <w:rFonts w:ascii="Arial" w:cs="Arial" w:eastAsia="Arial" w:hAnsi="Arial"/>
          <w:sz w:val="18"/>
          <w:szCs w:val="18"/>
          <w:color w:val="auto"/>
        </w:rPr>
        <w:t>The following documents filed with or furnished to the SEC by our Company are incorporated by reference in this registration statement:</w:t>
      </w:r>
    </w:p>
    <w:p>
      <w:pPr>
        <w:spacing w:after="0" w:line="88" w:lineRule="exact"/>
        <w:rPr>
          <w:sz w:val="20"/>
          <w:szCs w:val="20"/>
          <w:color w:val="auto"/>
        </w:rPr>
      </w:pPr>
    </w:p>
    <w:p>
      <w:pPr>
        <w:jc w:val="both"/>
        <w:ind w:left="600" w:right="759" w:hanging="322"/>
        <w:spacing w:after="0" w:line="256"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the Company’s Ordinary Shares, par value NIS 0.01 per share contained in the Company’s registration statement on Form 8-A filed pursuant to the Exchange Act on May 17, 2013 (File No. 001-35932), including any amendment or report filed which updates such description.</w:t>
      </w:r>
    </w:p>
    <w:p>
      <w:pPr>
        <w:spacing w:after="0" w:line="93"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Annual Report on Form 20-F for the fiscal year ended December 31, 2014.</w:t>
      </w:r>
    </w:p>
    <w:p>
      <w:pPr>
        <w:spacing w:after="0" w:line="117" w:lineRule="exact"/>
        <w:rPr>
          <w:rFonts w:ascii="Arial" w:cs="Arial" w:eastAsia="Arial" w:hAnsi="Arial"/>
          <w:sz w:val="18"/>
          <w:szCs w:val="18"/>
          <w:color w:val="auto"/>
        </w:rPr>
      </w:pPr>
    </w:p>
    <w:p>
      <w:pPr>
        <w:ind w:left="600" w:right="779" w:hanging="322"/>
        <w:spacing w:after="0" w:line="26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first three paragraphs in the press release incorporated by reference into the Company’s report of foreign private issuer on Form 6-K furnished to the SEC on March 10, 2015.</w:t>
      </w:r>
    </w:p>
    <w:p>
      <w:pPr>
        <w:spacing w:after="0" w:line="88" w:lineRule="exact"/>
        <w:rPr>
          <w:rFonts w:ascii="Arial" w:cs="Arial" w:eastAsia="Arial" w:hAnsi="Arial"/>
          <w:sz w:val="18"/>
          <w:szCs w:val="18"/>
          <w:color w:val="auto"/>
        </w:rPr>
      </w:pPr>
    </w:p>
    <w:p>
      <w:pPr>
        <w:ind w:left="600" w:right="779" w:hanging="322"/>
        <w:spacing w:after="0" w:line="26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notice of annual general meeting of the Company incorporated by reference into the Company’s report of foreign private issuer on Form 6-K furnished to the SEC on June 3, 2015.</w:t>
      </w:r>
    </w:p>
    <w:p>
      <w:pPr>
        <w:spacing w:after="0" w:line="88" w:lineRule="exact"/>
        <w:rPr>
          <w:rFonts w:ascii="Arial" w:cs="Arial" w:eastAsia="Arial" w:hAnsi="Arial"/>
          <w:sz w:val="18"/>
          <w:szCs w:val="18"/>
          <w:color w:val="auto"/>
        </w:rPr>
      </w:pPr>
    </w:p>
    <w:p>
      <w:pPr>
        <w:ind w:left="600" w:right="1119" w:hanging="322"/>
        <w:spacing w:after="0" w:line="26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first and the fifth through the ninth paragraphs in the press release incorporated by reference into the Company’s report of foreign private issuer on Form 6-K furnished to the SEC on June 24, 2015.</w:t>
      </w:r>
    </w:p>
    <w:p>
      <w:pPr>
        <w:spacing w:after="0" w:line="88" w:lineRule="exact"/>
        <w:rPr>
          <w:rFonts w:ascii="Arial" w:cs="Arial" w:eastAsia="Arial" w:hAnsi="Arial"/>
          <w:sz w:val="18"/>
          <w:szCs w:val="18"/>
          <w:color w:val="auto"/>
        </w:rPr>
      </w:pPr>
    </w:p>
    <w:p>
      <w:pPr>
        <w:ind w:left="600" w:right="739" w:hanging="322"/>
        <w:spacing w:after="0" w:line="26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first paragraph in the press release incorporated by reference into the Company’s report of foreign private issuer on Form 6-K furnished to the SEC on July 13, 2015.</w:t>
      </w:r>
    </w:p>
    <w:p>
      <w:pPr>
        <w:spacing w:after="0" w:line="88" w:lineRule="exact"/>
        <w:rPr>
          <w:rFonts w:ascii="Arial" w:cs="Arial" w:eastAsia="Arial" w:hAnsi="Arial"/>
          <w:sz w:val="18"/>
          <w:szCs w:val="18"/>
          <w:color w:val="auto"/>
        </w:rPr>
      </w:pPr>
    </w:p>
    <w:p>
      <w:pPr>
        <w:ind w:left="600" w:right="639" w:hanging="322"/>
        <w:spacing w:after="0" w:line="26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Interim GAAP Financial Statements included in the report of foreign private issuer on Form 6-K furnished to the SEC on August 13, 2015.</w:t>
      </w:r>
    </w:p>
    <w:p>
      <w:pPr>
        <w:spacing w:after="0" w:line="88" w:lineRule="exact"/>
        <w:rPr>
          <w:rFonts w:ascii="Arial" w:cs="Arial" w:eastAsia="Arial" w:hAnsi="Arial"/>
          <w:sz w:val="18"/>
          <w:szCs w:val="18"/>
          <w:color w:val="auto"/>
        </w:rPr>
      </w:pPr>
    </w:p>
    <w:p>
      <w:pPr>
        <w:ind w:left="600" w:right="739" w:hanging="322"/>
        <w:spacing w:after="0" w:line="26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first paragraph in the press release incorporated by reference into the Company’s report of foreign private issuer on Form 6-K furnished to the SEC on September 21, 2015.</w:t>
      </w:r>
    </w:p>
    <w:p>
      <w:pPr>
        <w:spacing w:after="0" w:line="88" w:lineRule="exact"/>
        <w:rPr>
          <w:rFonts w:ascii="Arial" w:cs="Arial" w:eastAsia="Arial" w:hAnsi="Arial"/>
          <w:sz w:val="18"/>
          <w:szCs w:val="18"/>
          <w:color w:val="auto"/>
        </w:rPr>
      </w:pPr>
    </w:p>
    <w:p>
      <w:pPr>
        <w:ind w:left="600" w:right="799" w:hanging="322"/>
        <w:spacing w:after="0" w:line="256"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Interim GAAP Financial Statements and Management’s Discussion and Analysis of Financial Condition and Results of Operations included in the Company’s report of foreign private issuer on Form 6-K furnished to the SEC on November 12, 2015.</w:t>
      </w:r>
    </w:p>
    <w:p>
      <w:pPr>
        <w:spacing w:after="0" w:line="93" w:lineRule="exact"/>
        <w:rPr>
          <w:rFonts w:ascii="Arial" w:cs="Arial" w:eastAsia="Arial" w:hAnsi="Arial"/>
          <w:sz w:val="18"/>
          <w:szCs w:val="18"/>
          <w:color w:val="auto"/>
        </w:rPr>
      </w:pPr>
    </w:p>
    <w:p>
      <w:pPr>
        <w:ind w:left="600" w:right="639" w:hanging="322"/>
        <w:spacing w:after="0" w:line="26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Interim GAAP Financial Statements included in the report of foreign private issuer on Form 6-K furnished to the SEC on November 12, 2015 (Report Number 2).</w:t>
      </w:r>
    </w:p>
    <w:p>
      <w:pPr>
        <w:spacing w:after="0" w:line="88" w:lineRule="exact"/>
        <w:rPr>
          <w:sz w:val="20"/>
          <w:szCs w:val="20"/>
          <w:color w:val="auto"/>
        </w:rPr>
      </w:pPr>
    </w:p>
    <w:p>
      <w:pPr>
        <w:ind w:left="40" w:right="599"/>
        <w:spacing w:after="0" w:line="251" w:lineRule="auto"/>
        <w:rPr>
          <w:sz w:val="20"/>
          <w:szCs w:val="20"/>
          <w:color w:val="auto"/>
        </w:rPr>
      </w:pPr>
      <w:r>
        <w:rPr>
          <w:rFonts w:ascii="Arial" w:cs="Arial" w:eastAsia="Arial" w:hAnsi="Arial"/>
          <w:sz w:val="18"/>
          <w:szCs w:val="18"/>
          <w:color w:val="auto"/>
        </w:rPr>
        <w:t>All subsequent Annual Reports filed by us pursuant to the Exchange Act on Form 20-F prior to the termination of the offering shall be deemed to be incorporated by reference to this prospectus and to be a part hereof from the date of filing of such documents. We may also incorporate any Form 6-K subsequently submitted by us to the SEC prior to the termination of the offering by identifying in such Forms 6-K that they are being incorporated by reference herein, and any Forms 6-K so identified shall be deemed to be incorporated by reference in this prospectus and to be a part hereof from the date of submission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04" w:lineRule="exact"/>
        <w:rPr>
          <w:sz w:val="20"/>
          <w:szCs w:val="20"/>
          <w:color w:val="auto"/>
        </w:rPr>
      </w:pPr>
    </w:p>
    <w:p>
      <w:pPr>
        <w:ind w:left="40" w:right="799"/>
        <w:spacing w:after="0" w:line="262" w:lineRule="auto"/>
        <w:rPr>
          <w:sz w:val="20"/>
          <w:szCs w:val="20"/>
          <w:color w:val="auto"/>
        </w:rPr>
      </w:pPr>
      <w:r>
        <w:rPr>
          <w:rFonts w:ascii="Arial" w:cs="Arial" w:eastAsia="Arial" w:hAnsi="Arial"/>
          <w:sz w:val="18"/>
          <w:szCs w:val="18"/>
          <w:color w:val="auto"/>
        </w:rPr>
        <w:t>The information we incorporate by reference is an important part of this prospectus, and later information that we file with the SEC will automatically update and supersede the information contained in this prospectus.</w:t>
      </w:r>
    </w:p>
    <w:p>
      <w:pPr>
        <w:spacing w:after="0" w:line="88" w:lineRule="exact"/>
        <w:rPr>
          <w:sz w:val="20"/>
          <w:szCs w:val="20"/>
          <w:color w:val="auto"/>
        </w:rPr>
      </w:pPr>
    </w:p>
    <w:p>
      <w:pPr>
        <w:ind w:left="40" w:right="539"/>
        <w:spacing w:after="0" w:line="256" w:lineRule="auto"/>
        <w:rPr>
          <w:sz w:val="20"/>
          <w:szCs w:val="20"/>
          <w:color w:val="auto"/>
        </w:rPr>
      </w:pPr>
      <w:r>
        <w:rPr>
          <w:rFonts w:ascii="Arial" w:cs="Arial" w:eastAsia="Arial" w:hAnsi="Arial"/>
          <w:sz w:val="18"/>
          <w:szCs w:val="18"/>
          <w:color w:val="auto"/>
        </w:rPr>
        <w:t>We will provide you without charge, upon your written or oral request, a copy of any of the documents incorporated by reference in this prospectus, other than exhibits to such documents which are not specifically incorporated by reference into such documents. Please direct your written or telephone requests to us at Alcobra Ltd., Azrieli Triangle Building,</w:t>
      </w:r>
    </w:p>
    <w:p>
      <w:pPr>
        <w:ind w:left="40"/>
        <w:spacing w:after="0" w:line="187" w:lineRule="auto"/>
        <w:rPr>
          <w:sz w:val="20"/>
          <w:szCs w:val="20"/>
          <w:color w:val="auto"/>
        </w:rPr>
      </w:pPr>
      <w:r>
        <w:rPr>
          <w:rFonts w:ascii="Arial" w:cs="Arial" w:eastAsia="Arial" w:hAnsi="Arial"/>
          <w:sz w:val="18"/>
          <w:szCs w:val="18"/>
          <w:color w:val="auto"/>
        </w:rPr>
        <w:t>132 Derech Menachem Begin. 39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Tel Aviv 6701101, Israel, attention: Dr. Tomer Berkovitz, Chief Financial</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Officer, telephone number: +972-72-220-4661.</w:t>
      </w: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Prospectus</w:t>
      </w:r>
    </w:p>
    <w:p>
      <w:pPr>
        <w:spacing w:after="0" w:line="21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83185</wp:posOffset>
            </wp:positionV>
            <wp:extent cx="1964055" cy="771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6405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39"/>
        <w:spacing w:after="0"/>
        <w:rPr>
          <w:sz w:val="20"/>
          <w:szCs w:val="20"/>
          <w:color w:val="auto"/>
        </w:rPr>
      </w:pPr>
      <w:r>
        <w:rPr>
          <w:rFonts w:ascii="Arial" w:cs="Arial" w:eastAsia="Arial" w:hAnsi="Arial"/>
          <w:sz w:val="22"/>
          <w:szCs w:val="22"/>
          <w:b w:val="1"/>
          <w:bCs w:val="1"/>
          <w:color w:val="auto"/>
        </w:rPr>
        <w:t>Ordinary Shares</w:t>
      </w:r>
    </w:p>
    <w:p>
      <w:pPr>
        <w:spacing w:after="0" w:line="130" w:lineRule="exact"/>
        <w:rPr>
          <w:sz w:val="20"/>
          <w:szCs w:val="20"/>
          <w:color w:val="auto"/>
        </w:rPr>
      </w:pPr>
    </w:p>
    <w:p>
      <w:pPr>
        <w:ind w:left="40" w:right="579" w:firstLine="270"/>
        <w:spacing w:after="0" w:line="252" w:lineRule="auto"/>
        <w:rPr>
          <w:sz w:val="20"/>
          <w:szCs w:val="20"/>
          <w:color w:val="auto"/>
        </w:rPr>
      </w:pPr>
      <w:r>
        <w:rPr>
          <w:rFonts w:ascii="Arial" w:cs="Arial" w:eastAsia="Arial" w:hAnsi="Arial"/>
          <w:sz w:val="18"/>
          <w:szCs w:val="18"/>
          <w:color w:val="auto"/>
        </w:rPr>
        <w:t>We may offer and sell from time to time in one or more offerings up to a total amount of $100,000,000 of our ordinary shares. Each time we sell ordinary shares pursuant to this prospectus, we will provide in a supplement to this prospectus the price and any other material terms of any such offering. We may also authorize one or more free writing prospectuses to be provided to you in connection with each offering. Any prospectus supplement and related free writing prospectuses may also add, update or change information contained in the prospectus. You should read this prospectus, any applicable prospectus supplement and related free writing prospectuses, as well as the documents incorporated by reference or deemed incorporated by reference into this prospectus, carefully before you invest in our ordinary shares.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ordinary shares are traded on the NASDAQ Global Market under the symbol “ADHD”.</w:t>
      </w:r>
    </w:p>
    <w:p>
      <w:pPr>
        <w:spacing w:after="0" w:line="95" w:lineRule="exact"/>
        <w:rPr>
          <w:sz w:val="20"/>
          <w:szCs w:val="20"/>
          <w:color w:val="auto"/>
        </w:rPr>
      </w:pPr>
    </w:p>
    <w:p>
      <w:pPr>
        <w:ind w:left="40" w:right="599" w:firstLine="270"/>
        <w:spacing w:after="0" w:line="26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ordinary shares involves a high degree of risk. Risks associated with an investment in our ordinary shares will be described in any applicable prospectus supplement and are and will be described in certain of our filings with the Securities and Exchange Commission, as described in “Risk Factors” on page </w:t>
      </w:r>
      <w:hyperlink w:anchor="page32">
        <w:r>
          <w:rPr>
            <w:rFonts w:ascii="Arial" w:cs="Arial" w:eastAsia="Arial" w:hAnsi="Arial"/>
            <w:sz w:val="18"/>
            <w:szCs w:val="18"/>
            <w:b w:val="1"/>
            <w:bCs w:val="1"/>
            <w:u w:val="single" w:color="auto"/>
            <w:color w:val="0000EE"/>
          </w:rPr>
          <w:t>1</w:t>
        </w:r>
      </w:hyperlink>
      <w:r>
        <w:rPr>
          <w:rFonts w:ascii="Arial" w:cs="Arial" w:eastAsia="Arial" w:hAnsi="Arial"/>
          <w:sz w:val="18"/>
          <w:szCs w:val="18"/>
          <w:b w:val="1"/>
          <w:bCs w:val="1"/>
          <w:color w:val="auto"/>
        </w:rPr>
        <w:t>.</w:t>
      </w:r>
    </w:p>
    <w:p>
      <w:pPr>
        <w:spacing w:after="0" w:line="82" w:lineRule="exact"/>
        <w:rPr>
          <w:sz w:val="20"/>
          <w:szCs w:val="20"/>
          <w:color w:val="auto"/>
        </w:rPr>
      </w:pPr>
    </w:p>
    <w:p>
      <w:pPr>
        <w:ind w:left="40" w:right="819" w:firstLine="270"/>
        <w:spacing w:after="0" w:line="252" w:lineRule="auto"/>
        <w:rPr>
          <w:sz w:val="20"/>
          <w:szCs w:val="20"/>
          <w:color w:val="auto"/>
        </w:rPr>
      </w:pPr>
      <w:r>
        <w:rPr>
          <w:rFonts w:ascii="Arial" w:cs="Arial" w:eastAsia="Arial" w:hAnsi="Arial"/>
          <w:sz w:val="18"/>
          <w:szCs w:val="18"/>
          <w:color w:val="auto"/>
        </w:rPr>
        <w:t>The ordinary shares may be sold directly by us to investors, through agents designated from time to time or to or through underwriters or dealers, or through a combination of such methods, on a continuous or delayed basis. For additional information on the methods of sale, you should refer to the section entitled “Plan of Distribution” in this prospectus. If any agents or underwriters are involved in the sale of our ordinary shares with respect to which this prospectus is being delivered, the names of such agents or underwriters and any applicable fees, commissions, discounts and over-allotment options will be set forth in a prospectus supplement. The price to the public of our ordinary shares and the net proceeds that we expect to receive from such sale will also be set forth in a prospectus supplement.</w:t>
      </w:r>
    </w:p>
    <w:p>
      <w:pPr>
        <w:spacing w:after="0" w:line="76" w:lineRule="exact"/>
        <w:rPr>
          <w:sz w:val="20"/>
          <w:szCs w:val="20"/>
          <w:color w:val="auto"/>
        </w:rPr>
      </w:pPr>
    </w:p>
    <w:p>
      <w:pPr>
        <w:ind w:left="40" w:right="759" w:firstLine="270"/>
        <w:spacing w:after="0" w:line="26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on completeness or the adequacy or accuracy of this prospectus. Any representation to the contrary is a criminal offense.</w:t>
      </w:r>
    </w:p>
    <w:p>
      <w:pPr>
        <w:spacing w:after="0" w:line="8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The date of this prospectus is August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448310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2"/>
        </w:trPr>
        <w:tc>
          <w:tcPr>
            <w:tcW w:w="7200" w:type="dxa"/>
            <w:vAlign w:val="bottom"/>
            <w:gridSpan w:val="16"/>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520"/>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40" w:type="dxa"/>
            <w:vAlign w:val="bottom"/>
            <w:gridSpan w:val="3"/>
          </w:tcPr>
          <w:p>
            <w:pPr>
              <w:ind w:left="38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7200" w:type="dxa"/>
            <w:vAlign w:val="bottom"/>
            <w:gridSpan w:val="16"/>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About This Prospectus</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2"/>
          </w:tcPr>
          <w:p>
            <w:pPr>
              <w:jc w:val="right"/>
              <w:ind w:right="180"/>
              <w:spacing w:after="0"/>
              <w:rPr>
                <w:rFonts w:ascii="Arial" w:cs="Arial" w:eastAsia="Arial" w:hAnsi="Arial"/>
                <w:sz w:val="18"/>
                <w:szCs w:val="18"/>
                <w:color w:val="0000EE"/>
                <w:w w:val="74"/>
              </w:rPr>
            </w:pPr>
            <w:hyperlink w:anchor="page30">
              <w:r>
                <w:rPr>
                  <w:rFonts w:ascii="Arial" w:cs="Arial" w:eastAsia="Arial" w:hAnsi="Arial"/>
                  <w:sz w:val="18"/>
                  <w:szCs w:val="18"/>
                  <w:color w:val="0000EE"/>
                  <w:w w:val="74"/>
                </w:rPr>
                <w:t>ii</w:t>
              </w:r>
            </w:hyperlink>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6"/>
        </w:trPr>
        <w:tc>
          <w:tcPr>
            <w:tcW w:w="720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About Alcobra Ltd.</w:t>
              </w:r>
            </w:hyperlink>
          </w:p>
        </w:tc>
        <w:tc>
          <w:tcPr>
            <w:tcW w:w="64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1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iii</w:t>
              </w:r>
            </w:hyperlink>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CCEEFF"/>
            </w:tcBorders>
            <w:shd w:val="clear" w:color="auto" w:fill="0000EE"/>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76"/>
        </w:trPr>
        <w:tc>
          <w:tcPr>
            <w:tcW w:w="7200" w:type="dxa"/>
            <w:vAlign w:val="bottom"/>
            <w:gridSpan w:val="16"/>
          </w:tcPr>
          <w:p>
            <w:pPr>
              <w:ind w:left="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1020" w:type="dxa"/>
            <w:vAlign w:val="bottom"/>
            <w:gridSpan w:val="4"/>
          </w:tcPr>
          <w:p>
            <w:pPr>
              <w:jc w:val="right"/>
              <w:ind w:right="1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1</w:t>
              </w:r>
            </w:hyperlink>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6"/>
        </w:trPr>
        <w:tc>
          <w:tcPr>
            <w:tcW w:w="720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Warning Regarding Forward-Looking Statements</w:t>
              </w:r>
            </w:hyperlink>
          </w:p>
        </w:tc>
        <w:tc>
          <w:tcPr>
            <w:tcW w:w="1020" w:type="dxa"/>
            <w:vAlign w:val="bottom"/>
            <w:gridSpan w:val="4"/>
            <w:shd w:val="clear" w:color="auto" w:fill="CCEEFF"/>
          </w:tcPr>
          <w:p>
            <w:pPr>
              <w:jc w:val="right"/>
              <w:ind w:right="1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2</w:t>
              </w:r>
            </w:hyperlink>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76"/>
        </w:trPr>
        <w:tc>
          <w:tcPr>
            <w:tcW w:w="7200" w:type="dxa"/>
            <w:vAlign w:val="bottom"/>
            <w:gridSpan w:val="16"/>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Capitalization and Indebtedness</w:t>
              </w:r>
            </w:hyperlink>
          </w:p>
        </w:tc>
        <w:tc>
          <w:tcPr>
            <w:tcW w:w="1020" w:type="dxa"/>
            <w:vAlign w:val="bottom"/>
            <w:gridSpan w:val="4"/>
          </w:tcPr>
          <w:p>
            <w:pPr>
              <w:jc w:val="right"/>
              <w:ind w:right="1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w:t>
              </w:r>
            </w:hyperlink>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6"/>
        </w:trPr>
        <w:tc>
          <w:tcPr>
            <w:tcW w:w="720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Reasons for the Offer and Use of Proceeds</w:t>
              </w:r>
            </w:hyperlink>
          </w:p>
        </w:tc>
        <w:tc>
          <w:tcPr>
            <w:tcW w:w="1020" w:type="dxa"/>
            <w:vAlign w:val="bottom"/>
            <w:gridSpan w:val="4"/>
            <w:shd w:val="clear" w:color="auto" w:fill="CCEEFF"/>
          </w:tcPr>
          <w:p>
            <w:pPr>
              <w:jc w:val="right"/>
              <w:ind w:right="1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w:t>
              </w:r>
            </w:hyperlink>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76"/>
        </w:trPr>
        <w:tc>
          <w:tcPr>
            <w:tcW w:w="7200" w:type="dxa"/>
            <w:vAlign w:val="bottom"/>
            <w:gridSpan w:val="16"/>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Price Range of Our Ordinary Shares</w:t>
              </w:r>
            </w:hyperlink>
          </w:p>
        </w:tc>
        <w:tc>
          <w:tcPr>
            <w:tcW w:w="1020" w:type="dxa"/>
            <w:vAlign w:val="bottom"/>
            <w:gridSpan w:val="4"/>
          </w:tcPr>
          <w:p>
            <w:pPr>
              <w:jc w:val="right"/>
              <w:ind w:right="18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4</w:t>
              </w:r>
            </w:hyperlink>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6"/>
        </w:trPr>
        <w:tc>
          <w:tcPr>
            <w:tcW w:w="720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Our Ordinary Shares</w:t>
              </w:r>
            </w:hyperlink>
          </w:p>
        </w:tc>
        <w:tc>
          <w:tcPr>
            <w:tcW w:w="1020" w:type="dxa"/>
            <w:vAlign w:val="bottom"/>
            <w:gridSpan w:val="4"/>
            <w:shd w:val="clear" w:color="auto" w:fill="CCEEFF"/>
          </w:tcPr>
          <w:p>
            <w:pPr>
              <w:jc w:val="right"/>
              <w:ind w:right="18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5</w:t>
              </w:r>
            </w:hyperlink>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76"/>
        </w:trPr>
        <w:tc>
          <w:tcPr>
            <w:tcW w:w="7200" w:type="dxa"/>
            <w:vAlign w:val="bottom"/>
            <w:gridSpan w:val="16"/>
          </w:tcPr>
          <w:p>
            <w:pPr>
              <w:ind w:left="2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Plan of Distribution</w:t>
              </w:r>
            </w:hyperlink>
          </w:p>
        </w:tc>
        <w:tc>
          <w:tcPr>
            <w:tcW w:w="1020" w:type="dxa"/>
            <w:vAlign w:val="bottom"/>
            <w:gridSpan w:val="4"/>
          </w:tcPr>
          <w:p>
            <w:pPr>
              <w:jc w:val="right"/>
              <w:ind w:right="1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7</w:t>
              </w:r>
            </w:hyperlink>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6"/>
        </w:trPr>
        <w:tc>
          <w:tcPr>
            <w:tcW w:w="720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Expenses</w:t>
              </w:r>
            </w:hyperlink>
          </w:p>
        </w:tc>
        <w:tc>
          <w:tcPr>
            <w:tcW w:w="1020" w:type="dxa"/>
            <w:vAlign w:val="bottom"/>
            <w:gridSpan w:val="4"/>
            <w:shd w:val="clear" w:color="auto" w:fill="CCEEFF"/>
          </w:tcPr>
          <w:p>
            <w:pPr>
              <w:jc w:val="right"/>
              <w:ind w:right="18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8</w:t>
              </w:r>
            </w:hyperlink>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76"/>
        </w:trPr>
        <w:tc>
          <w:tcPr>
            <w:tcW w:w="7200" w:type="dxa"/>
            <w:vAlign w:val="bottom"/>
            <w:gridSpan w:val="16"/>
          </w:tcPr>
          <w:p>
            <w:pPr>
              <w:ind w:left="2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1020" w:type="dxa"/>
            <w:vAlign w:val="bottom"/>
            <w:gridSpan w:val="4"/>
          </w:tcPr>
          <w:p>
            <w:pPr>
              <w:jc w:val="right"/>
              <w:ind w:right="18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9</w:t>
              </w:r>
            </w:hyperlink>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6"/>
        </w:trPr>
        <w:tc>
          <w:tcPr>
            <w:tcW w:w="720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Experts</w:t>
              </w:r>
            </w:hyperlink>
          </w:p>
        </w:tc>
        <w:tc>
          <w:tcPr>
            <w:tcW w:w="1020" w:type="dxa"/>
            <w:vAlign w:val="bottom"/>
            <w:gridSpan w:val="4"/>
            <w:shd w:val="clear" w:color="auto" w:fill="CCEEFF"/>
          </w:tcPr>
          <w:p>
            <w:pPr>
              <w:jc w:val="right"/>
              <w:ind w:right="18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9</w:t>
              </w:r>
            </w:hyperlink>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76"/>
        </w:trPr>
        <w:tc>
          <w:tcPr>
            <w:tcW w:w="7200" w:type="dxa"/>
            <w:vAlign w:val="bottom"/>
            <w:gridSpan w:val="16"/>
          </w:tcPr>
          <w:p>
            <w:pPr>
              <w:ind w:left="2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 and Incorporation of Certain Information By</w:t>
              </w:r>
            </w:hyperlink>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560" w:type="dxa"/>
            <w:vAlign w:val="bottom"/>
            <w:tcBorders>
              <w:top w:val="single" w:sz="8" w:color="0000EE"/>
            </w:tcBorders>
            <w:gridSpan w:val="14"/>
          </w:tcPr>
          <w:p>
            <w:pPr>
              <w:ind w:left="180"/>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Reference</w:t>
              </w:r>
            </w:hyperlink>
          </w:p>
        </w:tc>
        <w:tc>
          <w:tcPr>
            <w:tcW w:w="620" w:type="dxa"/>
            <w:vAlign w:val="bottom"/>
          </w:tcPr>
          <w:p>
            <w:pPr>
              <w:spacing w:after="0"/>
              <w:rPr>
                <w:sz w:val="15"/>
                <w:szCs w:val="15"/>
                <w:color w:val="auto"/>
              </w:rPr>
            </w:pPr>
          </w:p>
        </w:tc>
        <w:tc>
          <w:tcPr>
            <w:tcW w:w="1020" w:type="dxa"/>
            <w:vAlign w:val="bottom"/>
            <w:gridSpan w:val="4"/>
          </w:tcPr>
          <w:p>
            <w:pPr>
              <w:jc w:val="right"/>
              <w:ind w:right="180"/>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9</w:t>
              </w:r>
            </w:hyperlink>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6"/>
        </w:trPr>
        <w:tc>
          <w:tcPr>
            <w:tcW w:w="720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Enforceability of Civil Liabilities</w:t>
              </w:r>
            </w:hyperlink>
          </w:p>
        </w:tc>
        <w:tc>
          <w:tcPr>
            <w:tcW w:w="1020" w:type="dxa"/>
            <w:vAlign w:val="bottom"/>
            <w:gridSpan w:val="4"/>
            <w:shd w:val="clear" w:color="auto" w:fill="CCEEFF"/>
          </w:tcPr>
          <w:p>
            <w:pPr>
              <w:jc w:val="right"/>
              <w:ind w:right="1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11</w:t>
              </w:r>
            </w:hyperlink>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-1997710</wp:posOffset>
            </wp:positionV>
            <wp:extent cx="52139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ABOUT THIS PROSPECTUS</w:t>
      </w:r>
    </w:p>
    <w:p>
      <w:pPr>
        <w:spacing w:after="0" w:line="139"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This prospectus is part of a registration statement on Form F-3 that we filed with the Securities and Exchange Commission, or the SEC, utilizing a “shelf” registration process. Under this shelf registration process, we may offer from time to time up to an aggregate of $100,000,000 of our ordinary shares in one or more offerings. We sometimes refer to our ordinary shares as the “securities” throughout this prospectus.</w:t>
      </w:r>
    </w:p>
    <w:p>
      <w:pPr>
        <w:spacing w:after="0" w:line="96" w:lineRule="exact"/>
        <w:rPr>
          <w:sz w:val="20"/>
          <w:szCs w:val="20"/>
          <w:color w:val="auto"/>
        </w:rPr>
      </w:pPr>
    </w:p>
    <w:p>
      <w:pPr>
        <w:ind w:left="40" w:right="579" w:firstLine="270"/>
        <w:spacing w:after="0" w:line="252" w:lineRule="auto"/>
        <w:rPr>
          <w:sz w:val="20"/>
          <w:szCs w:val="20"/>
          <w:color w:val="auto"/>
        </w:rPr>
      </w:pPr>
      <w:r>
        <w:rPr>
          <w:rFonts w:ascii="Arial" w:cs="Arial" w:eastAsia="Arial" w:hAnsi="Arial"/>
          <w:sz w:val="18"/>
          <w:szCs w:val="18"/>
          <w:color w:val="auto"/>
        </w:rPr>
        <w:t>Each time we sell ordinary shares, we will provide you with a prospectus supplement that will describe the specific amounts, prices and terms of such offering. We may also authorize one or more free writing prospectuses to be provided to you in connection with such offering. The prospectus supplement and any related free writing prospectuses may also add, update or change information contained in this prospectus. You should read carefully both this prospectus, the applicable prospectus supplement and any related free writing prospectus together with additional information described below under “Where You Can Find More Information and Incorporation by Reference” before buying the ordinary shares being offered.</w:t>
      </w:r>
    </w:p>
    <w:p>
      <w:pPr>
        <w:spacing w:after="0" w:line="99" w:lineRule="exact"/>
        <w:rPr>
          <w:sz w:val="20"/>
          <w:szCs w:val="20"/>
          <w:color w:val="auto"/>
        </w:rPr>
      </w:pPr>
    </w:p>
    <w:p>
      <w:pPr>
        <w:ind w:left="40" w:right="599" w:firstLine="270"/>
        <w:spacing w:after="0" w:line="254" w:lineRule="auto"/>
        <w:rPr>
          <w:sz w:val="20"/>
          <w:szCs w:val="20"/>
          <w:color w:val="auto"/>
        </w:rPr>
      </w:pPr>
      <w:r>
        <w:rPr>
          <w:rFonts w:ascii="Arial" w:cs="Arial" w:eastAsia="Arial" w:hAnsi="Arial"/>
          <w:sz w:val="18"/>
          <w:szCs w:val="18"/>
          <w:color w:val="auto"/>
        </w:rPr>
        <w:t>This prospectus does not contain all of the information provided in the registration statement that we filed with the SEC. For further information about us or our ordinary shares, you should refer to that registration statement, which you can obtain from the SEC as described below under “Where You Can Find More Information and Incorporation by Reference.”</w:t>
      </w:r>
    </w:p>
    <w:p>
      <w:pPr>
        <w:spacing w:after="0" w:line="96" w:lineRule="exact"/>
        <w:rPr>
          <w:sz w:val="20"/>
          <w:szCs w:val="20"/>
          <w:color w:val="auto"/>
        </w:rPr>
      </w:pPr>
    </w:p>
    <w:p>
      <w:pPr>
        <w:ind w:left="40" w:right="559" w:firstLine="270"/>
        <w:spacing w:after="0" w:line="251"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 prospectus supplement and related free writing prospectuses. We have not authorized any other person to provide you with different information. If anyone provides you with different or inconsistent information, you should not rely on it. This prospectus is not an offer to sell these securities and it is not soliciting an offer to buy these securities in any jurisdiction where the offer or sale is not permitted. You should not assume that the information contained in this prospectus and the accompanying prospectus supplement or related free writing prospectuses is accurate on any date subsequent to the date set forth on the front of the document or that any information that we have incorporated by reference is correct on any date subsequent to the date of the document incorporated by reference. Our business, financial condition, results of operations and prospects may have changed since those dates.</w:t>
      </w:r>
    </w:p>
    <w:p>
      <w:pPr>
        <w:spacing w:after="0" w:line="105" w:lineRule="exact"/>
        <w:rPr>
          <w:sz w:val="20"/>
          <w:szCs w:val="20"/>
          <w:color w:val="auto"/>
        </w:rPr>
      </w:pPr>
    </w:p>
    <w:p>
      <w:pPr>
        <w:ind w:left="40" w:right="699" w:firstLine="270"/>
        <w:spacing w:after="0" w:line="256" w:lineRule="auto"/>
        <w:rPr>
          <w:sz w:val="20"/>
          <w:szCs w:val="20"/>
          <w:color w:val="auto"/>
        </w:rPr>
      </w:pPr>
      <w:r>
        <w:rPr>
          <w:rFonts w:ascii="Arial" w:cs="Arial" w:eastAsia="Arial" w:hAnsi="Arial"/>
          <w:sz w:val="18"/>
          <w:szCs w:val="18"/>
          <w:color w:val="auto"/>
        </w:rPr>
        <w:t>In this prospectus, references to the terms “Alcobra,” “the Company,” “we,” “us,” “our” and similar terms, refer to Alcobra Ltd., unless we state or the context implies otherwise. References to our “ordinary shares” mean our ordinary shares, par value New Israeli Shekels, or NIS, 0.01 per share.</w:t>
      </w:r>
    </w:p>
    <w:p>
      <w:pPr>
        <w:spacing w:after="0" w:line="200" w:lineRule="exact"/>
        <w:rPr>
          <w:sz w:val="20"/>
          <w:szCs w:val="20"/>
          <w:color w:val="auto"/>
        </w:rPr>
      </w:pPr>
    </w:p>
    <w:p>
      <w:pPr>
        <w:spacing w:after="0" w:line="34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ABOUT ALCOBRA LTD.</w:t>
      </w:r>
    </w:p>
    <w:p>
      <w:pPr>
        <w:spacing w:after="0" w:line="121" w:lineRule="exact"/>
        <w:rPr>
          <w:sz w:val="20"/>
          <w:szCs w:val="20"/>
          <w:color w:val="auto"/>
        </w:rPr>
      </w:pPr>
    </w:p>
    <w:p>
      <w:pPr>
        <w:ind w:left="40" w:right="539" w:firstLine="270"/>
        <w:spacing w:after="0" w:line="261" w:lineRule="auto"/>
        <w:rPr>
          <w:sz w:val="20"/>
          <w:szCs w:val="20"/>
          <w:color w:val="auto"/>
        </w:rPr>
      </w:pPr>
      <w:r>
        <w:rPr>
          <w:rFonts w:ascii="Arial" w:cs="Arial" w:eastAsia="Arial" w:hAnsi="Arial"/>
          <w:sz w:val="18"/>
          <w:szCs w:val="18"/>
          <w:i w:val="1"/>
          <w:iCs w:val="1"/>
          <w:color w:val="auto"/>
        </w:rPr>
        <w:t>This summary highlights information contained in the documents incorporated herein by reference. Before making an investment decision, you should read the entire prospectus, and our other filings with the SEC, including those filings incorporated herein by reference, carefully, including the sections entitled “Risk Factors” and “Warning Regarding Forward-Looking Statements.”</w:t>
      </w:r>
    </w:p>
    <w:p>
      <w:pPr>
        <w:spacing w:after="0" w:line="90" w:lineRule="exact"/>
        <w:rPr>
          <w:sz w:val="20"/>
          <w:szCs w:val="20"/>
          <w:color w:val="auto"/>
        </w:rPr>
      </w:pPr>
    </w:p>
    <w:p>
      <w:pPr>
        <w:ind w:left="40" w:right="759" w:firstLine="270"/>
        <w:spacing w:after="0" w:line="254" w:lineRule="auto"/>
        <w:rPr>
          <w:sz w:val="20"/>
          <w:szCs w:val="20"/>
          <w:color w:val="auto"/>
        </w:rPr>
      </w:pPr>
      <w:r>
        <w:rPr>
          <w:rFonts w:ascii="Arial" w:cs="Arial" w:eastAsia="Arial" w:hAnsi="Arial"/>
          <w:sz w:val="18"/>
          <w:szCs w:val="18"/>
          <w:color w:val="auto"/>
        </w:rPr>
        <w:t>We are an emerging biopharmaceutical company primarily focused on the development and commercialization of proprietary pharmaceutical products for treatment of Central Nervous System (CNS) disorders, and cognitive dysfunctions in particular. Our lead drug candidate is MDX for the treatment of Attention Deficit and Hyperactivity Disorder, or ADHD, and other cognitive dysfunctions including Fragile X Syndrome.</w:t>
      </w:r>
    </w:p>
    <w:p>
      <w:pPr>
        <w:spacing w:after="0" w:line="96" w:lineRule="exact"/>
        <w:rPr>
          <w:sz w:val="20"/>
          <w:szCs w:val="20"/>
          <w:color w:val="auto"/>
        </w:rPr>
      </w:pPr>
    </w:p>
    <w:p>
      <w:pPr>
        <w:ind w:left="40" w:right="699" w:firstLine="270"/>
        <w:spacing w:after="0" w:line="251" w:lineRule="auto"/>
        <w:rPr>
          <w:sz w:val="20"/>
          <w:szCs w:val="20"/>
          <w:color w:val="auto"/>
        </w:rPr>
      </w:pPr>
      <w:r>
        <w:rPr>
          <w:rFonts w:ascii="Arial" w:cs="Arial" w:eastAsia="Arial" w:hAnsi="Arial"/>
          <w:sz w:val="18"/>
          <w:szCs w:val="18"/>
          <w:color w:val="auto"/>
        </w:rPr>
        <w:t>The most common currently available treatments for ADHD are stimulants that increase the brain chemicals dopamine and norepinephrine. Stimulants have significant side effects, and are classified as controlled substances which have significant potential for misuse, abuse and addiction. MDX is not a stimulant, and works with a different mechanism of action. MDX is a proprietary, combined rapid onset/extended release formulation of the chemical Pyridoxine Pyroglutamate, which is more broadly known as Metadoxine. In September 2011, we completed a 120 subject double-blind placebo-controlled Phase 2 study in adult ADHD subjects that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 In December 2013, we completed an additional 36 subject double-blind placebo-controlled Phase 2 study in adult ADHD confirming our previous findings and highlighting the rapid onset of the drug, demonstrating efficacy over placebo from first day of dosing.</w:t>
      </w:r>
    </w:p>
    <w:p>
      <w:pPr>
        <w:spacing w:after="0" w:line="104" w:lineRule="exact"/>
        <w:rPr>
          <w:sz w:val="20"/>
          <w:szCs w:val="20"/>
          <w:color w:val="auto"/>
        </w:rPr>
      </w:pPr>
    </w:p>
    <w:p>
      <w:pPr>
        <w:ind w:left="40" w:right="519" w:firstLine="270"/>
        <w:spacing w:after="0" w:line="252" w:lineRule="auto"/>
        <w:rPr>
          <w:sz w:val="20"/>
          <w:szCs w:val="20"/>
          <w:color w:val="auto"/>
        </w:rPr>
      </w:pPr>
      <w:r>
        <w:rPr>
          <w:rFonts w:ascii="Arial" w:cs="Arial" w:eastAsia="Arial" w:hAnsi="Arial"/>
          <w:sz w:val="18"/>
          <w:szCs w:val="18"/>
          <w:color w:val="auto"/>
        </w:rPr>
        <w:t>In March 2014, following the U.S. Food and Drug Administration, or FDA, acceptance of our investigational new drug application (IND) for MDX, we initiated patient enrollment in a Phase 3 clinical trial for the use of MDX to treat ADHD in adults. This study is a 300-patient, randomized, placebo-controlled trial conducted at 20 sites — 18 in the U.S. and 2 in Israel. If this and any future clinical trials demonstrate the safety and efficacy of MDX, we will seek to obtain marketing approval from the FDA for MDX for use in adults. We have similar plans to seek marketing approval in the European Union, Japan and other territories.</w:t>
      </w:r>
    </w:p>
    <w:p>
      <w:pPr>
        <w:spacing w:after="0" w:line="101" w:lineRule="exact"/>
        <w:rPr>
          <w:sz w:val="20"/>
          <w:szCs w:val="20"/>
          <w:color w:val="auto"/>
        </w:rPr>
      </w:pPr>
    </w:p>
    <w:p>
      <w:pPr>
        <w:ind w:left="40" w:right="579" w:firstLine="270"/>
        <w:spacing w:after="0" w:line="256" w:lineRule="auto"/>
        <w:rPr>
          <w:sz w:val="20"/>
          <w:szCs w:val="20"/>
          <w:color w:val="auto"/>
        </w:rPr>
      </w:pPr>
      <w:r>
        <w:rPr>
          <w:rFonts w:ascii="Arial" w:cs="Arial" w:eastAsia="Arial" w:hAnsi="Arial"/>
          <w:sz w:val="18"/>
          <w:szCs w:val="18"/>
          <w:color w:val="auto"/>
        </w:rPr>
        <w:t>Subject to obtaining the necessary regulatory clearances, we further plan to conduct a Phase II study in pediatric ADHD in 2014, followed by a Phase 3 study in this population in 2015, and, if the data supports it, proceed to request a marketing authorization. The requirements to conduct pediatric clinical trials are more stringent than those for adults.</w:t>
      </w:r>
    </w:p>
    <w:p>
      <w:pPr>
        <w:spacing w:after="0" w:line="94" w:lineRule="exact"/>
        <w:rPr>
          <w:sz w:val="20"/>
          <w:szCs w:val="20"/>
          <w:color w:val="auto"/>
        </w:rPr>
      </w:pPr>
    </w:p>
    <w:p>
      <w:pPr>
        <w:ind w:left="40" w:right="539" w:firstLine="270"/>
        <w:spacing w:after="0" w:line="252" w:lineRule="auto"/>
        <w:rPr>
          <w:sz w:val="20"/>
          <w:szCs w:val="20"/>
          <w:color w:val="auto"/>
        </w:rPr>
      </w:pPr>
      <w:r>
        <w:rPr>
          <w:rFonts w:ascii="Arial" w:cs="Arial" w:eastAsia="Arial" w:hAnsi="Arial"/>
          <w:sz w:val="18"/>
          <w:szCs w:val="18"/>
          <w:color w:val="auto"/>
        </w:rPr>
        <w:t>We also plan to advance clinical studies and commercialization plans for MDX in additional indications of cognitive dysfunction which present significant market opportunities, such as Fragile X Syndrome, where we announced positive results from pre-clinical studies. Fragile X Syndrome is a neurogenetic disorder characterized by intellectual disability, behavioral and learning challenges. It is the leading known genetic cause of autism, and accounts for approximately 2-5% of autism cases. According to the U.S. Centers for Disease Control and Prevention, approximately 1 in 4,000 males and 1 in 8,000 females have Fragile X Syndrome.</w:t>
      </w:r>
    </w:p>
    <w:p>
      <w:pPr>
        <w:spacing w:after="0" w:line="101" w:lineRule="exact"/>
        <w:rPr>
          <w:sz w:val="20"/>
          <w:szCs w:val="20"/>
          <w:color w:val="auto"/>
        </w:rPr>
      </w:pPr>
    </w:p>
    <w:p>
      <w:pPr>
        <w:ind w:left="40" w:right="599" w:firstLine="270"/>
        <w:spacing w:after="0" w:line="256" w:lineRule="auto"/>
        <w:rPr>
          <w:sz w:val="20"/>
          <w:szCs w:val="20"/>
          <w:color w:val="auto"/>
        </w:rPr>
      </w:pPr>
      <w:r>
        <w:rPr>
          <w:rFonts w:ascii="Arial" w:cs="Arial" w:eastAsia="Arial" w:hAnsi="Arial"/>
          <w:sz w:val="18"/>
          <w:szCs w:val="18"/>
          <w:color w:val="auto"/>
        </w:rPr>
        <w:t>In May 2014, the FDA has accepted our Phase IIb clinical trial protocol for MDX for the treatment of adolescent and adult patients with Fragile X Syndrome. This trial will be a multi-center, randomized, placebo-controlled study and will be conducted primarily in the U.S. including 10 clinical sites.</w:t>
      </w:r>
    </w:p>
    <w:p>
      <w:pPr>
        <w:spacing w:after="0" w:line="200" w:lineRule="exact"/>
        <w:rPr>
          <w:sz w:val="20"/>
          <w:szCs w:val="20"/>
          <w:color w:val="auto"/>
        </w:rPr>
      </w:pPr>
    </w:p>
    <w:p>
      <w:pPr>
        <w:spacing w:after="0" w:line="34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RISK FACTORS</w:t>
      </w:r>
    </w:p>
    <w:p>
      <w:pPr>
        <w:spacing w:after="0" w:line="139" w:lineRule="exact"/>
        <w:rPr>
          <w:sz w:val="20"/>
          <w:szCs w:val="20"/>
          <w:color w:val="auto"/>
        </w:rPr>
      </w:pPr>
    </w:p>
    <w:p>
      <w:pPr>
        <w:ind w:left="40" w:right="619" w:firstLine="270"/>
        <w:spacing w:after="0" w:line="251" w:lineRule="auto"/>
        <w:rPr>
          <w:sz w:val="20"/>
          <w:szCs w:val="20"/>
          <w:color w:val="auto"/>
        </w:rPr>
      </w:pPr>
      <w:r>
        <w:rPr>
          <w:rFonts w:ascii="Arial" w:cs="Arial" w:eastAsia="Arial" w:hAnsi="Arial"/>
          <w:sz w:val="18"/>
          <w:szCs w:val="18"/>
          <w:color w:val="auto"/>
        </w:rPr>
        <w:t>Investing in our securities involves significant risks. Before making an investment decision, you should carefully consider the risks described under “Risk Factors” in the applicable prospectus supplement and under Item 3.D. — “Risk Factors” in our most recent Annual Report on Form 20-F, or any updates in our Reports on Form 6-K, together with all of the other information appearing in this prospectus or incorporated by reference into this prospectus and any applicable prospectus supplement,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200" w:lineRule="exact"/>
        <w:rPr>
          <w:sz w:val="20"/>
          <w:szCs w:val="20"/>
          <w:color w:val="auto"/>
        </w:rPr>
      </w:pPr>
    </w:p>
    <w:p>
      <w:pPr>
        <w:spacing w:after="0" w:line="34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WARNING REGARDING FORWARD-LOOKING STATEMENTS</w:t>
      </w:r>
    </w:p>
    <w:p>
      <w:pPr>
        <w:spacing w:after="0" w:line="139" w:lineRule="exact"/>
        <w:rPr>
          <w:sz w:val="20"/>
          <w:szCs w:val="20"/>
          <w:color w:val="auto"/>
        </w:rPr>
      </w:pPr>
    </w:p>
    <w:p>
      <w:pPr>
        <w:ind w:left="40" w:right="539" w:firstLine="270"/>
        <w:spacing w:after="0" w:line="251" w:lineRule="auto"/>
        <w:rPr>
          <w:sz w:val="20"/>
          <w:szCs w:val="20"/>
          <w:color w:val="auto"/>
        </w:rPr>
      </w:pPr>
      <w:r>
        <w:rPr>
          <w:rFonts w:ascii="Arial" w:cs="Arial" w:eastAsia="Arial" w:hAnsi="Arial"/>
          <w:sz w:val="18"/>
          <w:szCs w:val="18"/>
          <w:color w:val="auto"/>
        </w:rPr>
        <w:t>This prospectus contains and any prospectus supplement may contain, “forward-looking statements” within the meaning of the Private Securities Litigation Reform Act of 1995 and other U.S. Federal securities laws. Also, documents that we incorporate by reference into this prospectus, including documents that we subsequently file with the SEC, will contain forward-looking statements. These forward-looking statements include, but are not limited to, those statements regarding anticipated expenses, capital requirements and our needs for additional financing; timing, design, the initiation and successful completion of the clinical trials we are or anticipate conducting, if at all; FDA approval of, or other regulatory action in the U.S. and elsewhere, with respect to MDX; the commercial launch and future sales of MDX or any other future products or product candidates; our ability to achieve favorable pricing for MDX; and our expectations regarding licensing, acquisitions and strategic operations. 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in this prospectus would be interpreted differently in light of additional research and clinical and preclinical trials results. The forward-looking statements contained in this prospectus are subject to risks and uncertainties, including in our most recent Annual Report on Form 20-F, under Item 3.D. — “Risk Factors” and in our other filings with the SEC. You are cautioned not to place undue reliance on these forward looking statements, which speak only as of the date hereof. Although we believe that the expectations reflected in the forward-looking statements are reasonable, we cannot guarantee future results, levels of activity, performance, or achievements. Except as otherwise required by law, we are under no obligation to (and expressly disclaim any such obligation to) update or revise any of the forward-looking statements, whether as a result of new information, future events or otherwise, after the date of this prospectus.</w:t>
      </w:r>
    </w:p>
    <w:p>
      <w:pPr>
        <w:spacing w:after="0" w:line="200" w:lineRule="exact"/>
        <w:rPr>
          <w:sz w:val="20"/>
          <w:szCs w:val="20"/>
          <w:color w:val="auto"/>
        </w:rPr>
      </w:pPr>
    </w:p>
    <w:p>
      <w:pPr>
        <w:spacing w:after="0" w:line="34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CAPITALIZATION AND INDEBTEDNESS</w:t>
      </w:r>
    </w:p>
    <w:p>
      <w:pPr>
        <w:spacing w:after="0" w:line="139" w:lineRule="exact"/>
        <w:rPr>
          <w:sz w:val="20"/>
          <w:szCs w:val="20"/>
          <w:color w:val="auto"/>
        </w:rPr>
      </w:pPr>
    </w:p>
    <w:p>
      <w:pPr>
        <w:jc w:val="both"/>
        <w:ind w:left="40" w:right="599" w:firstLine="270"/>
        <w:spacing w:after="0" w:line="254" w:lineRule="auto"/>
        <w:rPr>
          <w:sz w:val="20"/>
          <w:szCs w:val="20"/>
          <w:color w:val="auto"/>
        </w:rPr>
      </w:pPr>
      <w:r>
        <w:rPr>
          <w:rFonts w:ascii="Arial" w:cs="Arial" w:eastAsia="Arial" w:hAnsi="Arial"/>
          <w:sz w:val="18"/>
          <w:szCs w:val="18"/>
          <w:color w:val="auto"/>
        </w:rPr>
        <w:t>The following table sets forth cash and cash equivalents, short-term investments and our shareholders’ equity as of March 31, 2014. The financial data in the following table should be read in conjunction with our consolidated unaudited financial statements included in the report of foreign private issuer on Form 6-K furnished to the SEC on May 15, 2014 for the period ended March 31, 2014, which have been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52139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4"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As of</w:t>
      </w:r>
    </w:p>
    <w:p>
      <w:pPr>
        <w:spacing w:after="0" w:line="19"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U.S. Dollars,</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-1905</wp:posOffset>
            </wp:positionV>
            <wp:extent cx="7029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521398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Short-term bank deposit</w:t>
      </w:r>
    </w:p>
    <w:p>
      <w:pPr>
        <w:spacing w:after="0" w:line="235" w:lineRule="auto"/>
        <w:rPr>
          <w:sz w:val="20"/>
          <w:szCs w:val="20"/>
          <w:color w:val="auto"/>
        </w:rPr>
      </w:pPr>
      <w:r>
        <w:rPr>
          <w:rFonts w:ascii="Arial" w:cs="Arial" w:eastAsia="Arial" w:hAnsi="Arial"/>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521398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ind w:right="1938"/>
        <w:spacing w:after="0" w:line="234" w:lineRule="auto"/>
        <w:rPr>
          <w:sz w:val="20"/>
          <w:szCs w:val="20"/>
          <w:color w:val="auto"/>
        </w:rPr>
      </w:pPr>
      <w:r>
        <w:rPr>
          <w:rFonts w:ascii="Arial" w:cs="Arial" w:eastAsia="Arial" w:hAnsi="Arial"/>
          <w:sz w:val="18"/>
          <w:szCs w:val="18"/>
          <w:color w:val="auto"/>
        </w:rPr>
        <w:t>Ordinary Shares of NIS 0.01 par value: Authorized – 50,000,000 as of March 31, 2014; Outstanding – 13,636,709 shares as of March 31, 2014.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-382905</wp:posOffset>
            </wp:positionV>
            <wp:extent cx="521398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-125730</wp:posOffset>
            </wp:positionV>
            <wp:extent cx="521398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ind w:right="2398"/>
        <w:spacing w:after="0" w:line="246" w:lineRule="auto"/>
        <w:rPr>
          <w:sz w:val="20"/>
          <w:szCs w:val="20"/>
          <w:color w:val="auto"/>
        </w:rPr>
      </w:pPr>
      <w:r>
        <w:rPr>
          <w:rFonts w:ascii="Arial" w:cs="Arial" w:eastAsia="Arial" w:hAnsi="Arial"/>
          <w:sz w:val="18"/>
          <w:szCs w:val="18"/>
          <w:color w:val="auto"/>
        </w:rPr>
        <w:t>Deficit accumulated during the development stage 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-139700</wp:posOffset>
            </wp:positionV>
            <wp:extent cx="5213985"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29146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Capitalization</w:t>
      </w:r>
    </w:p>
    <w:p>
      <w:pPr>
        <w:spacing w:after="0" w:line="20" w:lineRule="exact"/>
        <w:rPr>
          <w:sz w:val="20"/>
          <w:szCs w:val="20"/>
          <w:color w:val="auto"/>
        </w:rPr>
      </w:pPr>
      <w:r>
        <w:rPr>
          <w:sz w:val="20"/>
          <w:szCs w:val="20"/>
          <w:color w:val="auto"/>
        </w:rPr>
        <w:br w:type="column"/>
      </w:r>
    </w:p>
    <w:p>
      <w:pPr>
        <w:ind w:left="382" w:hanging="382"/>
        <w:spacing w:after="0"/>
        <w:tabs>
          <w:tab w:leader="none" w:pos="3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10,392</w:t>
      </w:r>
    </w:p>
    <w:p>
      <w:pPr>
        <w:ind w:left="382"/>
        <w:spacing w:after="0"/>
        <w:rPr>
          <w:rFonts w:ascii="Arial" w:cs="Arial" w:eastAsia="Arial" w:hAnsi="Arial"/>
          <w:sz w:val="18"/>
          <w:szCs w:val="18"/>
          <w:color w:val="auto"/>
        </w:rPr>
      </w:pPr>
      <w:r>
        <w:rPr>
          <w:rFonts w:ascii="Arial" w:cs="Arial" w:eastAsia="Arial" w:hAnsi="Arial"/>
          <w:sz w:val="18"/>
          <w:szCs w:val="18"/>
          <w:color w:val="auto"/>
        </w:rPr>
        <w:t>34,033</w:t>
      </w:r>
    </w:p>
    <w:p>
      <w:pPr>
        <w:spacing w:after="0" w:line="200" w:lineRule="exact"/>
        <w:rPr>
          <w:sz w:val="20"/>
          <w:szCs w:val="20"/>
          <w:color w:val="auto"/>
        </w:rPr>
      </w:pPr>
    </w:p>
    <w:p>
      <w:pPr>
        <w:spacing w:after="0" w:line="399" w:lineRule="exact"/>
        <w:rPr>
          <w:sz w:val="20"/>
          <w:szCs w:val="20"/>
          <w:color w:val="auto"/>
        </w:rPr>
      </w:pPr>
    </w:p>
    <w:p>
      <w:pPr>
        <w:ind w:left="722"/>
        <w:spacing w:after="0"/>
        <w:rPr>
          <w:sz w:val="20"/>
          <w:szCs w:val="20"/>
          <w:color w:val="auto"/>
        </w:rPr>
      </w:pPr>
      <w:r>
        <w:rPr>
          <w:rFonts w:ascii="Arial" w:cs="Arial" w:eastAsia="Arial" w:hAnsi="Arial"/>
          <w:sz w:val="18"/>
          <w:szCs w:val="18"/>
          <w:color w:val="auto"/>
        </w:rPr>
        <w:t>39</w:t>
      </w:r>
    </w:p>
    <w:p>
      <w:pPr>
        <w:ind w:left="382"/>
        <w:spacing w:after="0" w:line="234" w:lineRule="auto"/>
        <w:rPr>
          <w:sz w:val="20"/>
          <w:szCs w:val="20"/>
          <w:color w:val="auto"/>
        </w:rPr>
      </w:pPr>
      <w:r>
        <w:rPr>
          <w:rFonts w:ascii="Arial" w:cs="Arial" w:eastAsia="Arial" w:hAnsi="Arial"/>
          <w:sz w:val="18"/>
          <w:szCs w:val="18"/>
          <w:color w:val="auto"/>
        </w:rPr>
        <w:t>68,718</w:t>
      </w:r>
    </w:p>
    <w:p>
      <w:pPr>
        <w:jc w:val="right"/>
        <w:ind w:right="1999"/>
        <w:spacing w:after="0" w:line="235" w:lineRule="auto"/>
        <w:rPr>
          <w:sz w:val="20"/>
          <w:szCs w:val="20"/>
          <w:color w:val="auto"/>
        </w:rPr>
      </w:pPr>
      <w:r>
        <w:rPr>
          <w:rFonts w:ascii="Arial" w:cs="Arial" w:eastAsia="Arial" w:hAnsi="Arial"/>
          <w:sz w:val="18"/>
          <w:szCs w:val="18"/>
          <w:color w:val="auto"/>
        </w:rPr>
        <w:t>(26,500)</w:t>
      </w:r>
    </w:p>
    <w:p>
      <w:pPr>
        <w:spacing w:after="0" w:line="1" w:lineRule="exact"/>
        <w:rPr>
          <w:sz w:val="20"/>
          <w:szCs w:val="20"/>
          <w:color w:val="auto"/>
        </w:rPr>
      </w:pPr>
    </w:p>
    <w:p>
      <w:pPr>
        <w:ind w:left="382"/>
        <w:spacing w:after="0"/>
        <w:rPr>
          <w:sz w:val="20"/>
          <w:szCs w:val="20"/>
          <w:color w:val="auto"/>
        </w:rPr>
      </w:pPr>
      <w:r>
        <w:rPr>
          <w:rFonts w:ascii="Arial" w:cs="Arial" w:eastAsia="Arial" w:hAnsi="Arial"/>
          <w:sz w:val="18"/>
          <w:szCs w:val="18"/>
          <w:color w:val="auto"/>
        </w:rPr>
        <w:t>42,257</w:t>
      </w:r>
    </w:p>
    <w:p>
      <w:pPr>
        <w:spacing w:after="0" w:line="50" w:lineRule="exact"/>
        <w:rPr>
          <w:sz w:val="20"/>
          <w:szCs w:val="20"/>
          <w:color w:val="auto"/>
        </w:rPr>
      </w:pPr>
    </w:p>
    <w:p>
      <w:pPr>
        <w:ind w:left="382"/>
        <w:spacing w:after="0"/>
        <w:rPr>
          <w:sz w:val="20"/>
          <w:szCs w:val="20"/>
          <w:color w:val="auto"/>
        </w:rPr>
      </w:pPr>
      <w:r>
        <w:rPr>
          <w:rFonts w:ascii="Arial" w:cs="Arial" w:eastAsia="Arial" w:hAnsi="Arial"/>
          <w:sz w:val="18"/>
          <w:szCs w:val="18"/>
          <w:color w:val="auto"/>
        </w:rPr>
        <w:t>42,257</w:t>
      </w:r>
    </w:p>
    <w:p>
      <w:pPr>
        <w:spacing w:after="0" w:line="190" w:lineRule="exact"/>
        <w:rPr>
          <w:sz w:val="20"/>
          <w:szCs w:val="20"/>
          <w:color w:val="auto"/>
        </w:rPr>
      </w:pPr>
    </w:p>
    <w:p>
      <w:pPr>
        <w:sectPr>
          <w:pgSz w:w="11900" w:h="16838" w:orient="portrait"/>
          <w:cols w:equalWidth="0" w:num="2">
            <w:col w:w="6378" w:space="720"/>
            <w:col w:w="2981"/>
          </w:cols>
          <w:pgMar w:left="380" w:top="802" w:right="1440" w:bottom="1440" w:gutter="0" w:footer="0" w:header="0"/>
          <w:type w:val="continuous"/>
        </w:sectPr>
      </w:pPr>
    </w:p>
    <w:p>
      <w:pPr>
        <w:jc w:val="center"/>
        <w:ind w:right="539"/>
        <w:spacing w:after="0"/>
        <w:rPr>
          <w:sz w:val="20"/>
          <w:szCs w:val="20"/>
          <w:color w:val="auto"/>
        </w:rPr>
      </w:pPr>
      <w:r>
        <w:rPr>
          <w:rFonts w:ascii="Arial" w:cs="Arial" w:eastAsia="Arial" w:hAnsi="Arial"/>
          <w:sz w:val="18"/>
          <w:szCs w:val="18"/>
          <w:b w:val="1"/>
          <w:bCs w:val="1"/>
          <w:color w:val="auto"/>
        </w:rPr>
        <w:t>REASONS FOR THE OFFER AND USE OF PROCEEDS</w:t>
      </w:r>
    </w:p>
    <w:p>
      <w:pPr>
        <w:spacing w:after="0" w:line="139" w:lineRule="exact"/>
        <w:rPr>
          <w:sz w:val="20"/>
          <w:szCs w:val="20"/>
          <w:color w:val="auto"/>
        </w:rPr>
      </w:pPr>
    </w:p>
    <w:p>
      <w:pPr>
        <w:ind w:left="40" w:right="659" w:firstLine="270"/>
        <w:spacing w:after="0" w:line="254" w:lineRule="auto"/>
        <w:rPr>
          <w:sz w:val="20"/>
          <w:szCs w:val="20"/>
          <w:color w:val="auto"/>
        </w:rPr>
      </w:pPr>
      <w:r>
        <w:rPr>
          <w:rFonts w:ascii="Arial" w:cs="Arial" w:eastAsia="Arial" w:hAnsi="Arial"/>
          <w:sz w:val="18"/>
          <w:szCs w:val="18"/>
          <w:color w:val="auto"/>
        </w:rPr>
        <w:t>Unless otherwise set forth in the related prospectus supplement or, if applicable, the pricing supplement, we intend to use the net proceeds from the sale of securities offered through this prospectus for general corporate purposes, which include financing our operations, capital expenditures and business development. The specific purpose of any individual issuance of securities will be described in the related prospectus supplement.</w:t>
      </w:r>
    </w:p>
    <w:p>
      <w:pPr>
        <w:spacing w:after="0" w:line="200" w:lineRule="exact"/>
        <w:rPr>
          <w:sz w:val="20"/>
          <w:szCs w:val="20"/>
          <w:color w:val="auto"/>
        </w:rPr>
      </w:pPr>
    </w:p>
    <w:p>
      <w:pPr>
        <w:spacing w:after="0" w:line="34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type w:val="continuous"/>
        </w:sectPr>
      </w:pPr>
    </w:p>
    <w:bookmarkStart w:id="34" w:name="page35"/>
    <w:bookmarkEnd w:id="34"/>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PRICE RANGE OF OUR ORDINARY SHARES</w:t>
      </w:r>
    </w:p>
    <w:p>
      <w:pPr>
        <w:spacing w:after="0" w:line="139" w:lineRule="exact"/>
        <w:rPr>
          <w:sz w:val="20"/>
          <w:szCs w:val="20"/>
          <w:color w:val="auto"/>
        </w:rPr>
      </w:pPr>
    </w:p>
    <w:p>
      <w:pPr>
        <w:ind w:left="180" w:right="599" w:firstLine="270"/>
        <w:spacing w:after="0" w:line="252" w:lineRule="auto"/>
        <w:rPr>
          <w:sz w:val="20"/>
          <w:szCs w:val="20"/>
          <w:color w:val="auto"/>
        </w:rPr>
      </w:pPr>
      <w:r>
        <w:rPr>
          <w:rFonts w:ascii="Arial" w:cs="Arial" w:eastAsia="Arial" w:hAnsi="Arial"/>
          <w:sz w:val="18"/>
          <w:szCs w:val="18"/>
          <w:color w:val="auto"/>
        </w:rPr>
        <w:t>Our ordinary shares were listed on the NASDAQ Capital Market under the symbol “ADHD” from May 22, 2013 until March 27, 2014. Since March 28, 2014, our ordinary shares have been listed on the NASDAQ Global Market. Prior to May 22, 2013, there was no public trading market for our ordinary shares. Our initial public offering was priced at $8.00 per share on May 21, 2013. The following table sets forth for the periods indicated the high and low sales prices per ordinary share as reported on the NASDAQ Capital Market through March 27, 2014, and, starting March 28, 2014,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21590</wp:posOffset>
            </wp:positionV>
            <wp:extent cx="47510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Annual Information:</w:t>
            </w:r>
          </w:p>
        </w:tc>
        <w:tc>
          <w:tcPr>
            <w:tcW w:w="1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High</w:t>
            </w:r>
          </w:p>
        </w:tc>
        <w:tc>
          <w:tcPr>
            <w:tcW w:w="1980" w:type="dxa"/>
            <w:vAlign w:val="bottom"/>
          </w:tcPr>
          <w:p>
            <w:pPr>
              <w:spacing w:after="0"/>
              <w:rPr>
                <w:sz w:val="15"/>
                <w:szCs w:val="15"/>
                <w:color w:val="auto"/>
              </w:rPr>
            </w:pPr>
          </w:p>
        </w:tc>
      </w:tr>
      <w:tr>
        <w:trPr>
          <w:trHeight w:val="196"/>
        </w:trPr>
        <w:tc>
          <w:tcPr>
            <w:tcW w:w="120" w:type="dxa"/>
            <w:vAlign w:val="bottom"/>
          </w:tcPr>
          <w:p>
            <w:pPr>
              <w:spacing w:after="0"/>
              <w:rPr>
                <w:sz w:val="17"/>
                <w:szCs w:val="17"/>
                <w:color w:val="auto"/>
              </w:rPr>
            </w:pPr>
          </w:p>
        </w:tc>
        <w:tc>
          <w:tcPr>
            <w:tcW w:w="3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2013</w:t>
            </w:r>
          </w:p>
        </w:tc>
        <w:tc>
          <w:tcPr>
            <w:tcW w:w="210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6.64</w:t>
            </w:r>
          </w:p>
        </w:tc>
        <w:tc>
          <w:tcPr>
            <w:tcW w:w="3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25.51</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Quarterly Information</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Second Quarter 2013</w:t>
            </w:r>
          </w:p>
        </w:tc>
        <w:tc>
          <w:tcPr>
            <w:tcW w:w="2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7.25</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Third Quarter 2013</w:t>
            </w:r>
          </w:p>
        </w:tc>
        <w:tc>
          <w:tcPr>
            <w:tcW w:w="2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6.84</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18.71</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Fourth Quarter 2013</w:t>
            </w:r>
          </w:p>
        </w:tc>
        <w:tc>
          <w:tcPr>
            <w:tcW w:w="2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15.51</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25.51</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First Quarter 2014</w:t>
            </w:r>
          </w:p>
        </w:tc>
        <w:tc>
          <w:tcPr>
            <w:tcW w:w="2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17.86</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25.02</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Second Quarter 2014</w:t>
            </w:r>
          </w:p>
        </w:tc>
        <w:tc>
          <w:tcPr>
            <w:tcW w:w="2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14.03</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20.62</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Monthly Information:</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January 2014</w:t>
            </w:r>
          </w:p>
        </w:tc>
        <w:tc>
          <w:tcPr>
            <w:tcW w:w="2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17.86</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23.10</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February 2014</w:t>
            </w:r>
          </w:p>
        </w:tc>
        <w:tc>
          <w:tcPr>
            <w:tcW w:w="2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19.95</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25.02</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March 2014</w:t>
            </w:r>
          </w:p>
        </w:tc>
        <w:tc>
          <w:tcPr>
            <w:tcW w:w="2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18.15</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23.61</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April 2014</w:t>
            </w:r>
          </w:p>
        </w:tc>
        <w:tc>
          <w:tcPr>
            <w:tcW w:w="2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14.03</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18.49</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May 2014</w:t>
            </w:r>
          </w:p>
        </w:tc>
        <w:tc>
          <w:tcPr>
            <w:tcW w:w="2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15.85</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17.31</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June 2014</w:t>
            </w:r>
          </w:p>
        </w:tc>
        <w:tc>
          <w:tcPr>
            <w:tcW w:w="2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16.44</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20.62</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July 2014 (through July 7, 2014)</w:t>
            </w:r>
          </w:p>
        </w:tc>
        <w:tc>
          <w:tcPr>
            <w:tcW w:w="2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17.94</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19.73</w:t>
            </w:r>
          </w:p>
        </w:tc>
        <w:tc>
          <w:tcPr>
            <w:tcW w:w="1980" w:type="dxa"/>
            <w:vAlign w:val="bottom"/>
          </w:tcPr>
          <w:p>
            <w:pPr>
              <w:spacing w:after="0"/>
              <w:rPr>
                <w:sz w:val="17"/>
                <w:szCs w:val="17"/>
                <w:color w:val="auto"/>
              </w:rPr>
            </w:pPr>
          </w:p>
        </w:tc>
      </w:tr>
      <w:tr>
        <w:trPr>
          <w:trHeight w:val="770"/>
        </w:trPr>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40" w:type="dxa"/>
            <w:vAlign w:val="bottom"/>
          </w:tcPr>
          <w:p>
            <w:pPr>
              <w:jc w:val="right"/>
              <w:ind w:right="5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600" w:type="dxa"/>
            <w:vAlign w:val="bottom"/>
            <w:tcBorders>
              <w:bottom w:val="single" w:sz="8" w:color="9A9A9A"/>
            </w:tcBorders>
          </w:tcPr>
          <w:p>
            <w:pPr>
              <w:spacing w:after="0"/>
              <w:rPr>
                <w:sz w:val="14"/>
                <w:szCs w:val="14"/>
                <w:color w:val="auto"/>
              </w:rPr>
            </w:pPr>
          </w:p>
        </w:tc>
        <w:tc>
          <w:tcPr>
            <w:tcW w:w="17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600" w:type="dxa"/>
            <w:vAlign w:val="bottom"/>
            <w:tcBorders>
              <w:bottom w:val="single" w:sz="8" w:color="EEEEEE"/>
            </w:tcBorders>
          </w:tcPr>
          <w:p>
            <w:pPr>
              <w:spacing w:after="0" w:line="20" w:lineRule="exact"/>
              <w:rPr>
                <w:sz w:val="1"/>
                <w:szCs w:val="1"/>
                <w:color w:val="auto"/>
              </w:rPr>
            </w:pPr>
          </w:p>
        </w:tc>
        <w:tc>
          <w:tcPr>
            <w:tcW w:w="17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DESCRIPTION OF OUR ORDINARY SHARES</w:t>
      </w:r>
    </w:p>
    <w:p>
      <w:pPr>
        <w:spacing w:after="0" w:line="139" w:lineRule="exact"/>
        <w:rPr>
          <w:sz w:val="20"/>
          <w:szCs w:val="20"/>
          <w:color w:val="auto"/>
        </w:rPr>
      </w:pPr>
    </w:p>
    <w:p>
      <w:pPr>
        <w:ind w:left="40" w:right="659" w:firstLine="270"/>
        <w:spacing w:after="0" w:line="253" w:lineRule="auto"/>
        <w:rPr>
          <w:sz w:val="20"/>
          <w:szCs w:val="20"/>
          <w:color w:val="auto"/>
        </w:rPr>
      </w:pPr>
      <w:r>
        <w:rPr>
          <w:rFonts w:ascii="Arial" w:cs="Arial" w:eastAsia="Arial" w:hAnsi="Arial"/>
          <w:sz w:val="18"/>
          <w:szCs w:val="18"/>
          <w:color w:val="auto"/>
        </w:rPr>
        <w:t>The following is a summary description of our ordinary shares under our amended and restated articles of association, or Articles of Association. Our share capital is NIS 500,000, consisting of 50,000,000 ordinary shares NIS 0.01 par value per share. The ordinary shares do not have cumulative voting rights in the election of directors. As a result, the holders of ordinary shares that represent more than 50% of the voting power have the power to elect all the directors.</w:t>
      </w:r>
    </w:p>
    <w:p>
      <w:pPr>
        <w:spacing w:after="0" w:line="79"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i w:val="1"/>
          <w:iCs w:val="1"/>
          <w:color w:val="auto"/>
        </w:rPr>
        <w:t xml:space="preserve">Dividend and Liquidation Rights. </w:t>
      </w:r>
      <w:r>
        <w:rPr>
          <w:rFonts w:ascii="Arial" w:cs="Arial" w:eastAsia="Arial" w:hAnsi="Arial"/>
          <w:sz w:val="18"/>
          <w:szCs w:val="18"/>
          <w:color w:val="auto"/>
        </w:rPr>
        <w:t>Our board of directors may declare a dividend to be paid to the holders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according to their rights and interests in our profits and may fix the record date for eligibility and the time for payment. The directors may from time to time pay to the shareholders on account of the next forthcoming dividend such interim dividends as, in their judgment, our position justifies. All dividends unclaimed for one year after having been declared may be invested or otherwise used by the directors for our benefit until claimed. No unpaid dividend or interest shall bear interest as against us. Our board of directors may determine that a dividend may be paid, wholly or partially, by the distribution of certain of our assets or by a distribution of paid up shares, debentures or debenture stock or any of our securities or of any other companies or in any one or more of such ways in the manner and to the extent permitted by the Israeli Companies Law 1999, or the Companies Law.</w:t>
      </w:r>
    </w:p>
    <w:p>
      <w:pPr>
        <w:spacing w:after="0" w:line="81"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i w:val="1"/>
          <w:iCs w:val="1"/>
          <w:color w:val="auto"/>
        </w:rPr>
        <w:t xml:space="preserve">Voting; annual, general and extraordinary meeting. </w:t>
      </w:r>
      <w:r>
        <w:rPr>
          <w:rFonts w:ascii="Arial" w:cs="Arial" w:eastAsia="Arial" w:hAnsi="Arial"/>
          <w:sz w:val="18"/>
          <w:szCs w:val="18"/>
          <w:color w:val="auto"/>
        </w:rPr>
        <w:t>Subject to any rights or restrictions for the time being attached</w:t>
      </w:r>
      <w:r>
        <w:rPr>
          <w:rFonts w:ascii="Arial" w:cs="Arial" w:eastAsia="Arial" w:hAnsi="Arial"/>
          <w:sz w:val="18"/>
          <w:szCs w:val="18"/>
          <w:i w:val="1"/>
          <w:iCs w:val="1"/>
          <w:color w:val="auto"/>
        </w:rPr>
        <w:t xml:space="preserve"> </w:t>
      </w:r>
      <w:r>
        <w:rPr>
          <w:rFonts w:ascii="Arial" w:cs="Arial" w:eastAsia="Arial" w:hAnsi="Arial"/>
          <w:sz w:val="18"/>
          <w:szCs w:val="18"/>
          <w:color w:val="auto"/>
        </w:rPr>
        <w:t>to any class or classes of shares, each shareholder shall have one vote for each share of which he or she is the holder, whether on a show of hands or on a poll. Our Articles of Association do not permit cumulative voting and it is not mandated by Israeli law. Votes may be given either personally or by proxy. A proxy need not be a shareholder. If any shareholder is without legal capacity, he may vote by means of a trustee or a legal custodian, who may vote either personally or by proxy. If two or more persons are jointly entitled to a share then, in voting upon any question, the vote of the senior person who tenders a vote, whether in person or by proxy, shall be accepted to the exclusion of the votes of the other registered holders of the share and, for this purpose seniority shall be determined by the order in which the names stand in the shareholder register.</w:t>
      </w:r>
    </w:p>
    <w:p>
      <w:pPr>
        <w:spacing w:after="0" w:line="81"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i w:val="1"/>
          <w:iCs w:val="1"/>
          <w:color w:val="auto"/>
        </w:rPr>
        <w:t xml:space="preserve">Quorum for general meetings. </w:t>
      </w:r>
      <w:r>
        <w:rPr>
          <w:rFonts w:ascii="Arial" w:cs="Arial" w:eastAsia="Arial" w:hAnsi="Arial"/>
          <w:sz w:val="18"/>
          <w:szCs w:val="18"/>
          <w:color w:val="auto"/>
        </w:rPr>
        <w:t>The quorum required for our general meetings of shareholders consists of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two shareholders present in person, by proxy or written ballot who holds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75"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i w:val="1"/>
          <w:iCs w:val="1"/>
          <w:color w:val="auto"/>
        </w:rPr>
        <w:t xml:space="preserve">Notice of general meetings. </w:t>
      </w:r>
      <w:r>
        <w:rPr>
          <w:rFonts w:ascii="Arial" w:cs="Arial" w:eastAsia="Arial" w:hAnsi="Arial"/>
          <w:sz w:val="18"/>
          <w:szCs w:val="18"/>
          <w:color w:val="auto"/>
        </w:rPr>
        <w:t>Unless a longer period for notice is prescribed by the Companies Law, at least 10 days</w:t>
      </w:r>
      <w:r>
        <w:rPr>
          <w:rFonts w:ascii="Arial" w:cs="Arial" w:eastAsia="Arial" w:hAnsi="Arial"/>
          <w:sz w:val="18"/>
          <w:szCs w:val="18"/>
          <w:i w:val="1"/>
          <w:iCs w:val="1"/>
          <w:color w:val="auto"/>
        </w:rPr>
        <w:t xml:space="preserve"> </w:t>
      </w:r>
      <w:r>
        <w:rPr>
          <w:rFonts w:ascii="Arial" w:cs="Arial" w:eastAsia="Arial" w:hAnsi="Arial"/>
          <w:sz w:val="18"/>
          <w:szCs w:val="18"/>
          <w:color w:val="auto"/>
        </w:rPr>
        <w:t>and not more than 60 days’ notice of any general meeting shall be given, specifying the place, the day and the hour of the meeting and, in the case of special business, the nature of such business, shall be given in the manner hereinafter mentioned, to such shareholders as are under the provisions of our Articles of Association, entitled to receive notices from us. Only shareholders of record as reflected on our share register at the close of business on the date fixed by the board of directors as the record date determining the then shareholders who will be entitled to vote, shall be entitled to notice of, and to vote, in person or by proxy, at a general meeting and any postponement or adjournment thereof.</w:t>
      </w:r>
    </w:p>
    <w:p>
      <w:pPr>
        <w:spacing w:after="0" w:line="81"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i w:val="1"/>
          <w:iCs w:val="1"/>
          <w:color w:val="auto"/>
        </w:rPr>
        <w:t xml:space="preserve">Annual general meetings; agenda; calling a general meeting. </w:t>
      </w:r>
      <w:r>
        <w:rPr>
          <w:rFonts w:ascii="Arial" w:cs="Arial" w:eastAsia="Arial" w:hAnsi="Arial"/>
          <w:sz w:val="18"/>
          <w:szCs w:val="18"/>
          <w:color w:val="auto"/>
        </w:rPr>
        <w:t>General meetings are held at least once in every</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 at such time (within a period of 15 months after the holding of the last preceding general meeting), and at such time and place as may be determined by the board of directors. At a general meeting, decisions shall be adopted only on matters that were specified on the agenda. The board of directors is obligated to call extraordinary general meeting of the shareholders upon a written request in accordance with the Companies Law. The Companies Law provides that an extraordinary general meeting of shareholder may be called by the board of directors or by a request of two directors or 25% of the directors in office, or by shareholders holding at least 5% of the issued share capital of the company and at least 1% of the voting rights, or of shareholders holding at least 5% of the voting rights of the company.</w:t>
      </w:r>
    </w:p>
    <w:p>
      <w:pPr>
        <w:spacing w:after="0" w:line="200" w:lineRule="exact"/>
        <w:rPr>
          <w:sz w:val="20"/>
          <w:szCs w:val="20"/>
          <w:color w:val="auto"/>
        </w:rPr>
      </w:pPr>
    </w:p>
    <w:p>
      <w:pPr>
        <w:spacing w:after="0" w:line="34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ind w:left="40" w:right="539" w:firstLine="270"/>
        <w:spacing w:after="0" w:line="261" w:lineRule="auto"/>
        <w:rPr>
          <w:sz w:val="20"/>
          <w:szCs w:val="20"/>
          <w:color w:val="auto"/>
        </w:rPr>
      </w:pPr>
      <w:r>
        <w:rPr>
          <w:rFonts w:ascii="Arial" w:cs="Arial" w:eastAsia="Arial" w:hAnsi="Arial"/>
          <w:sz w:val="18"/>
          <w:szCs w:val="18"/>
          <w:i w:val="1"/>
          <w:iCs w:val="1"/>
          <w:color w:val="auto"/>
        </w:rPr>
        <w:t xml:space="preserve">Majority vote. </w:t>
      </w:r>
      <w:r>
        <w:rPr>
          <w:rFonts w:ascii="Arial" w:cs="Arial" w:eastAsia="Arial" w:hAnsi="Arial"/>
          <w:sz w:val="18"/>
          <w:szCs w:val="18"/>
          <w:color w:val="auto"/>
        </w:rPr>
        <w:t>Except as otherwise provided in the Articles of Association, any resolution at a general meeting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deemed adopted if approved by the holders of a majority of our voting rights represented at the meeting in person or by proxy and voting thereon. In the case of an equality of votes, the chairman of the meeting shall not be entitled to a further vote.</w:t>
      </w:r>
    </w:p>
    <w:p>
      <w:pPr>
        <w:spacing w:after="0" w:line="72" w:lineRule="exact"/>
        <w:rPr>
          <w:sz w:val="20"/>
          <w:szCs w:val="20"/>
          <w:color w:val="auto"/>
        </w:rPr>
      </w:pPr>
    </w:p>
    <w:p>
      <w:pPr>
        <w:ind w:left="40" w:right="739" w:firstLine="270"/>
        <w:spacing w:after="0" w:line="266" w:lineRule="auto"/>
        <w:rPr>
          <w:sz w:val="20"/>
          <w:szCs w:val="20"/>
          <w:color w:val="auto"/>
        </w:rPr>
      </w:pPr>
      <w:r>
        <w:rPr>
          <w:rFonts w:ascii="Arial" w:cs="Arial" w:eastAsia="Arial" w:hAnsi="Arial"/>
          <w:sz w:val="18"/>
          <w:szCs w:val="18"/>
          <w:i w:val="1"/>
          <w:iCs w:val="1"/>
          <w:color w:val="auto"/>
        </w:rPr>
        <w:t xml:space="preserve">No discrimination against shareholders. </w:t>
      </w:r>
      <w:r>
        <w:rPr>
          <w:rFonts w:ascii="Arial" w:cs="Arial" w:eastAsia="Arial" w:hAnsi="Arial"/>
          <w:sz w:val="18"/>
          <w:szCs w:val="18"/>
          <w:color w:val="auto"/>
        </w:rPr>
        <w:t>According to our Articles of Association, there are no discriminating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against any existing or prospective holders of our shares as a result of a shareholder holding a substantial number of shares.</w:t>
      </w:r>
    </w:p>
    <w:p>
      <w:pPr>
        <w:spacing w:after="0" w:line="68" w:lineRule="exact"/>
        <w:rPr>
          <w:sz w:val="20"/>
          <w:szCs w:val="20"/>
          <w:color w:val="auto"/>
        </w:rPr>
      </w:pPr>
    </w:p>
    <w:p>
      <w:pPr>
        <w:ind w:left="40" w:right="679" w:firstLine="270"/>
        <w:spacing w:after="0" w:line="258" w:lineRule="auto"/>
        <w:rPr>
          <w:sz w:val="20"/>
          <w:szCs w:val="20"/>
          <w:color w:val="auto"/>
        </w:rPr>
      </w:pPr>
      <w:r>
        <w:rPr>
          <w:rFonts w:ascii="Arial" w:cs="Arial" w:eastAsia="Arial" w:hAnsi="Arial"/>
          <w:sz w:val="18"/>
          <w:szCs w:val="18"/>
          <w:i w:val="1"/>
          <w:iCs w:val="1"/>
          <w:color w:val="auto"/>
        </w:rPr>
        <w:t xml:space="preserve">Transfer of Shares; record dates. </w:t>
      </w:r>
      <w:r>
        <w:rPr>
          <w:rFonts w:ascii="Arial" w:cs="Arial" w:eastAsia="Arial" w:hAnsi="Arial"/>
          <w:sz w:val="18"/>
          <w:szCs w:val="18"/>
          <w:color w:val="auto"/>
        </w:rPr>
        <w:t>Fully paid up ordinary shares may be freely transferred pursuant to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unless such transfer is restricted or prohibited by another instrument or securities laws. Each shareholder who would be entitled to attend and vote at a general meeting of shareholders is entitled to receive notice of any such meeting. For purposes of determining the shareholders entitled to notice and to vote at such meeting, the board of directors will fix a record date.</w:t>
      </w:r>
    </w:p>
    <w:p>
      <w:pPr>
        <w:spacing w:after="0" w:line="76"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i w:val="1"/>
          <w:iCs w:val="1"/>
          <w:color w:val="auto"/>
        </w:rPr>
        <w:t xml:space="preserve">Modification of Class Rights. </w:t>
      </w:r>
      <w:r>
        <w:rPr>
          <w:rFonts w:ascii="Arial" w:cs="Arial" w:eastAsia="Arial" w:hAnsi="Arial"/>
          <w:sz w:val="18"/>
          <w:szCs w:val="18"/>
          <w:color w:val="auto"/>
        </w:rPr>
        <w:t>If, at any time, the share capital is divided into different classes of shares, the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attached to any class (unless otherwise provided by the terms of issuance of the shares of that class) may be varied with the consent in writing of the holders of all the issued shares of that class, or with the sanction of a majority vote at a meeting of the shareholders passed at a separate meeting of the holders of the shares of the class. The provisions of our Articles of Association relating to general meetings shall apply, mutatis mutandis, to every such separate general meeting. Any holder of shares of the class present in person or by proxy may demand a secret poll.</w:t>
      </w:r>
    </w:p>
    <w:p>
      <w:pPr>
        <w:spacing w:after="0" w:line="93" w:lineRule="exact"/>
        <w:rPr>
          <w:sz w:val="20"/>
          <w:szCs w:val="20"/>
          <w:color w:val="auto"/>
        </w:rPr>
      </w:pPr>
    </w:p>
    <w:p>
      <w:pPr>
        <w:ind w:left="40" w:right="739" w:firstLine="270"/>
        <w:spacing w:after="0" w:line="254" w:lineRule="auto"/>
        <w:rPr>
          <w:sz w:val="20"/>
          <w:szCs w:val="20"/>
          <w:color w:val="auto"/>
        </w:rPr>
      </w:pPr>
      <w:r>
        <w:rPr>
          <w:rFonts w:ascii="Arial" w:cs="Arial" w:eastAsia="Arial" w:hAnsi="Arial"/>
          <w:sz w:val="18"/>
          <w:szCs w:val="18"/>
          <w:color w:val="auto"/>
        </w:rPr>
        <w:t>Unless otherwise provided by the conditions of issuance, the enlargement of an existing class of shares, or the issuance of additional shares thereof, shall not be deemed to modify or abrogate the rights attached to the previously issued shares of such class or of any other class. These conditions provide for the minimum shareholder approvals permitted by the Companies Law.</w:t>
      </w:r>
    </w:p>
    <w:p>
      <w:pPr>
        <w:spacing w:after="0" w:line="78" w:lineRule="exact"/>
        <w:rPr>
          <w:sz w:val="20"/>
          <w:szCs w:val="20"/>
          <w:color w:val="auto"/>
        </w:rPr>
      </w:pPr>
    </w:p>
    <w:p>
      <w:pPr>
        <w:ind w:left="40" w:right="679" w:firstLine="270"/>
        <w:spacing w:after="0" w:line="266" w:lineRule="auto"/>
        <w:rPr>
          <w:sz w:val="20"/>
          <w:szCs w:val="20"/>
          <w:color w:val="auto"/>
        </w:rPr>
      </w:pPr>
      <w:r>
        <w:rPr>
          <w:rFonts w:ascii="Arial" w:cs="Arial" w:eastAsia="Arial" w:hAnsi="Arial"/>
          <w:sz w:val="18"/>
          <w:szCs w:val="18"/>
          <w:i w:val="1"/>
          <w:iCs w:val="1"/>
          <w:color w:val="auto"/>
        </w:rPr>
        <w:t xml:space="preserve">Restrictions on Shareholders Rights to Own Securities. </w:t>
      </w:r>
      <w:r>
        <w:rPr>
          <w:rFonts w:ascii="Arial" w:cs="Arial" w:eastAsia="Arial" w:hAnsi="Arial"/>
          <w:sz w:val="18"/>
          <w:szCs w:val="18"/>
          <w:color w:val="auto"/>
        </w:rPr>
        <w:t>Our Articles of Association and the laws of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Israel do not restrict in any way the ownership or voting or our shares by nonresidents of Israel, except with respect to subjects of countries which are in a state of war with Israel.</w:t>
      </w:r>
    </w:p>
    <w:p>
      <w:pPr>
        <w:spacing w:after="0" w:line="68"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Other than external directors, as defined in the Companies Law, for whom special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and terms of office apply under the Companies Law, our directors are each elected at a general meeting of our shareholders and serve for a term of roughly one year. Directors may nevertheless be removed prior to the end of their term by the majority of our shareholders at a general meeting of our shareholders or upon the occurrence of certain events, all in accordance with the Companies Law and our Articles of Association. In addition, our Articles of Association allow our board of directors to appoint directors, other than external directors, to fill vacancies on our board of directors, for a term of office which shall continue until the next annual meeting following his or her appointment.</w:t>
      </w:r>
    </w:p>
    <w:p>
      <w:pPr>
        <w:spacing w:after="0" w:line="99" w:lineRule="exact"/>
        <w:rPr>
          <w:sz w:val="20"/>
          <w:szCs w:val="20"/>
          <w:color w:val="auto"/>
        </w:rPr>
      </w:pPr>
    </w:p>
    <w:p>
      <w:pPr>
        <w:ind w:left="40" w:right="539" w:firstLine="270"/>
        <w:spacing w:after="0" w:line="256" w:lineRule="auto"/>
        <w:rPr>
          <w:sz w:val="20"/>
          <w:szCs w:val="20"/>
          <w:color w:val="auto"/>
        </w:rPr>
      </w:pPr>
      <w:r>
        <w:rPr>
          <w:rFonts w:ascii="Arial" w:cs="Arial" w:eastAsia="Arial" w:hAnsi="Arial"/>
          <w:sz w:val="18"/>
          <w:szCs w:val="18"/>
          <w:color w:val="auto"/>
        </w:rPr>
        <w:t>External directors are elected for an initial term of three years and may be elected for up to two additional three-year terms (or more) under certain circumstances. External directors may be removed from office only under the limited circumstances set forth in the Companies Law.</w:t>
      </w:r>
    </w:p>
    <w:p>
      <w:pPr>
        <w:spacing w:after="0" w:line="200" w:lineRule="exact"/>
        <w:rPr>
          <w:sz w:val="20"/>
          <w:szCs w:val="20"/>
          <w:color w:val="auto"/>
        </w:rPr>
      </w:pPr>
    </w:p>
    <w:p>
      <w:pPr>
        <w:spacing w:after="0" w:line="34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PLAN OF DISTRIBUTION</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may sell the securities being offered hereby in one or more of the following methods from time to time:</w:t>
      </w:r>
    </w:p>
    <w:p>
      <w:pPr>
        <w:spacing w:after="0" w:line="117" w:lineRule="exact"/>
        <w:rPr>
          <w:sz w:val="20"/>
          <w:szCs w:val="20"/>
          <w:color w:val="auto"/>
        </w:rPr>
      </w:pPr>
    </w:p>
    <w:p>
      <w:pPr>
        <w:ind w:left="600" w:right="919" w:hanging="322"/>
        <w:spacing w:after="0" w:line="291" w:lineRule="auto"/>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block trade (which may involve crosses) in which the broker or dealer so engaged will attempt to sell the securities as agent but may position and resell a portion of the block as principal to facilitate the transaction;</w:t>
      </w:r>
    </w:p>
    <w:p>
      <w:pPr>
        <w:spacing w:after="0" w:line="66" w:lineRule="exact"/>
        <w:rPr>
          <w:rFonts w:ascii="Arial" w:cs="Arial" w:eastAsia="Arial" w:hAnsi="Arial"/>
          <w:sz w:val="17"/>
          <w:szCs w:val="17"/>
          <w:color w:val="auto"/>
        </w:rPr>
      </w:pPr>
    </w:p>
    <w:p>
      <w:pPr>
        <w:ind w:left="600" w:right="599" w:hanging="322"/>
        <w:spacing w:after="0" w:line="262"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own account pursuant to this prospectus;</w:t>
      </w:r>
    </w:p>
    <w:p>
      <w:pPr>
        <w:spacing w:after="0" w:line="88"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exchange distributions and/or secondary distributions;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one or more underwriters for resale to the public or to investors;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600" w:right="839" w:hanging="322"/>
        <w:spacing w:after="0" w:line="262"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88" w:lineRule="exact"/>
        <w:rPr>
          <w:rFonts w:ascii="Arial" w:cs="Arial" w:eastAsia="Arial" w:hAnsi="Arial"/>
          <w:sz w:val="18"/>
          <w:szCs w:val="18"/>
          <w:color w:val="auto"/>
        </w:rPr>
      </w:pPr>
    </w:p>
    <w:p>
      <w:pPr>
        <w:ind w:left="600" w:right="1059" w:hanging="322"/>
        <w:spacing w:after="0" w:line="262"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transactions not involving market makers or established trading markets, including direct sales or privately negotiated transactions;</w:t>
      </w:r>
    </w:p>
    <w:p>
      <w:pPr>
        <w:spacing w:after="0" w:line="88"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securities that we distribute by any of these methods may be sold, in one or more transactions, at:</w:t>
      </w:r>
    </w:p>
    <w:p>
      <w:pPr>
        <w:spacing w:after="0" w:line="117" w:lineRule="exact"/>
        <w:rPr>
          <w:sz w:val="20"/>
          <w:szCs w:val="20"/>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prices related to prevailing market prices;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set forth in a prospectus supplement the terms of the offering of securities, including:</w:t>
      </w:r>
    </w:p>
    <w:p>
      <w:pPr>
        <w:spacing w:after="0" w:line="117" w:lineRule="exact"/>
        <w:rPr>
          <w:sz w:val="20"/>
          <w:szCs w:val="20"/>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 or names of any agents, dealers or underwriters;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 and the proceeds we will receive from the sale;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securities exchanges or markets on which such securities may be listed.</w:t>
      </w:r>
    </w:p>
    <w:p>
      <w:pPr>
        <w:spacing w:after="0" w:line="117" w:lineRule="exact"/>
        <w:rPr>
          <w:sz w:val="20"/>
          <w:szCs w:val="20"/>
          <w:color w:val="auto"/>
        </w:rPr>
      </w:pPr>
    </w:p>
    <w:p>
      <w:pPr>
        <w:ind w:left="40" w:right="539" w:firstLine="270"/>
        <w:spacing w:after="0" w:line="251" w:lineRule="auto"/>
        <w:rPr>
          <w:sz w:val="20"/>
          <w:szCs w:val="20"/>
          <w:color w:val="auto"/>
        </w:rPr>
      </w:pPr>
      <w:r>
        <w:rPr>
          <w:rFonts w:ascii="Arial" w:cs="Arial" w:eastAsia="Arial" w:hAnsi="Arial"/>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200" w:lineRule="exact"/>
        <w:rPr>
          <w:sz w:val="20"/>
          <w:szCs w:val="20"/>
          <w:color w:val="auto"/>
        </w:rPr>
      </w:pPr>
    </w:p>
    <w:p>
      <w:pPr>
        <w:spacing w:after="0" w:line="3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8" w:name="page39"/>
    <w:bookmarkEnd w:id="3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60" w:right="679" w:firstLine="270"/>
        <w:spacing w:after="0" w:line="25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also sell securities directly to one or more purchasers without using underwriters or agents.</w:t>
      </w:r>
    </w:p>
    <w:p>
      <w:pPr>
        <w:spacing w:after="0" w:line="117" w:lineRule="exact"/>
        <w:rPr>
          <w:sz w:val="20"/>
          <w:szCs w:val="20"/>
          <w:color w:val="auto"/>
        </w:rPr>
      </w:pPr>
    </w:p>
    <w:p>
      <w:pPr>
        <w:ind w:left="60" w:right="539" w:firstLine="270"/>
        <w:spacing w:after="0" w:line="252"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spacing w:after="0" w:line="99" w:lineRule="exact"/>
        <w:rPr>
          <w:sz w:val="20"/>
          <w:szCs w:val="20"/>
          <w:color w:val="auto"/>
        </w:rPr>
      </w:pPr>
    </w:p>
    <w:p>
      <w:pPr>
        <w:ind w:left="60" w:right="619" w:firstLine="270"/>
        <w:spacing w:after="0" w:line="254" w:lineRule="auto"/>
        <w:rPr>
          <w:sz w:val="20"/>
          <w:szCs w:val="20"/>
          <w:color w:val="auto"/>
        </w:rPr>
      </w:pPr>
      <w:r>
        <w:rPr>
          <w:rFonts w:ascii="Arial" w:cs="Arial" w:eastAsia="Arial" w:hAnsi="Arial"/>
          <w:sz w:val="18"/>
          <w:szCs w:val="18"/>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w:t>
      </w:r>
    </w:p>
    <w:p>
      <w:pPr>
        <w:spacing w:after="0" w:line="96" w:lineRule="exact"/>
        <w:rPr>
          <w:sz w:val="20"/>
          <w:szCs w:val="20"/>
          <w:color w:val="auto"/>
        </w:rPr>
      </w:pPr>
    </w:p>
    <w:p>
      <w:pPr>
        <w:ind w:left="60" w:right="559" w:firstLine="270"/>
        <w:spacing w:after="0" w:line="251" w:lineRule="auto"/>
        <w:rPr>
          <w:sz w:val="20"/>
          <w:szCs w:val="20"/>
          <w:color w:val="auto"/>
        </w:rPr>
      </w:pPr>
      <w:r>
        <w:rPr>
          <w:rFonts w:ascii="Arial" w:cs="Arial" w:eastAsia="Arial" w:hAnsi="Arial"/>
          <w:sz w:val="18"/>
          <w:szCs w:val="18"/>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Nasdaq Global Market or otherwise and, if commenced, may be discontinued at any time.</w:t>
      </w:r>
    </w:p>
    <w:p>
      <w:pPr>
        <w:spacing w:after="0" w:line="105" w:lineRule="exact"/>
        <w:rPr>
          <w:sz w:val="20"/>
          <w:szCs w:val="20"/>
          <w:color w:val="auto"/>
        </w:rPr>
      </w:pPr>
    </w:p>
    <w:p>
      <w:pPr>
        <w:ind w:left="60" w:right="559" w:firstLine="270"/>
        <w:spacing w:after="0" w:line="256"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commission or discount to be received by any FINRA member or independent broker dealer may not exceed 8% of the aggregate amount of the securities offered pursuant to this prospectus and any applicable prospectus supplement.</w:t>
      </w:r>
    </w:p>
    <w:p>
      <w:pPr>
        <w:spacing w:after="0" w:line="18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EXPENSES</w:t>
      </w:r>
    </w:p>
    <w:p>
      <w:pPr>
        <w:spacing w:after="0" w:line="139" w:lineRule="exact"/>
        <w:rPr>
          <w:sz w:val="20"/>
          <w:szCs w:val="20"/>
          <w:color w:val="auto"/>
        </w:rPr>
      </w:pPr>
    </w:p>
    <w:p>
      <w:pPr>
        <w:ind w:left="60" w:right="639" w:firstLine="270"/>
        <w:spacing w:after="0" w:line="254" w:lineRule="auto"/>
        <w:rPr>
          <w:sz w:val="20"/>
          <w:szCs w:val="20"/>
          <w:color w:val="auto"/>
        </w:rPr>
      </w:pPr>
      <w:r>
        <w:rPr>
          <w:rFonts w:ascii="Arial" w:cs="Arial" w:eastAsia="Arial" w:hAnsi="Arial"/>
          <w:sz w:val="18"/>
          <w:szCs w:val="18"/>
          <w:color w:val="auto"/>
        </w:rPr>
        <w:t>We are paying all of the expenses of the registration of our securities under the Securities Act, including, to the extent applicable, registration and filing fees, printing and duplication expenses, administrative expenses, accounting fees and the legal fees of our counsel. We estimate these expenses to be approximately $30,000 which at the present time include the following categories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18415</wp:posOffset>
            </wp:positionV>
            <wp:extent cx="47510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ind w:left="20"/>
              <w:spacing w:after="0"/>
              <w:rPr>
                <w:sz w:val="20"/>
                <w:szCs w:val="20"/>
                <w:color w:val="auto"/>
              </w:rPr>
            </w:pPr>
            <w:r>
              <w:rPr>
                <w:rFonts w:ascii="Arial" w:cs="Arial" w:eastAsia="Arial" w:hAnsi="Arial"/>
                <w:sz w:val="18"/>
                <w:szCs w:val="18"/>
                <w:color w:val="auto"/>
              </w:rPr>
              <w:t>SEC registration fee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12,880</w:t>
            </w:r>
          </w:p>
        </w:tc>
        <w:tc>
          <w:tcPr>
            <w:tcW w:w="80" w:type="dxa"/>
            <w:vAlign w:val="bottom"/>
          </w:tcPr>
          <w:p>
            <w:pPr>
              <w:spacing w:after="0"/>
              <w:rPr>
                <w:sz w:val="18"/>
                <w:szCs w:val="18"/>
                <w:color w:val="auto"/>
              </w:rPr>
            </w:pPr>
          </w:p>
        </w:tc>
      </w:tr>
      <w:tr>
        <w:trPr>
          <w:trHeight w:val="203"/>
        </w:trPr>
        <w:tc>
          <w:tcPr>
            <w:tcW w:w="6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Legal fees and expenses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Accounting fees and expenses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80" w:type="dxa"/>
            <w:vAlign w:val="bottom"/>
          </w:tcPr>
          <w:p>
            <w:pPr>
              <w:spacing w:after="0"/>
              <w:rPr>
                <w:sz w:val="17"/>
                <w:szCs w:val="17"/>
                <w:color w:val="auto"/>
              </w:rPr>
            </w:pPr>
          </w:p>
        </w:tc>
      </w:tr>
      <w:tr>
        <w:trPr>
          <w:trHeight w:val="203"/>
        </w:trPr>
        <w:tc>
          <w:tcPr>
            <w:tcW w:w="65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Miscellaneous expenses</w:t>
            </w:r>
          </w:p>
        </w:tc>
        <w:tc>
          <w:tcPr>
            <w:tcW w:w="2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5,120</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6"/>
        </w:trPr>
        <w:tc>
          <w:tcPr>
            <w:tcW w:w="65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30,000</w:t>
            </w:r>
          </w:p>
        </w:tc>
        <w:tc>
          <w:tcPr>
            <w:tcW w:w="80" w:type="dxa"/>
            <w:vAlign w:val="bottom"/>
          </w:tcPr>
          <w:p>
            <w:pPr>
              <w:spacing w:after="0"/>
              <w:rPr>
                <w:sz w:val="17"/>
                <w:szCs w:val="17"/>
                <w:color w:val="auto"/>
              </w:rPr>
            </w:pPr>
          </w:p>
        </w:tc>
      </w:tr>
      <w:tr>
        <w:trPr>
          <w:trHeight w:val="21"/>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-170815</wp:posOffset>
            </wp:positionV>
            <wp:extent cx="475107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87" w:lineRule="exact"/>
        <w:rPr>
          <w:sz w:val="20"/>
          <w:szCs w:val="20"/>
          <w:color w:val="auto"/>
        </w:rPr>
      </w:pPr>
    </w:p>
    <w:p>
      <w:pPr>
        <w:ind w:left="60" w:right="639" w:firstLine="270"/>
        <w:spacing w:after="0" w:line="262" w:lineRule="auto"/>
        <w:rPr>
          <w:sz w:val="20"/>
          <w:szCs w:val="20"/>
          <w:color w:val="auto"/>
        </w:rPr>
      </w:pPr>
      <w:r>
        <w:rPr>
          <w:rFonts w:ascii="Arial" w:cs="Arial" w:eastAsia="Arial" w:hAnsi="Arial"/>
          <w:sz w:val="18"/>
          <w:szCs w:val="18"/>
          <w:color w:val="auto"/>
        </w:rPr>
        <w:t>In addition, we anticipate incurring additional expenses in the future in connection with the offering of our securities pursuant to this prospectus. Any such additional expenses will be disclosed in a prospectus supplement.</w:t>
      </w:r>
    </w:p>
    <w:p>
      <w:pPr>
        <w:spacing w:after="0" w:line="200" w:lineRule="exact"/>
        <w:rPr>
          <w:sz w:val="20"/>
          <w:szCs w:val="20"/>
          <w:color w:val="auto"/>
        </w:rPr>
      </w:pPr>
    </w:p>
    <w:p>
      <w:pPr>
        <w:spacing w:after="0" w:line="33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LEGAL MATTERS</w:t>
      </w:r>
    </w:p>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The validity of the ordinary shares offered in this prospectus will be passed upon for us by Zysman, Aharoni, Gayer</w:t>
      </w:r>
    </w:p>
    <w:p>
      <w:pPr>
        <w:spacing w:after="0" w:line="9" w:lineRule="exact"/>
        <w:rPr>
          <w:sz w:val="20"/>
          <w:szCs w:val="20"/>
          <w:color w:val="auto"/>
        </w:rPr>
      </w:pPr>
    </w:p>
    <w:p>
      <w:pPr>
        <w:ind w:left="40" w:right="839" w:firstLine="8"/>
        <w:spacing w:after="0" w:line="262" w:lineRule="auto"/>
        <w:tabs>
          <w:tab w:leader="none" w:pos="2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 Tel Aviv, Israel. Zysman, Aharoni, Gayer and Sullivan &amp; Worcester LLP, New York, New York, is acting as our counsel in connection with United States securities laws.</w:t>
      </w:r>
    </w:p>
    <w:p>
      <w:pPr>
        <w:spacing w:after="0" w:line="17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EXPERTS</w:t>
      </w:r>
    </w:p>
    <w:p>
      <w:pPr>
        <w:spacing w:after="0" w:line="139" w:lineRule="exact"/>
        <w:rPr>
          <w:sz w:val="20"/>
          <w:szCs w:val="20"/>
          <w:color w:val="auto"/>
        </w:rPr>
      </w:pPr>
    </w:p>
    <w:p>
      <w:pPr>
        <w:ind w:left="40" w:right="639" w:firstLine="270"/>
        <w:spacing w:after="0" w:line="253" w:lineRule="auto"/>
        <w:rPr>
          <w:sz w:val="20"/>
          <w:szCs w:val="20"/>
          <w:color w:val="auto"/>
        </w:rPr>
      </w:pPr>
      <w:r>
        <w:rPr>
          <w:rFonts w:ascii="Arial" w:cs="Arial" w:eastAsia="Arial" w:hAnsi="Arial"/>
          <w:sz w:val="18"/>
          <w:szCs w:val="18"/>
          <w:color w:val="auto"/>
        </w:rPr>
        <w:t>The financial statements, incorporated in this prospectus by reference from the Company's Annual Report on Form 20-F, have been audited by Kost Forer Gabbay &amp; Kasierer, a member of EY Global, an independent registered public accounting firm, as stated in their report, which is incorporated herein by reference. Such financial statements have been so incorporated in reliance upon the reports of such firm given upon their authority as experts in accounting and auditing.</w:t>
      </w:r>
    </w:p>
    <w:p>
      <w:pPr>
        <w:spacing w:after="0" w:line="18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AND INCORPORATION OF CERTAIN INFORMATION BY REFERENCE</w:t>
      </w:r>
    </w:p>
    <w:p>
      <w:pPr>
        <w:spacing w:after="0" w:line="117" w:lineRule="exact"/>
        <w:rPr>
          <w:sz w:val="20"/>
          <w:szCs w:val="20"/>
          <w:color w:val="auto"/>
        </w:rPr>
      </w:pPr>
    </w:p>
    <w:p>
      <w:pPr>
        <w:ind w:left="40" w:right="579" w:firstLine="270"/>
        <w:spacing w:after="0" w:line="254" w:lineRule="auto"/>
        <w:rPr>
          <w:sz w:val="20"/>
          <w:szCs w:val="20"/>
          <w:color w:val="auto"/>
        </w:rPr>
      </w:pPr>
      <w:r>
        <w:rPr>
          <w:rFonts w:ascii="Arial" w:cs="Arial" w:eastAsia="Arial" w:hAnsi="Arial"/>
          <w:sz w:val="18"/>
          <w:szCs w:val="18"/>
          <w:color w:val="auto"/>
        </w:rPr>
        <w:t>We are an Israeli company and are a “foreign private issuer” as defined in Rule 3b -4 under the Securities Exchange Act of 1934, as amended, or the Exchange Act. As a result, (1) our proxy solicitations are not subject to the disclosure and procedural requirements of Regulation 14A under the Exchange Act, and (2) transactions in our equity securities by our officers and directors are exempt from Section 16 of the Exchange Act.</w:t>
      </w:r>
    </w:p>
    <w:p>
      <w:pPr>
        <w:spacing w:after="0" w:line="96" w:lineRule="exact"/>
        <w:rPr>
          <w:sz w:val="20"/>
          <w:szCs w:val="20"/>
          <w:color w:val="auto"/>
        </w:rPr>
      </w:pPr>
    </w:p>
    <w:p>
      <w:pPr>
        <w:ind w:left="40" w:right="519" w:firstLine="270"/>
        <w:spacing w:after="0" w:line="252" w:lineRule="auto"/>
        <w:rPr>
          <w:sz w:val="20"/>
          <w:szCs w:val="20"/>
          <w:color w:val="auto"/>
        </w:rPr>
      </w:pPr>
      <w:r>
        <w:rPr>
          <w:rFonts w:ascii="Arial" w:cs="Arial" w:eastAsia="Arial" w:hAnsi="Arial"/>
          <w:sz w:val="18"/>
          <w:szCs w:val="18"/>
          <w:color w:val="auto"/>
        </w:rPr>
        <w:t>In addition, we are not required to file reports and financial statements with the SEC as frequently or as promptly as U.S. companies whose securities are registered under the Exchange Act. However, we file with the SEC an Annual Report on Form 20-F containing financial statements audited by an independent registered public accounting firm. We also furnish reports on Form 6-K containing unaudited financial information for each calendar quarter and other material information that we are required to make public, that we file with, and that is made public by, any stock exchange on which our shares are traded, or that we distribute, or that is required to be distributed by us, to our shareholders.</w:t>
      </w:r>
    </w:p>
    <w:p>
      <w:pPr>
        <w:spacing w:after="0" w:line="101" w:lineRule="exact"/>
        <w:rPr>
          <w:sz w:val="20"/>
          <w:szCs w:val="20"/>
          <w:color w:val="auto"/>
        </w:rPr>
      </w:pPr>
    </w:p>
    <w:p>
      <w:pPr>
        <w:ind w:left="40" w:right="539" w:firstLine="270"/>
        <w:spacing w:after="0" w:line="252" w:lineRule="auto"/>
        <w:rPr>
          <w:sz w:val="20"/>
          <w:szCs w:val="20"/>
          <w:color w:val="auto"/>
        </w:rPr>
      </w:pPr>
      <w:r>
        <w:rPr>
          <w:rFonts w:ascii="Arial" w:cs="Arial" w:eastAsia="Arial" w:hAnsi="Arial"/>
          <w:sz w:val="18"/>
          <w:szCs w:val="18"/>
          <w:color w:val="auto"/>
        </w:rPr>
        <w:t xml:space="preserve">You can read and copy any materials we file with the SEC at its Public Reference Room at 100 F Street, N.E., Washington, D.C. 20549. You can obtain information about the operation of the SEC Public Reference Room by calling the SEC at 1-800-SEC-0330. The SEC also maintains a web site that contains information we file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You may also access the information we file electronically with the SEC through our website at </w:t>
      </w:r>
      <w:r>
        <w:rPr>
          <w:rFonts w:ascii="Arial" w:cs="Arial" w:eastAsia="Arial" w:hAnsi="Arial"/>
          <w:sz w:val="18"/>
          <w:szCs w:val="18"/>
          <w:i w:val="1"/>
          <w:iCs w:val="1"/>
          <w:color w:val="auto"/>
        </w:rPr>
        <w:t>http://www.alcobra-pharma.com.</w:t>
      </w:r>
      <w:r>
        <w:rPr>
          <w:rFonts w:ascii="Arial" w:cs="Arial" w:eastAsia="Arial" w:hAnsi="Arial"/>
          <w:sz w:val="18"/>
          <w:szCs w:val="18"/>
          <w:color w:val="auto"/>
        </w:rPr>
        <w:t xml:space="preserve"> The information contained on, or linked from our website or the SEC’s website does not form part of this prospectus.</w:t>
      </w:r>
    </w:p>
    <w:p>
      <w:pPr>
        <w:spacing w:after="0" w:line="101" w:lineRule="exact"/>
        <w:rPr>
          <w:sz w:val="20"/>
          <w:szCs w:val="20"/>
          <w:color w:val="auto"/>
        </w:rPr>
      </w:pPr>
    </w:p>
    <w:p>
      <w:pPr>
        <w:ind w:left="40" w:right="559" w:firstLine="270"/>
        <w:spacing w:after="0" w:line="251" w:lineRule="auto"/>
        <w:rPr>
          <w:sz w:val="20"/>
          <w:szCs w:val="20"/>
          <w:color w:val="auto"/>
        </w:rPr>
      </w:pPr>
      <w:r>
        <w:rPr>
          <w:rFonts w:ascii="Arial" w:cs="Arial" w:eastAsia="Arial" w:hAnsi="Arial"/>
          <w:sz w:val="18"/>
          <w:szCs w:val="18"/>
          <w:color w:val="auto"/>
        </w:rPr>
        <w:t>This prospectus is part of a registration statement on Form F-3 filed by us with the SEC under the Securities Act. As permitted by the rules and regulations of the SEC, this prospectus does not contain all the information set forth in the registration statement and the exhibits thereto filed with the SEC. For further information with respect to us and the ordinary shares offered hereby, you should refer to the complete registration statement on Form F-3, which may be obtained from the locations described above. Statements contained in this prospectus or in any prospectus supplement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document or matter involved. Each statement regarding a contract or other document is qualified in its entirety by reference to the actual document.</w:t>
      </w:r>
    </w:p>
    <w:p>
      <w:pPr>
        <w:spacing w:after="0" w:line="104" w:lineRule="exact"/>
        <w:rPr>
          <w:sz w:val="20"/>
          <w:szCs w:val="20"/>
          <w:color w:val="auto"/>
        </w:rPr>
      </w:pPr>
    </w:p>
    <w:p>
      <w:pPr>
        <w:ind w:left="40" w:right="799" w:firstLine="270"/>
        <w:spacing w:after="0" w:line="262" w:lineRule="auto"/>
        <w:rPr>
          <w:sz w:val="20"/>
          <w:szCs w:val="20"/>
          <w:color w:val="auto"/>
        </w:rPr>
      </w:pPr>
      <w:r>
        <w:rPr>
          <w:rFonts w:ascii="Arial" w:cs="Arial" w:eastAsia="Arial" w:hAnsi="Arial"/>
          <w:sz w:val="18"/>
          <w:szCs w:val="18"/>
          <w:color w:val="auto"/>
        </w:rPr>
        <w:t>The following documents filed with or furnished to the SEC by our Company are incorporated by reference in this registration statement:</w:t>
      </w:r>
    </w:p>
    <w:p>
      <w:pPr>
        <w:spacing w:after="0" w:line="88" w:lineRule="exact"/>
        <w:rPr>
          <w:sz w:val="20"/>
          <w:szCs w:val="20"/>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Annual Report on Form 20-F for the fiscal year ended December 31, 2013;</w:t>
      </w:r>
    </w:p>
    <w:p>
      <w:pPr>
        <w:spacing w:after="0" w:line="117" w:lineRule="exact"/>
        <w:rPr>
          <w:rFonts w:ascii="Arial" w:cs="Arial" w:eastAsia="Arial" w:hAnsi="Arial"/>
          <w:sz w:val="18"/>
          <w:szCs w:val="18"/>
          <w:color w:val="auto"/>
        </w:rPr>
      </w:pPr>
    </w:p>
    <w:p>
      <w:pPr>
        <w:ind w:left="600" w:right="779" w:hanging="322"/>
        <w:spacing w:after="0" w:line="262"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notice of annual general meeting of the Company incorporated by reference into the Company’s report of foreign private issuer on Form 6-K furnished to the SEC on April 22, 2014;</w:t>
      </w:r>
    </w:p>
    <w:p>
      <w:pPr>
        <w:spacing w:after="0" w:line="88" w:lineRule="exact"/>
        <w:rPr>
          <w:rFonts w:ascii="Arial" w:cs="Arial" w:eastAsia="Arial" w:hAnsi="Arial"/>
          <w:sz w:val="18"/>
          <w:szCs w:val="18"/>
          <w:color w:val="auto"/>
        </w:rPr>
      </w:pPr>
    </w:p>
    <w:p>
      <w:pPr>
        <w:ind w:left="600" w:right="1239" w:hanging="322"/>
        <w:spacing w:after="0" w:line="262"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GAAP Financial Statements included in the report of foreign private issuer on Form 6-K furnished to the SEC on May 15, 2014;</w:t>
      </w:r>
    </w:p>
    <w:p>
      <w:pPr>
        <w:spacing w:after="0" w:line="200" w:lineRule="exact"/>
        <w:rPr>
          <w:sz w:val="20"/>
          <w:szCs w:val="20"/>
          <w:color w:val="auto"/>
        </w:rPr>
      </w:pPr>
    </w:p>
    <w:p>
      <w:pPr>
        <w:spacing w:after="0" w:line="33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report of foreign private issuer on Form 6-K furnished to the SEC on May 27, 2014; and</w:t>
      </w:r>
    </w:p>
    <w:p>
      <w:pPr>
        <w:spacing w:after="0" w:line="117" w:lineRule="exact"/>
        <w:rPr>
          <w:rFonts w:ascii="Arial" w:cs="Arial" w:eastAsia="Arial" w:hAnsi="Arial"/>
          <w:sz w:val="18"/>
          <w:szCs w:val="18"/>
          <w:color w:val="auto"/>
        </w:rPr>
      </w:pPr>
    </w:p>
    <w:p>
      <w:pPr>
        <w:jc w:val="both"/>
        <w:ind w:left="600" w:right="759" w:hanging="322"/>
        <w:spacing w:after="0" w:line="256"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description of the Company’s Ordinary Shares, par value NIS 0.01 per share contained in the Company’s registration statement on Form 8-A filed pursuant to the Exchange Act on May 17, 2013 (File No. 001-35932), including any amendment or report filed which updates such description.</w:t>
      </w:r>
    </w:p>
    <w:p>
      <w:pPr>
        <w:spacing w:after="0" w:line="94" w:lineRule="exact"/>
        <w:rPr>
          <w:sz w:val="20"/>
          <w:szCs w:val="20"/>
          <w:color w:val="auto"/>
        </w:rPr>
      </w:pPr>
    </w:p>
    <w:p>
      <w:pPr>
        <w:ind w:left="40" w:right="519" w:firstLine="270"/>
        <w:spacing w:after="0" w:line="251" w:lineRule="auto"/>
        <w:rPr>
          <w:sz w:val="20"/>
          <w:szCs w:val="20"/>
          <w:color w:val="auto"/>
        </w:rPr>
      </w:pPr>
      <w:r>
        <w:rPr>
          <w:rFonts w:ascii="Arial" w:cs="Arial" w:eastAsia="Arial" w:hAnsi="Arial"/>
          <w:sz w:val="18"/>
          <w:szCs w:val="18"/>
          <w:color w:val="auto"/>
        </w:rPr>
        <w:t>All subsequent Annual Reports filed by us pursuant to the Exchange Act on Form 20-F prior to the termination of the offering shall be deemed to be incorporated by reference to this prospectus and to be a part hereof from the date of filing of such documents. We may also incorporate any Form 6-K subsequently submitted by us to the SEC prior to the termination of the offering by identifying in such Forms 6-K that they are being incorporated by reference herein, and any Forms 6-K so identified shall be deemed to be incorporated by reference in this prospectus and to be a part hereof from the date of submission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04" w:lineRule="exact"/>
        <w:rPr>
          <w:sz w:val="20"/>
          <w:szCs w:val="20"/>
          <w:color w:val="auto"/>
        </w:rPr>
      </w:pPr>
    </w:p>
    <w:p>
      <w:pPr>
        <w:ind w:left="40" w:right="519" w:firstLine="270"/>
        <w:spacing w:after="0" w:line="262" w:lineRule="auto"/>
        <w:rPr>
          <w:sz w:val="20"/>
          <w:szCs w:val="20"/>
          <w:color w:val="auto"/>
        </w:rPr>
      </w:pPr>
      <w:r>
        <w:rPr>
          <w:rFonts w:ascii="Arial" w:cs="Arial" w:eastAsia="Arial" w:hAnsi="Arial"/>
          <w:sz w:val="18"/>
          <w:szCs w:val="18"/>
          <w:color w:val="auto"/>
        </w:rPr>
        <w:t>The information we incorporate by reference is an important part of this prospectus, and later information that we file with the SEC will automatically update and supersede the information contained in this prospectus.</w:t>
      </w:r>
    </w:p>
    <w:p>
      <w:pPr>
        <w:spacing w:after="0" w:line="88" w:lineRule="exact"/>
        <w:rPr>
          <w:sz w:val="20"/>
          <w:szCs w:val="20"/>
          <w:color w:val="auto"/>
        </w:rPr>
      </w:pPr>
    </w:p>
    <w:p>
      <w:pPr>
        <w:ind w:left="40" w:right="559" w:firstLine="270"/>
        <w:spacing w:after="0" w:line="256" w:lineRule="auto"/>
        <w:rPr>
          <w:sz w:val="20"/>
          <w:szCs w:val="20"/>
          <w:color w:val="auto"/>
        </w:rPr>
      </w:pPr>
      <w:r>
        <w:rPr>
          <w:rFonts w:ascii="Arial" w:cs="Arial" w:eastAsia="Arial" w:hAnsi="Arial"/>
          <w:sz w:val="18"/>
          <w:szCs w:val="18"/>
          <w:color w:val="auto"/>
        </w:rPr>
        <w:t>We will provide you without charge, upon your written or oral request, a copy of any of the documents incorporated by reference in this prospectus, other than exhibits to such documents which are not specifically incorporated by reference into such documents. Please direct your written or telephone requests to us at Alcobra Ltd., Amot Investment</w:t>
      </w:r>
    </w:p>
    <w:p>
      <w:pPr>
        <w:ind w:left="40"/>
        <w:spacing w:after="0" w:line="187" w:lineRule="auto"/>
        <w:rPr>
          <w:sz w:val="20"/>
          <w:szCs w:val="20"/>
          <w:color w:val="auto"/>
        </w:rPr>
      </w:pPr>
      <w:r>
        <w:rPr>
          <w:rFonts w:ascii="Arial" w:cs="Arial" w:eastAsia="Arial" w:hAnsi="Arial"/>
          <w:sz w:val="18"/>
          <w:szCs w:val="18"/>
          <w:color w:val="auto"/>
        </w:rPr>
        <w:t>Building, 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Tel Aviv 6423902, Israel, attention: Dr. Tomer Berkovitz, Chief Financial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telephone number: +972-72-220-4661.</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139" w:lineRule="exact"/>
        <w:rPr>
          <w:sz w:val="20"/>
          <w:szCs w:val="20"/>
          <w:color w:val="auto"/>
        </w:rPr>
      </w:pPr>
    </w:p>
    <w:p>
      <w:pPr>
        <w:ind w:left="40" w:right="559" w:firstLine="270"/>
        <w:spacing w:after="0" w:line="252" w:lineRule="auto"/>
        <w:rPr>
          <w:sz w:val="20"/>
          <w:szCs w:val="20"/>
          <w:color w:val="auto"/>
        </w:rPr>
      </w:pPr>
      <w:r>
        <w:rPr>
          <w:rFonts w:ascii="Arial" w:cs="Arial" w:eastAsia="Arial" w:hAnsi="Arial"/>
          <w:sz w:val="18"/>
          <w:szCs w:val="18"/>
          <w:color w:val="auto"/>
        </w:rPr>
        <w:t>We are incorporated in Israel, almost all of our executive officers and directors and the Israeli experts named herein are nonresidents of the United States, and a substantial portion of our assets and of such persons’ assets are located outside the United States. Service of process upon us and upon our directors and officers and the experts named in his prospectus,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101" w:lineRule="exact"/>
        <w:rPr>
          <w:sz w:val="20"/>
          <w:szCs w:val="20"/>
          <w:color w:val="auto"/>
        </w:rPr>
      </w:pPr>
    </w:p>
    <w:p>
      <w:pPr>
        <w:ind w:left="40" w:right="539" w:firstLine="270"/>
        <w:spacing w:after="0" w:line="252" w:lineRule="auto"/>
        <w:rPr>
          <w:sz w:val="20"/>
          <w:szCs w:val="20"/>
          <w:color w:val="auto"/>
        </w:rPr>
      </w:pPr>
      <w:r>
        <w:rPr>
          <w:rFonts w:ascii="Arial" w:cs="Arial" w:eastAsia="Arial" w:hAnsi="Arial"/>
          <w:sz w:val="18"/>
          <w:szCs w:val="18"/>
          <w:color w:val="auto"/>
        </w:rPr>
        <w:t>We have been informed by our legal counsel in Israel that it may be difficult to assert United States securities law claims in original actions instituted in Israel. Israeli courts may refuse to hear a claim based on a violation of United States securities laws because Israel is not the most appropriate forum to bring such a claim. In addition, even if an Israeli court agrees to hear a claim, it may determine that Israeli law and not U.S. law is applicable to the claim. If United States law is found to be applicable, the content of applicable U.S. law must be proved as a fact, which can be a time-consuming and costly process. Certain matters of procedure will also be governed by Israeli law. There is little binding case law in Israel addressing these matters.</w:t>
      </w:r>
    </w:p>
    <w:p>
      <w:pPr>
        <w:spacing w:after="0" w:line="99"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color w:val="auto"/>
        </w:rPr>
        <w:t>Subject to specified time limitations and legal procedures, under the rules of private international law currently prevailing in Israel, Israeli courts may enforce a final U.S. judgment in a civil matter, including judgments based upon the civil liability provisions of the U.S. securities laws and including a monetary or compensatory judgment in a non-civil matter, provided that:</w:t>
      </w:r>
    </w:p>
    <w:p>
      <w:pPr>
        <w:spacing w:after="0" w:line="96" w:lineRule="exact"/>
        <w:rPr>
          <w:sz w:val="20"/>
          <w:szCs w:val="20"/>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judgment is enforceable in the state in which it was given;</w:t>
      </w:r>
    </w:p>
    <w:p>
      <w:pPr>
        <w:spacing w:after="0" w:line="117" w:lineRule="exact"/>
        <w:rPr>
          <w:rFonts w:ascii="Arial" w:cs="Arial" w:eastAsia="Arial" w:hAnsi="Arial"/>
          <w:sz w:val="18"/>
          <w:szCs w:val="18"/>
          <w:color w:val="auto"/>
        </w:rPr>
      </w:pPr>
    </w:p>
    <w:p>
      <w:pPr>
        <w:ind w:left="600" w:right="679" w:hanging="322"/>
        <w:spacing w:after="0" w:line="262"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present his arguments and evidence;</w:t>
      </w:r>
    </w:p>
    <w:p>
      <w:pPr>
        <w:spacing w:after="0" w:line="88" w:lineRule="exact"/>
        <w:rPr>
          <w:rFonts w:ascii="Arial" w:cs="Arial" w:eastAsia="Arial" w:hAnsi="Arial"/>
          <w:sz w:val="18"/>
          <w:szCs w:val="18"/>
          <w:color w:val="auto"/>
        </w:rPr>
      </w:pPr>
    </w:p>
    <w:p>
      <w:pPr>
        <w:ind w:left="600" w:right="1319" w:hanging="322"/>
        <w:spacing w:after="0" w:line="262"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judgment and the enforcement of the judgment are not contrary to the law, public policy, security or sovereignty of the state of Israel;</w:t>
      </w:r>
    </w:p>
    <w:p>
      <w:pPr>
        <w:spacing w:after="0" w:line="88" w:lineRule="exact"/>
        <w:rPr>
          <w:rFonts w:ascii="Arial" w:cs="Arial" w:eastAsia="Arial" w:hAnsi="Arial"/>
          <w:sz w:val="18"/>
          <w:szCs w:val="18"/>
          <w:color w:val="auto"/>
        </w:rPr>
      </w:pPr>
    </w:p>
    <w:p>
      <w:pPr>
        <w:ind w:left="600" w:right="699" w:hanging="322"/>
        <w:spacing w:after="0" w:line="262"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 and</w:t>
      </w:r>
    </w:p>
    <w:p>
      <w:pPr>
        <w:spacing w:after="0" w:line="88" w:lineRule="exact"/>
        <w:rPr>
          <w:rFonts w:ascii="Arial" w:cs="Arial" w:eastAsia="Arial" w:hAnsi="Arial"/>
          <w:sz w:val="18"/>
          <w:szCs w:val="18"/>
          <w:color w:val="auto"/>
        </w:rPr>
      </w:pPr>
    </w:p>
    <w:p>
      <w:pPr>
        <w:ind w:left="600" w:right="619" w:hanging="322"/>
        <w:spacing w:after="0" w:line="262"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is not pending in any Israeli court at the time the lawsuit is instituted in the foreign court.</w:t>
      </w:r>
    </w:p>
    <w:p>
      <w:pPr>
        <w:spacing w:after="0" w:line="88" w:lineRule="exact"/>
        <w:rPr>
          <w:sz w:val="20"/>
          <w:szCs w:val="20"/>
          <w:color w:val="auto"/>
        </w:rPr>
      </w:pPr>
    </w:p>
    <w:p>
      <w:pPr>
        <w:ind w:left="40" w:right="599" w:firstLine="270"/>
        <w:spacing w:after="0" w:line="253" w:lineRule="auto"/>
        <w:rPr>
          <w:sz w:val="20"/>
          <w:szCs w:val="20"/>
          <w:color w:val="auto"/>
        </w:rPr>
      </w:pPr>
      <w:r>
        <w:rPr>
          <w:rFonts w:ascii="Arial" w:cs="Arial" w:eastAsia="Arial" w:hAnsi="Arial"/>
          <w:sz w:val="18"/>
          <w:szCs w:val="18"/>
          <w:color w:val="auto"/>
        </w:rPr>
        <w:t>We have irrevocably appointed our subsidiary, Alcobra Inc., as our agent to receive service of process in any action against us in the state and federal courts sitting in the City of New York, Borough of Manhattan arising out of any offering under this registration statement of which this prospectus forms a part, or any purchase or sale of securities in connection therewith. We have not given consent for this agent to accept service of process in connection with any other claim.</w:t>
      </w:r>
    </w:p>
    <w:p>
      <w:pPr>
        <w:spacing w:after="0" w:line="200" w:lineRule="exact"/>
        <w:rPr>
          <w:sz w:val="20"/>
          <w:szCs w:val="20"/>
          <w:color w:val="auto"/>
        </w:rPr>
      </w:pPr>
    </w:p>
    <w:p>
      <w:pPr>
        <w:spacing w:after="0" w:line="3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326390</wp:posOffset>
            </wp:positionV>
            <wp:extent cx="607187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352425</wp:posOffset>
            </wp:positionV>
            <wp:extent cx="607187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88265</wp:posOffset>
            </wp:positionV>
            <wp:extent cx="1964055" cy="7632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6405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720"/>
        <w:spacing w:after="0"/>
        <w:rPr>
          <w:sz w:val="20"/>
          <w:szCs w:val="20"/>
          <w:color w:val="auto"/>
        </w:rPr>
      </w:pPr>
      <w:r>
        <w:rPr>
          <w:rFonts w:ascii="Arial" w:cs="Arial" w:eastAsia="Arial" w:hAnsi="Arial"/>
          <w:sz w:val="36"/>
          <w:szCs w:val="36"/>
          <w:b w:val="1"/>
          <w:bCs w:val="1"/>
          <w:color w:val="auto"/>
        </w:rPr>
        <w:t>Alcobra Ltd.</w:t>
      </w:r>
    </w:p>
    <w:p>
      <w:pPr>
        <w:spacing w:after="0" w:line="215" w:lineRule="exact"/>
        <w:rPr>
          <w:sz w:val="20"/>
          <w:szCs w:val="20"/>
          <w:color w:val="auto"/>
        </w:rPr>
      </w:pPr>
    </w:p>
    <w:p>
      <w:pPr>
        <w:ind w:left="3660"/>
        <w:spacing w:after="0"/>
        <w:rPr>
          <w:sz w:val="20"/>
          <w:szCs w:val="20"/>
          <w:color w:val="auto"/>
        </w:rPr>
      </w:pP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568325</wp:posOffset>
            </wp:positionV>
            <wp:extent cx="18522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3219"/>
        <w:spacing w:after="0"/>
        <w:rPr>
          <w:sz w:val="20"/>
          <w:szCs w:val="20"/>
          <w:color w:val="auto"/>
        </w:rPr>
      </w:pPr>
      <w:r>
        <w:rPr>
          <w:rFonts w:ascii="Arial" w:cs="Arial" w:eastAsia="Arial" w:hAnsi="Arial"/>
          <w:sz w:val="20"/>
          <w:szCs w:val="20"/>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85725</wp:posOffset>
            </wp:positionV>
            <wp:extent cx="185229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522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0"/>
        <w:spacing w:after="0"/>
        <w:rPr>
          <w:sz w:val="20"/>
          <w:szCs w:val="20"/>
          <w:color w:val="auto"/>
        </w:rPr>
      </w:pPr>
      <w:r>
        <w:rPr>
          <w:rFonts w:ascii="Arial" w:cs="Arial" w:eastAsia="Arial" w:hAnsi="Arial"/>
          <w:sz w:val="18"/>
          <w:szCs w:val="18"/>
          <w:i w:val="1"/>
          <w:iCs w:val="1"/>
          <w:color w:val="auto"/>
        </w:rPr>
        <w:t>Joint Book-Running Managers</w:t>
      </w:r>
    </w:p>
    <w:p>
      <w:pPr>
        <w:spacing w:after="0" w:line="200" w:lineRule="exact"/>
        <w:rPr>
          <w:sz w:val="20"/>
          <w:szCs w:val="20"/>
          <w:color w:val="auto"/>
        </w:rPr>
      </w:pPr>
    </w:p>
    <w:p>
      <w:pPr>
        <w:spacing w:after="0" w:line="220" w:lineRule="exact"/>
        <w:rPr>
          <w:sz w:val="20"/>
          <w:szCs w:val="20"/>
          <w:color w:val="auto"/>
        </w:rPr>
      </w:pPr>
    </w:p>
    <w:p>
      <w:pPr>
        <w:ind w:left="4180"/>
        <w:spacing w:after="0"/>
        <w:rPr>
          <w:sz w:val="20"/>
          <w:szCs w:val="20"/>
          <w:color w:val="auto"/>
        </w:rPr>
      </w:pPr>
      <w:r>
        <w:rPr>
          <w:rFonts w:ascii="Arial" w:cs="Arial" w:eastAsia="Arial" w:hAnsi="Arial"/>
          <w:sz w:val="29"/>
          <w:szCs w:val="29"/>
          <w:b w:val="1"/>
          <w:bCs w:val="1"/>
          <w:color w:val="auto"/>
        </w:rPr>
        <w:t>Jefferies</w:t>
      </w:r>
    </w:p>
    <w:p>
      <w:pPr>
        <w:spacing w:after="0" w:line="207" w:lineRule="exact"/>
        <w:rPr>
          <w:sz w:val="20"/>
          <w:szCs w:val="20"/>
          <w:color w:val="auto"/>
        </w:rPr>
      </w:pPr>
    </w:p>
    <w:p>
      <w:pPr>
        <w:ind w:left="4180"/>
        <w:spacing w:after="0"/>
        <w:rPr>
          <w:sz w:val="20"/>
          <w:szCs w:val="20"/>
          <w:color w:val="auto"/>
        </w:rPr>
      </w:pPr>
      <w:r>
        <w:rPr>
          <w:rFonts w:ascii="Arial" w:cs="Arial" w:eastAsia="Arial" w:hAnsi="Arial"/>
          <w:sz w:val="29"/>
          <w:szCs w:val="29"/>
          <w:b w:val="1"/>
          <w:bCs w:val="1"/>
          <w:color w:val="auto"/>
        </w:rPr>
        <w:t>Barclays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782320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607187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60718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sectPr>
      <w:pgSz w:w="11900" w:h="16838" w:orient="portrait"/>
      <w:cols w:equalWidth="0" w:num="1">
        <w:col w:w="10079"/>
      </w:cols>
      <w:pgMar w:left="380" w:top="80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amp;"/>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2019-12-09T03:19:55Z</dcterms:created>
  <dcterms:modified xsi:type="dcterms:W3CDTF">2019-12-09T03:19:55Z</dcterms:modified>
</cp:coreProperties>
</file>