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40" w:type="dxa"/>
            <w:vAlign w:val="bottom"/>
          </w:tcPr>
          <w:p>
            <w:pPr>
              <w:spacing w:after="0"/>
              <w:rPr>
                <w:sz w:val="24"/>
                <w:szCs w:val="24"/>
                <w:color w:val="auto"/>
              </w:rPr>
            </w:pPr>
          </w:p>
        </w:tc>
        <w:tc>
          <w:tcPr>
            <w:tcW w:w="5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10285 Science Center Drive, San Diego, California 92121</w:t>
            </w:r>
          </w:p>
        </w:tc>
        <w:tc>
          <w:tcPr>
            <w:tcW w:w="164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(858) 900-2660</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410"/>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232"/>
        </w:trPr>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00" w:type="dxa"/>
            <w:vAlign w:val="bottom"/>
          </w:tcPr>
          <w:p>
            <w:pPr>
              <w:spacing w:after="0"/>
              <w:rPr>
                <w:sz w:val="20"/>
                <w:szCs w:val="20"/>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ARCT</w:t>
            </w:r>
          </w:p>
        </w:tc>
        <w:tc>
          <w:tcPr>
            <w:tcW w:w="100" w:type="dxa"/>
            <w:vAlign w:val="bottom"/>
          </w:tcPr>
          <w:p>
            <w:pPr>
              <w:spacing w:after="0"/>
              <w:rPr>
                <w:sz w:val="20"/>
                <w:szCs w:val="20"/>
                <w:color w:val="auto"/>
              </w:rPr>
            </w:pP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March 3, 2026, Arcturus Therapeutics Holdings Inc. (the “Company” or “Arcturus”) issued a press release, a copy of which is furnished herewith as Exhibit 99.1, announcing the Company’s financial results for the quarter and year ended December 31, 2025 and providing a corporate update (the “Press Release”).</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w:t>
      </w:r>
    </w:p>
    <w:p>
      <w:pPr>
        <w:ind w:right="100"/>
        <w:spacing w:after="0" w:line="260" w:lineRule="auto"/>
        <w:rPr>
          <w:sz w:val="20"/>
          <w:szCs w:val="20"/>
          <w:color w:val="auto"/>
        </w:rPr>
      </w:pPr>
      <w:r>
        <w:rPr>
          <w:rFonts w:ascii="Times New Roman" w:cs="Times New Roman" w:eastAsia="Times New Roman" w:hAnsi="Times New Roman"/>
          <w:sz w:val="18"/>
          <w:szCs w:val="18"/>
          <w:color w:val="auto"/>
        </w:rPr>
        <w:t>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Current Report on Form 8-K and the Press Release contain forward-looking statements that involve substantial risks and uncertainties for purposes of the safe harbor provided by the Private Securities Litigation Reform Act of 1995. Any statements, other than statements of historical fact included in this Current Report on Form 8-K and the Press Release, are forward-looking statements, including those regarding strategy, future operations, the likelihood of success of the Company’s pipeline (including ARCT-032 and ARCT-810) and partnered programs (including the COVID-19 and flu programs partnered with CSL Seqirus), the likelihood that clinical data, including interim data, will be predictive of future clinical results, the likelihood of and timing for achieving alignment with regulators on the clinical strategy for ARCT-810, plans to broaden the development strategy for ARCT-810, the timing for Type C regulatory meetings for ARCT-810 and feedback therefrom, the likelihood of initiation, and size, scope, and timing, of a Phase 2, 12-week study for ARCT-032, the ongoing development of a self-amplifying mRNA pandemic influenza vaccine under its contract with BARDA, the likelihood that general and administrative expenses will continue to decrease slightly,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520" w:type="dxa"/>
            <w:vAlign w:val="bottom"/>
          </w:tcPr>
          <w:p>
            <w:pPr>
              <w:spacing w:after="0"/>
              <w:rPr>
                <w:sz w:val="20"/>
                <w:szCs w:val="20"/>
                <w:color w:val="auto"/>
              </w:rPr>
            </w:pPr>
          </w:p>
        </w:tc>
        <w:tc>
          <w:tcPr>
            <w:tcW w:w="7480" w:type="dxa"/>
            <w:vAlign w:val="bottom"/>
          </w:tcPr>
          <w:p>
            <w:pPr>
              <w:spacing w:after="0"/>
              <w:rPr>
                <w:sz w:val="20"/>
                <w:szCs w:val="20"/>
                <w:color w:val="auto"/>
              </w:rPr>
            </w:pP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rPr>
              <w:t>Press Release dated March 3, 2026</w:t>
            </w:r>
          </w:p>
        </w:tc>
      </w:tr>
      <w:tr>
        <w:trPr>
          <w:trHeight w:val="20"/>
        </w:trPr>
        <w:tc>
          <w:tcPr>
            <w:tcW w:w="124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to this Current Report on Form 8-K in Inline XBRL</w:t>
            </w:r>
          </w:p>
        </w:tc>
      </w:tr>
      <w:tr>
        <w:trPr>
          <w:trHeight w:val="567"/>
        </w:trPr>
        <w:tc>
          <w:tcPr>
            <w:tcW w:w="1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2026</w:t>
            </w:r>
          </w:p>
        </w:tc>
        <w:tc>
          <w:tcPr>
            <w:tcW w:w="7400" w:type="dxa"/>
            <w:vAlign w:val="bottom"/>
            <w:gridSpan w:val="2"/>
          </w:tcPr>
          <w:p>
            <w:pPr>
              <w:ind w:left="23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tc>
      </w:tr>
      <w:tr>
        <w:trPr>
          <w:trHeight w:val="432"/>
        </w:trPr>
        <w:tc>
          <w:tcPr>
            <w:tcW w:w="3840" w:type="dxa"/>
            <w:vAlign w:val="bottom"/>
          </w:tcPr>
          <w:p>
            <w:pPr>
              <w:spacing w:after="0"/>
              <w:rPr>
                <w:sz w:val="24"/>
                <w:szCs w:val="24"/>
                <w:color w:val="auto"/>
              </w:rPr>
            </w:pPr>
          </w:p>
        </w:tc>
        <w:tc>
          <w:tcPr>
            <w:tcW w:w="30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3840" w:type="dxa"/>
            <w:vAlign w:val="bottom"/>
          </w:tcPr>
          <w:p>
            <w:pPr>
              <w:spacing w:after="0"/>
              <w:rPr>
                <w:sz w:val="16"/>
                <w:szCs w:val="16"/>
                <w:color w:val="auto"/>
              </w:rPr>
            </w:pPr>
          </w:p>
        </w:tc>
        <w:tc>
          <w:tcPr>
            <w:tcW w:w="3060" w:type="dxa"/>
            <w:vAlign w:val="bottom"/>
          </w:tcPr>
          <w:p>
            <w:pPr>
              <w:ind w:left="23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3840" w:type="dxa"/>
            <w:vAlign w:val="bottom"/>
          </w:tcPr>
          <w:p>
            <w:pPr>
              <w:spacing w:after="0"/>
              <w:rPr>
                <w:sz w:val="20"/>
                <w:szCs w:val="20"/>
                <w:color w:val="auto"/>
              </w:rPr>
            </w:pPr>
          </w:p>
        </w:tc>
        <w:tc>
          <w:tcPr>
            <w:tcW w:w="30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Announces Fourth Quarter and Fiscal Year 2025 Financial Results and Pipeline Progress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333333"/>
        </w:rPr>
        <w:t>ARCT-032 (CF) Phase 2 third cohort (28 days, 15 mg) generally safe and well tolerated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333333"/>
        </w:rPr>
        <w:t>ARCT-032 permitted to proceed into 12-week Phase 2 study; dosing to begin H1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333333"/>
        </w:rPr>
        <w:t>Cash runway extended into Q2 2028</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33333"/>
        </w:rPr>
        <w:t>Investor conference call at 4:30 p.m. ET today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 DIEGO--(BUSINESS WIRE) --Mar. 3, 2026--Arcturus Therapeutics Holdings Inc. (the “Company”, “Arcturus”, Nasdaq: ARCT), a messenger RNA medicines company focused on the development of liver and respiratory rare disease therapeutics, today announced its financial results for the fourth quarter and fiscal year 2025, and provided corporate updates.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“Arcturus continues to progress its rare disease therapeutic portfolio. We look forward to aligning with regulators on our clinical development strategy for the ornithine transcarbamylase (OTC) deficiency program, and to initiating our Phase 2, 12-week cystic fibrosis (CF) study in the first half of 2026,” said Joseph Payne, President &amp; CEO of Arcturus. “We remain firmly committed to advancing our once-daily inhaled mRNA therapy for people with cystic fibrosis Class I mutations.”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Recent Corporate Highlights</w:t>
      </w:r>
    </w:p>
    <w:p>
      <w:pPr>
        <w:spacing w:after="0" w:line="31" w:lineRule="exact"/>
        <w:rPr>
          <w:sz w:val="20"/>
          <w:szCs w:val="20"/>
          <w:color w:val="auto"/>
        </w:rPr>
      </w:pPr>
    </w:p>
    <w:p>
      <w:pPr>
        <w:jc w:val="both"/>
        <w:ind w:left="660" w:hanging="328"/>
        <w:spacing w:after="0" w:line="22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Arcturus’ ARCT-032, a once-daily inhaled mRNA therapeutic candidate for CF, is on track to initiate a new 12-week Phase 2 clinical study in H1 2026 enrolling up to 20 Class I CF participants in the U.S. and abroad. The study will assess safety and early clinical benefits, including potential lung function improvements (ppFEV</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LCI), alongside validated quality-of-life outcomes and high-resolution computed tomography (HRCT) imaging.</w:t>
      </w:r>
    </w:p>
    <w:p>
      <w:pPr>
        <w:spacing w:after="0" w:line="2" w:lineRule="exact"/>
        <w:rPr>
          <w:rFonts w:ascii="Times New Roman" w:cs="Times New Roman" w:eastAsia="Times New Roman" w:hAnsi="Times New Roman"/>
          <w:sz w:val="18"/>
          <w:szCs w:val="18"/>
          <w:color w:val="auto"/>
        </w:rPr>
      </w:pPr>
    </w:p>
    <w:p>
      <w:pPr>
        <w:ind w:left="1300" w:right="2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Arcturus has completed once-daily dosing of 15 mg of ARCT-032 over 28 days in the third dosing cohort, among four Class I adults with CF, and observed no safety or tolerability issues in this higher dosing cohort.</w:t>
      </w:r>
    </w:p>
    <w:p>
      <w:pPr>
        <w:ind w:left="130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safety review committee has reviewed all data from the first three 28-day study cohorts (5, 10, 15 mg) and permitted the program to proceed into the Phase 2, 12-week study.</w:t>
      </w: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Arcturus’ ARCT-810 program, an mRNA therapeutic candidate for ornithine transcarbamylase (OTC) deficiency, is broadening its development strategy to address the needs of both adults with late-onset disease and young children affected by the most severe forms of OTC deficiency. The Company is actively engaged in complementary regulatory interactions and strategic planning to support pivotal studies across pediatric and adult populations, including those for whom liver transplantation remains the only current option for survival beyond early childhood. The scheduled Type C regulatory meetings with health authorities, along with the associated feedback, remain on track for the first half of 2026.</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the UK Medicines and Healthcare products Regulatory Agency (MHRA) granted approval for KOSTAIVE®, a self-amplifying mRNA (sa-mRNA) COVID-19 vaccine, for use in individuals aged 18 and 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Arcturus continues to develop a self-amplifying mRNA pandemic influenza (A/H5N1) vaccine under its ongoing contract with BARDA. Recent data from an eight-month follow-up period after the first vaccination indicate that all three tested dose levels (1.5, 5, and 12 mcg) elicit a durable immune response against the vaccine's hemagglutinin and neuraminidase components. The data also supports the sa-mRNA platform's ability to induce meaningful cell-mediated immunity. All tested vaccine doses were well tolerated and did not raise safety concerns.</w:t>
      </w:r>
    </w:p>
    <w:p>
      <w:pPr>
        <w:spacing w:after="0" w:line="2"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Arcturus’ lawsuit against AbbVie Inc., and Capstan Therapeutics, Inc.—filed on September 23, 2025, in the U.S. District Court for the Southern District of California—remains ongoing.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Fourth Quarter and Fiscal Year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in conjunction with strategic alliances and collaborations: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Arcturus’ primary revenue streams include license fees, consulting and related technology transfer fees, reservation fees and collaborative payments received from research and development arrangements with pharmaceutical and biotechnology partners. Revenue for the fourth quarter and fiscal year 2025, was $7.2 million and $82.0 million, respectively, representing decreases of $15.6 million and $70.3 million compared to the same periods in 2024. These declines were driven by reductions in revenue from the CSL collaboration, reflecting lower supply agreement activity and a reduced number of development-based milestone achievements as KOSTAIVE</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was commercialized.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Operating expenses for the fourth quarter and fiscal year 2025 amounted to $38.5 million and $158.3 million, respectively, representing decreases of $17.7 million and $89.7 million compared with the same periods in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consist primarily of external manufacturing costs, in vivo research studies and clinical trials performed by contract research organizations, clinical and regulatory consultants, personnel-related expenses, facility-related expenses and laboratory supplies related to conducting research and development activities. Research and development expenses were $24.5 million for the fourth quarter of 2025, compared with $43.8 million for the same period in 2024. The decrease was primarily driven by lower manufacturing costs for the LUNAR-COVID, LUNAR-FLU, and LUNAR-CF programs, as well as reduced clinical trial expenses for LUNAR-COVID and LUNAR-CF. Lower payroll and employee benefits further contributed to the decrease. These reductions were partially offset by higher facilities and equipment costs due to lease impairment in the current period.</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$112.2 million for fiscal year 2025, compared with $195.2 million for fiscal year 2024. The decrease was primarily driven by lower manufacturing and clinical costs related to the LUNAR-COVID program, reflecting the program’s transition from a development program to the commercial phase. Additional decreases relate to lower manufacturing costs for the LUNAR-CF and LUNAR-FLU programs, as well as lower clinical costs associated with the LUNAR-OTC program. These reductions were partially offset by higher clinical costs for Phase 2 of the LUNAR-CF program. Additional decreases resulted from lower payroll and benefits expenses following the operational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and related benefits for executive, administrative, legal and accounting functions and professional fees for legal and accounting services. General and administrative expenses for the fourth quarter of 2025 were $14.0 million compared with $12.4 million for the same period in 2024. The increase in fourth quarter expenses relates to the acceleration of employee stock options.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fiscal year 2025 were $46.1 million compared with $52.8 million for fiscal year 2024. The decrease was primarily due to reduced share-based compensation expense as well as reduced payroll and benefits. We expect general and administrative expenses to continue to decrease slightly during the next twelve months driven by lower share-based compensation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fourth quarter of 2025, Arcturus reported a net loss of $29.1 million, or ($1.03) per diluted share, compared with a net loss of $30.0 million, or ($1.11) per diluted share for the same period in 2024. For fiscal year 2025, Arcturus reported a net loss of $65.8 million, or ($2.40) per diluted share, compared with a net loss of $80.9 million, or ($3.00) per diluted share for fiscal year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Position and Balance Sheet: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cash equivalents and restricted cash were $232.8 million as of December 31, 2025, and $293.9 million as of December 31, 2024. Through disciplined execution and a strategic refocus on existing rare disease clinical programs in fiscal year 2025, Arcturus has extended its cash runway into the second quarter of 2028.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Arcturus Therapeutics Fourth Quarter and Fiscal Year 2025 Earnings Conference Call</w:t>
      </w:r>
    </w:p>
    <w:p>
      <w:pPr>
        <w:spacing w:after="0" w:line="31" w:lineRule="exact"/>
        <w:rPr>
          <w:sz w:val="20"/>
          <w:szCs w:val="20"/>
          <w:color w:val="auto"/>
        </w:rPr>
      </w:pPr>
    </w:p>
    <w:p>
      <w:pPr>
        <w:ind w:left="780" w:hanging="448"/>
        <w:spacing w:after="0"/>
        <w:tabs>
          <w:tab w:leader="none" w:pos="780" w:val="left"/>
        </w:tabs>
        <w:numPr>
          <w:ilvl w:val="0"/>
          <w:numId w:val="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Tuesday, March 3, 2026 @4:30 p.m. ET</w:t>
      </w:r>
    </w:p>
    <w:p>
      <w:pPr>
        <w:spacing w:after="0" w:line="9" w:lineRule="exact"/>
        <w:rPr>
          <w:rFonts w:ascii="Times New Roman" w:cs="Times New Roman" w:eastAsia="Times New Roman" w:hAnsi="Times New Roman"/>
          <w:sz w:val="18"/>
          <w:szCs w:val="18"/>
          <w:color w:val="333333"/>
        </w:rPr>
      </w:pPr>
    </w:p>
    <w:p>
      <w:pPr>
        <w:ind w:left="780" w:hanging="448"/>
        <w:spacing w:after="0"/>
        <w:tabs>
          <w:tab w:leader="none" w:pos="780" w:val="left"/>
        </w:tabs>
        <w:numPr>
          <w:ilvl w:val="0"/>
          <w:numId w:val="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Domestic: 1-800-274-8461</w:t>
      </w:r>
    </w:p>
    <w:p>
      <w:pPr>
        <w:spacing w:after="0" w:line="9" w:lineRule="exact"/>
        <w:rPr>
          <w:rFonts w:ascii="Times New Roman" w:cs="Times New Roman" w:eastAsia="Times New Roman" w:hAnsi="Times New Roman"/>
          <w:sz w:val="18"/>
          <w:szCs w:val="18"/>
          <w:color w:val="333333"/>
        </w:rPr>
      </w:pPr>
    </w:p>
    <w:p>
      <w:pPr>
        <w:ind w:left="780" w:hanging="448"/>
        <w:spacing w:after="0"/>
        <w:tabs>
          <w:tab w:leader="none" w:pos="780" w:val="left"/>
        </w:tabs>
        <w:numPr>
          <w:ilvl w:val="0"/>
          <w:numId w:val="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International: 1-203-518-9814</w:t>
      </w:r>
    </w:p>
    <w:p>
      <w:pPr>
        <w:spacing w:after="0" w:line="9" w:lineRule="exact"/>
        <w:rPr>
          <w:rFonts w:ascii="Times New Roman" w:cs="Times New Roman" w:eastAsia="Times New Roman" w:hAnsi="Times New Roman"/>
          <w:sz w:val="18"/>
          <w:szCs w:val="18"/>
          <w:color w:val="333333"/>
        </w:rPr>
      </w:pPr>
    </w:p>
    <w:p>
      <w:pPr>
        <w:ind w:left="780" w:hanging="448"/>
        <w:spacing w:after="0"/>
        <w:tabs>
          <w:tab w:leader="none" w:pos="780" w:val="left"/>
        </w:tabs>
        <w:numPr>
          <w:ilvl w:val="0"/>
          <w:numId w:val="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Conference ID: ARCTURUS</w:t>
      </w:r>
    </w:p>
    <w:p>
      <w:pPr>
        <w:spacing w:after="0" w:line="9" w:lineRule="exact"/>
        <w:rPr>
          <w:rFonts w:ascii="Times New Roman" w:cs="Times New Roman" w:eastAsia="Times New Roman" w:hAnsi="Times New Roman"/>
          <w:sz w:val="18"/>
          <w:szCs w:val="18"/>
          <w:color w:val="333333"/>
        </w:rPr>
      </w:pPr>
    </w:p>
    <w:p>
      <w:pPr>
        <w:ind w:left="780" w:hanging="448"/>
        <w:spacing w:after="0"/>
        <w:tabs>
          <w:tab w:leader="none" w:pos="780" w:val="left"/>
        </w:tabs>
        <w:numPr>
          <w:ilvl w:val="0"/>
          <w:numId w:val="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Webcast: https://viavid.webcasts.com/starthere.jsp?ei=1748831&amp;tp_key=1fb027c6a4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Forward 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333333"/>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of the Company’s pipeline (including ARCT-032 and ARCT-</w:t>
      </w:r>
    </w:p>
    <w:p>
      <w:pPr>
        <w:spacing w:after="0" w:line="1" w:lineRule="exact"/>
        <w:rPr>
          <w:sz w:val="20"/>
          <w:szCs w:val="20"/>
          <w:color w:val="auto"/>
        </w:rPr>
      </w:pPr>
    </w:p>
    <w:p>
      <w:pPr>
        <w:jc w:val="both"/>
        <w:ind w:firstLine="8"/>
        <w:spacing w:after="0" w:line="251" w:lineRule="auto"/>
        <w:tabs>
          <w:tab w:leader="none" w:pos="385" w:val="left"/>
        </w:tabs>
        <w:numPr>
          <w:ilvl w:val="0"/>
          <w:numId w:val="5"/>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 xml:space="preserve">and partnered programs (including the COVID-19 and flu programs partnered with CSL Seqirus), the likelihood that clinical data, including interim data, will be predictive of future clinical results, the likelihood of and timing for achieving alignment with regulators on the clinical strategy for ARCT-810, plans to broaden the development strategy for ARCT-810, the timing for Type C regulatory meetings for ARCT-810 and feedback therefrom, the likelihood of initiation, and size, scope, and timing, of a Phase 2, 12-week study for ARCT-032, the ongoing development of a self-amplifying mRNA pandemic influenza vaccine under its contract with BARDA, the likelihood that general and administrative expenses will continue to decrease slightly,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t>
      </w:r>
      <w:r>
        <w:rPr>
          <w:rFonts w:ascii="Times New Roman" w:cs="Times New Roman" w:eastAsia="Times New Roman" w:hAnsi="Times New Roman"/>
          <w:sz w:val="18"/>
          <w:szCs w:val="18"/>
          <w:color w:val="000000"/>
        </w:rPr>
        <w:t>www.sec.gov</w:t>
      </w:r>
      <w:r>
        <w:rPr>
          <w:rFonts w:ascii="Times New Roman" w:cs="Times New Roman" w:eastAsia="Times New Roman" w:hAnsi="Times New Roman"/>
          <w:sz w:val="18"/>
          <w:szCs w:val="18"/>
          <w:color w:val="333333"/>
        </w:rPr>
        <w:t>.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333333"/>
        </w:rPr>
        <w:t>About Arcturus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333333"/>
        </w:rPr>
        <w:t xml:space="preserve">Founded in 2013 and based in San Diego, California, Arcturus Therapeutics Holdings Inc. (Nasdaq: ARCT) is a messenger RNA medicines company focused on the development of liver and respiratory rare disease therapeutics with enabling technologies: (i) LUNAR® lipid-mediated delivery, (ii) STARR® mRNA technology (sa-mRNA) and (iii) mRNA drug substance along with drug product manufacturing expertise. Arcturus developed KOSTAIVE®, the first self-amplifying messenger RNA (sa-mRNA) COVID vaccine in the world to be approved. Arcturus has an ongoing global collaboration with CSL Seqirus, U.S. BARDA for pandemic flu and a joint venture in Japan, ARCALIS, focused on the manufacture of mRNA vaccines and therapeutics. Arcturus’ pipeline includes RNA therapeutic candidates to potentially treat cystic fibrosis (CF) and ornithine transcarbamylase (OTC) deficiency along with its partnered mRNA vaccine programs for SARS-CoV-2 (COVID-19) and influenza. Arcturus’ versatile RNA therapeutics platforms can be applied toward multiple types of nucleic acid medicines including messenger RNA, small interfering RNA (siRNA), circular RNA, antisense RNA, self-amplifying RNA, DNA, and gene editing therapeutics. Arcturus' technologies are covered by its extensive patent portfolio (over 500 patents and patent applications in the U.S., Europe, Japan, China, and other countries). For more information, visit </w:t>
      </w:r>
      <w:r>
        <w:rPr>
          <w:rFonts w:ascii="Times New Roman" w:cs="Times New Roman" w:eastAsia="Times New Roman" w:hAnsi="Times New Roman"/>
          <w:sz w:val="18"/>
          <w:szCs w:val="18"/>
          <w:color w:val="000000"/>
        </w:rPr>
        <w:t>www.ArcturusRx.com</w:t>
      </w:r>
      <w:r>
        <w:rPr>
          <w:rFonts w:ascii="Times New Roman" w:cs="Times New Roman" w:eastAsia="Times New Roman" w:hAnsi="Times New Roman"/>
          <w:sz w:val="18"/>
          <w:szCs w:val="18"/>
          <w:color w:val="333333"/>
        </w:rPr>
        <w:t xml:space="preserve">. Please connect with us on </w:t>
      </w:r>
      <w:r>
        <w:rPr>
          <w:rFonts w:ascii="Times New Roman" w:cs="Times New Roman" w:eastAsia="Times New Roman" w:hAnsi="Times New Roman"/>
          <w:sz w:val="18"/>
          <w:szCs w:val="18"/>
          <w:color w:val="000000"/>
        </w:rPr>
        <w:t>X</w:t>
      </w:r>
      <w:r>
        <w:rPr>
          <w:rFonts w:ascii="Times New Roman" w:cs="Times New Roman" w:eastAsia="Times New Roman" w:hAnsi="Times New Roman"/>
          <w:sz w:val="18"/>
          <w:szCs w:val="18"/>
          <w:color w:val="333333"/>
        </w:rPr>
        <w:t xml:space="preserve"> and </w:t>
      </w:r>
      <w:r>
        <w:rPr>
          <w:rFonts w:ascii="Times New Roman" w:cs="Times New Roman" w:eastAsia="Times New Roman" w:hAnsi="Times New Roman"/>
          <w:sz w:val="18"/>
          <w:szCs w:val="18"/>
          <w:color w:val="000000"/>
        </w:rPr>
        <w:t>LinkedIn</w:t>
      </w:r>
      <w:r>
        <w:rPr>
          <w:rFonts w:ascii="Times New Roman" w:cs="Times New Roman" w:eastAsia="Times New Roman" w:hAnsi="Times New Roman"/>
          <w:sz w:val="18"/>
          <w:szCs w:val="18"/>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230,909</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237,028</w:t>
            </w:r>
          </w:p>
        </w:tc>
        <w:tc>
          <w:tcPr>
            <w:tcW w:w="0" w:type="dxa"/>
            <w:vAlign w:val="bottom"/>
          </w:tcPr>
          <w:p>
            <w:pPr>
              <w:spacing w:after="0"/>
              <w:rPr>
                <w:sz w:val="1"/>
                <w:szCs w:val="1"/>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3,974</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4,973</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9,977</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241,446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305,979</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9,531</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26,674</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1,885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271,148</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344,069</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4,235</w:t>
            </w:r>
          </w:p>
        </w:tc>
        <w:tc>
          <w:tcPr>
            <w:tcW w:w="200" w:type="dxa"/>
            <w:vAlign w:val="bottom"/>
          </w:tcPr>
          <w:p>
            <w:pPr>
              <w:spacing w:after="0"/>
              <w:rPr>
                <w:sz w:val="18"/>
                <w:szCs w:val="18"/>
                <w:color w:val="auto"/>
              </w:rPr>
            </w:pPr>
          </w:p>
        </w:tc>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7,194</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38,781</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8,246</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19,514</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65,489</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12,604</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20,784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24,998</w:t>
            </w:r>
          </w:p>
        </w:tc>
        <w:tc>
          <w:tcPr>
            <w:tcW w:w="0" w:type="dxa"/>
            <w:vAlign w:val="bottom"/>
          </w:tcPr>
          <w:p>
            <w:pPr>
              <w:spacing w:after="0"/>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57,163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103,091</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60,000 shares authorized; issued and outstanding shares were 28,414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December 31, 2025 and 27,000 at December 31, 2024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728,547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689,758</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(514,590)</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(448,807)</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213,985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240,978</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271,148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344,069</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67,221</w:t>
            </w:r>
          </w:p>
        </w:tc>
        <w:tc>
          <w:tcPr>
            <w:tcW w:w="6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138,389</w:t>
            </w:r>
          </w:p>
        </w:tc>
        <w:tc>
          <w:tcPr>
            <w:tcW w:w="200" w:type="dxa"/>
            <w:vAlign w:val="bottom"/>
          </w:tcPr>
          <w:p>
            <w:pPr>
              <w:spacing w:after="0"/>
              <w:rPr>
                <w:sz w:val="18"/>
                <w:szCs w:val="18"/>
                <w:color w:val="auto"/>
              </w:rPr>
            </w:pPr>
          </w:p>
        </w:tc>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157,748</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revenue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13,921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9,051</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82,031</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152,310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166,799</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195,156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192,133</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46,079</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52,823</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52,871</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158,291</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247,979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245,004</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Gain (loss) from foreign currency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16,591</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33,953</w:t>
            </w: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(65,783)</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(27,890)</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(65,783)</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(80,941)</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(29,725)</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(2.40)</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7"/>
        </w:trPr>
        <w:tc>
          <w:tcPr>
            <w:tcW w:w="60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27,386</w:t>
            </w: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27,000</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26,628</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(65,783)</w:t>
            </w:r>
          </w:p>
        </w:tc>
        <w:tc>
          <w:tcPr>
            <w:tcW w:w="40" w:type="dxa"/>
            <w:vAlign w:val="bottom"/>
            <w:tcBorders>
              <w:bottom w:val="single" w:sz="8" w:color="auto"/>
            </w:tcBorders>
          </w:tcPr>
          <w:p>
            <w:pPr>
              <w:spacing w:after="0"/>
              <w:rPr>
                <w:sz w:val="17"/>
                <w:szCs w:val="17"/>
                <w:color w:val="auto"/>
              </w:rPr>
            </w:pPr>
          </w:p>
        </w:tc>
        <w:tc>
          <w:tcPr>
            <w:tcW w:w="22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(80,941)</w:t>
            </w: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(29,725)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23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3,081</w:t>
            </w:r>
          </w:p>
        </w:tc>
        <w:tc>
          <w:tcPr>
            <w:tcW w:w="7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revenue</w:t>
            </w:r>
          </w:p>
        </w:tc>
        <w:tc>
          <w:tcPr>
            <w:tcW w:w="19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4,115</w:t>
            </w: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9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7,196</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22,766</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24,476</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43,780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14,027</w:t>
            </w: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12,380</w:t>
            </w:r>
          </w:p>
        </w:tc>
        <w:tc>
          <w:tcPr>
            <w:tcW w:w="0" w:type="dxa"/>
            <w:vAlign w:val="bottom"/>
          </w:tcPr>
          <w:p>
            <w:pPr>
              <w:spacing w:after="0"/>
              <w:rPr>
                <w:sz w:val="1"/>
                <w:szCs w:val="1"/>
                <w:color w:val="auto"/>
              </w:rPr>
            </w:pPr>
          </w:p>
        </w:tc>
      </w:tr>
      <w:tr>
        <w:trPr>
          <w:trHeight w:val="209"/>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38,503</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56,160</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Gain from foreign currency</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19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1,523</w:t>
            </w: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(30,009)</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19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9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(29,079)</w:t>
            </w:r>
          </w:p>
        </w:tc>
        <w:tc>
          <w:tcPr>
            <w:tcW w:w="2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0" w:type="dxa"/>
            <w:vAlign w:val="bottom"/>
          </w:tcPr>
          <w:p>
            <w:pPr>
              <w:spacing w:after="0"/>
              <w:rPr>
                <w:sz w:val="1"/>
                <w:szCs w:val="1"/>
                <w:color w:val="auto"/>
              </w:rPr>
            </w:pPr>
          </w:p>
        </w:tc>
      </w:tr>
      <w:tr>
        <w:trPr>
          <w:trHeight w:val="197"/>
        </w:trPr>
        <w:tc>
          <w:tcPr>
            <w:tcW w:w="59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9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tcBorders>
              <w:bottom w:val="single" w:sz="8" w:color="CCEEFF"/>
            </w:tcBorders>
            <w:vMerge w:val="continue"/>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28,112</w:t>
            </w:r>
          </w:p>
        </w:tc>
        <w:tc>
          <w:tcPr>
            <w:tcW w:w="2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9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(29,079)</w:t>
            </w:r>
          </w:p>
        </w:tc>
        <w:tc>
          <w:tcPr>
            <w:tcW w:w="2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Arcturus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Public Relations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Neda Safarzadeh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VP, Head of IR/PR/Marketing</w:t>
      </w:r>
    </w:p>
    <w:p>
      <w:pPr>
        <w:spacing w:after="0" w:line="9"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900-2682</w:t>
      </w:r>
    </w:p>
    <w:p>
      <w:pPr>
        <w:spacing w:after="0" w:line="9" w:lineRule="exact"/>
        <w:rPr>
          <w:rFonts w:ascii="Times New Roman" w:cs="Times New Roman" w:eastAsia="Times New Roman" w:hAnsi="Times New Roman"/>
          <w:sz w:val="18"/>
          <w:szCs w:val="18"/>
          <w:color w:val="333333"/>
        </w:rPr>
      </w:pPr>
    </w:p>
    <w:p>
      <w:pPr>
        <w:spacing w:after="0"/>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IR@ArcturusRx.com</w:t>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810"/>
    </w:lvl>
  </w:abstractNum>
  <w:abstractNum w:abstractNumId="5">
    <w:nsid w:val="507ED7AB"/>
    <w:multiLevelType w:val="hybridMultilevel"/>
    <w:lvl w:ilvl="0">
      <w:lvlJc w:val="left"/>
      <w:lvlText w:val="(%1)"/>
      <w:numFmt w:val="decimal"/>
      <w:start w:val="858"/>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2026-03-03T15:10:12Z</dcterms:created>
  <dcterms:modified xsi:type="dcterms:W3CDTF">2026-03-03T15:10:12Z</dcterms:modified>
</cp:coreProperties>
</file>