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ANNUAL REPORT PURSUANT TO SECTION 13 OR 15(d) OF THE SECURITIES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001-35932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Amot Investment Building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Weizman St. 9th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Aviv 6423902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 Yaron Daniely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Amot Investment Building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Weizman St. 9th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Aviv 6423902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+972.72.220.4661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Telephone and/or Facsimile number and Address of Company Contact Person)</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ectPr>
          <w:pgSz w:w="11900" w:h="16838" w:orient="portrait"/>
          <w:cols w:equalWidth="0" w:num="1">
            <w:col w:w="11420"/>
          </w:cols>
          <w:pgMar w:left="240" w:top="499" w:right="239" w:bottom="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Ordinary Shares, par value of NIS 0.01</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Nasdaq Global Market</w:t>
      </w:r>
    </w:p>
    <w:p>
      <w:pPr>
        <w:spacing w:after="0" w:line="200" w:lineRule="exact"/>
        <w:rPr>
          <w:sz w:val="24"/>
          <w:szCs w:val="24"/>
          <w:color w:val="auto"/>
        </w:rPr>
      </w:pPr>
    </w:p>
    <w:p>
      <w:pPr>
        <w:sectPr>
          <w:pgSz w:w="11900" w:h="16838" w:orient="portrait"/>
          <w:cols w:equalWidth="0" w:num="2">
            <w:col w:w="5100" w:space="720"/>
            <w:col w:w="5600"/>
          </w:cols>
          <w:pgMar w:left="240" w:top="499"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4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13,702,772 Ordinary Shares, par value NIS 0.01 per share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well-known seasoned issuer, as defined in Rule 405 of the Securities Act.</w:t>
      </w:r>
    </w:p>
    <w:p>
      <w:pPr>
        <w:spacing w:after="0" w:line="193" w:lineRule="exact"/>
        <w:rPr>
          <w:sz w:val="24"/>
          <w:szCs w:val="24"/>
          <w:color w:val="auto"/>
        </w:rPr>
      </w:pPr>
    </w:p>
    <w:p>
      <w:pPr>
        <w:ind w:left="660"/>
        <w:spacing w:after="0" w:line="207" w:lineRule="exact"/>
        <w:tabs>
          <w:tab w:leader="none" w:pos="15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5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4"/>
          <w:szCs w:val="24"/>
          <w:color w:val="auto"/>
        </w:rPr>
      </w:pPr>
    </w:p>
    <w:p>
      <w:pPr>
        <w:ind w:left="660"/>
        <w:spacing w:after="0" w:line="207" w:lineRule="exact"/>
        <w:tabs>
          <w:tab w:leader="none" w:pos="15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660"/>
        <w:spacing w:after="0" w:line="207" w:lineRule="exact"/>
        <w:tabs>
          <w:tab w:leader="none" w:pos="15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58"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9" w:lineRule="exact"/>
        <w:rPr>
          <w:sz w:val="24"/>
          <w:szCs w:val="24"/>
          <w:color w:val="auto"/>
        </w:rPr>
      </w:pPr>
    </w:p>
    <w:p>
      <w:pPr>
        <w:ind w:left="660"/>
        <w:spacing w:after="0" w:line="207" w:lineRule="exact"/>
        <w:tabs>
          <w:tab w:leader="none" w:pos="15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(as defined in Rule 12b-2 of the Act).</w:t>
      </w:r>
    </w:p>
    <w:p>
      <w:pPr>
        <w:spacing w:after="0" w:line="216" w:lineRule="exact"/>
        <w:rPr>
          <w:sz w:val="24"/>
          <w:szCs w:val="24"/>
          <w:color w:val="auto"/>
        </w:rPr>
      </w:pPr>
    </w:p>
    <w:p>
      <w:pPr>
        <w:ind w:left="660"/>
        <w:spacing w:after="0" w:line="207" w:lineRule="exact"/>
        <w:tabs>
          <w:tab w:leader="none" w:pos="2860" w:val="left"/>
          <w:tab w:leader="none" w:pos="46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p>
      <w:pPr>
        <w:spacing w:after="0" w:line="22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ectPr>
          <w:pgSz w:w="11900" w:h="16838" w:orient="portrait"/>
          <w:cols w:equalWidth="0" w:num="1">
            <w:col w:w="11420"/>
          </w:cols>
          <w:pgMar w:left="240" w:top="499" w:right="239" w:bottom="0" w:gutter="0" w:footer="0" w:header="0"/>
          <w:type w:val="continuous"/>
        </w:sectPr>
      </w:pPr>
    </w:p>
    <w:bookmarkStart w:id="1" w:name="page2"/>
    <w:bookmarkEnd w:id="1"/>
    <w:p>
      <w:pPr>
        <w:ind w:left="660"/>
        <w:spacing w:after="0" w:line="239" w:lineRule="exact"/>
        <w:rPr>
          <w:sz w:val="20"/>
          <w:szCs w:val="20"/>
          <w:color w:val="auto"/>
        </w:rPr>
      </w:pPr>
      <w:r>
        <w:rPr>
          <w:rFonts w:ascii="Arial" w:cs="Arial" w:eastAsia="Arial" w:hAnsi="Arial"/>
          <w:sz w:val="18"/>
          <w:szCs w:val="18"/>
          <w:color w:val="auto"/>
        </w:rPr>
        <w:t xml:space="preserve">Other </w:t>
      </w:r>
      <w:r>
        <w:rPr>
          <w:rFonts w:ascii="MS PGothic" w:cs="MS PGothic" w:eastAsia="MS PGothic" w:hAnsi="MS PGothic"/>
          <w:sz w:val="18"/>
          <w:szCs w:val="18"/>
          <w:color w:val="auto"/>
        </w:rPr>
        <w:t>☐</w:t>
      </w:r>
      <w:r>
        <w:rPr>
          <w:rFonts w:ascii="Arial" w:cs="Arial" w:eastAsia="Arial" w:hAnsi="Arial"/>
          <w:sz w:val="18"/>
          <w:szCs w:val="18"/>
          <w:color w:val="auto"/>
        </w:rPr>
        <w:t xml:space="preserve"> If "Other" has been checked in response to the previous question, indicate by check mark which financial statement item the registrant has elected to follow.</w:t>
      </w:r>
    </w:p>
    <w:p>
      <w:pPr>
        <w:spacing w:after="0" w:line="170" w:lineRule="exact"/>
        <w:rPr>
          <w:sz w:val="20"/>
          <w:szCs w:val="20"/>
          <w:color w:val="auto"/>
        </w:rPr>
      </w:pPr>
    </w:p>
    <w:p>
      <w:pPr>
        <w:ind w:left="660"/>
        <w:spacing w:after="0" w:line="207" w:lineRule="exact"/>
        <w:tabs>
          <w:tab w:leader="none" w:pos="184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Item 18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ind w:left="660"/>
        <w:spacing w:after="0" w:line="207" w:lineRule="exact"/>
        <w:tabs>
          <w:tab w:leader="none" w:pos="13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09"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5"/>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840" w:type="dxa"/>
            <w:vAlign w:val="bottom"/>
            <w:gridSpan w:val="6"/>
          </w:tcPr>
          <w:p>
            <w:pPr>
              <w:spacing w:after="0"/>
              <w:rPr>
                <w:sz w:val="20"/>
                <w:szCs w:val="20"/>
                <w:color w:val="auto"/>
              </w:rPr>
            </w:pPr>
            <w:r>
              <w:rPr>
                <w:rFonts w:ascii="Arial" w:cs="Arial" w:eastAsia="Arial" w:hAnsi="Arial"/>
                <w:sz w:val="18"/>
                <w:szCs w:val="18"/>
                <w:b w:val="1"/>
                <w:bCs w:val="1"/>
                <w:color w:val="auto"/>
              </w:rPr>
              <w:t>Item Number</w:t>
            </w:r>
          </w:p>
        </w:tc>
        <w:tc>
          <w:tcPr>
            <w:tcW w:w="2920" w:type="dxa"/>
            <w:vAlign w:val="bottom"/>
            <w:gridSpan w:val="15"/>
          </w:tcPr>
          <w:p>
            <w:pPr>
              <w:spacing w:after="0"/>
              <w:rPr>
                <w:sz w:val="20"/>
                <w:szCs w:val="20"/>
                <w:color w:val="auto"/>
              </w:rPr>
            </w:pPr>
            <w:r>
              <w:rPr>
                <w:rFonts w:ascii="Arial" w:cs="Arial" w:eastAsia="Arial" w:hAnsi="Arial"/>
                <w:sz w:val="18"/>
                <w:szCs w:val="18"/>
                <w:b w:val="1"/>
                <w:bCs w:val="1"/>
                <w:color w:val="auto"/>
              </w:rPr>
              <w:t>Title</w:t>
            </w:r>
          </w:p>
        </w:tc>
        <w:tc>
          <w:tcPr>
            <w:tcW w:w="1920" w:type="dxa"/>
            <w:vAlign w:val="bottom"/>
            <w:tcBorders>
              <w:top w:val="single" w:sz="8" w:color="auto"/>
            </w:tcBorders>
            <w:gridSpan w:val="10"/>
          </w:tcPr>
          <w:p>
            <w:pPr>
              <w:spacing w:after="0"/>
              <w:rPr>
                <w:sz w:val="24"/>
                <w:szCs w:val="24"/>
                <w:color w:val="auto"/>
              </w:rPr>
            </w:pPr>
          </w:p>
        </w:tc>
        <w:tc>
          <w:tcPr>
            <w:tcW w:w="3600" w:type="dxa"/>
            <w:vAlign w:val="bottom"/>
            <w:gridSpan w:val="4"/>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ONE</w:t>
              </w:r>
            </w:hyperlink>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440" w:type="dxa"/>
            <w:vAlign w:val="bottom"/>
            <w:gridSpan w:val="2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advisers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color w:val="auto"/>
              </w:rPr>
              <w:t>Item 2.</w:t>
            </w:r>
          </w:p>
        </w:tc>
        <w:tc>
          <w:tcPr>
            <w:tcW w:w="386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4580" w:type="dxa"/>
            <w:vAlign w:val="bottom"/>
            <w:tcBorders>
              <w:top w:val="single" w:sz="8" w:color="CCEEFF"/>
            </w:tcBorders>
            <w:gridSpan w:val="7"/>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12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Key information</w:t>
              </w:r>
            </w:hyperlink>
          </w:p>
        </w:tc>
        <w:tc>
          <w:tcPr>
            <w:tcW w:w="7240" w:type="dxa"/>
            <w:vAlign w:val="bottom"/>
            <w:tcBorders>
              <w:bottom w:val="single" w:sz="8" w:color="CCEEFF"/>
            </w:tcBorders>
            <w:gridSpan w:val="2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4.</w:t>
            </w:r>
          </w:p>
        </w:tc>
        <w:tc>
          <w:tcPr>
            <w:tcW w:w="8440" w:type="dxa"/>
            <w:vAlign w:val="bottom"/>
            <w:gridSpan w:val="29"/>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Information on the company</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4A.</w:t>
            </w:r>
          </w:p>
        </w:tc>
        <w:tc>
          <w:tcPr>
            <w:tcW w:w="8440" w:type="dxa"/>
            <w:vAlign w:val="bottom"/>
            <w:gridSpan w:val="29"/>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Unresolved staff comments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5.</w:t>
            </w:r>
          </w:p>
        </w:tc>
        <w:tc>
          <w:tcPr>
            <w:tcW w:w="8440" w:type="dxa"/>
            <w:vAlign w:val="bottom"/>
            <w:gridSpan w:val="29"/>
          </w:tcPr>
          <w:p>
            <w:pPr>
              <w:ind w:left="4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Operating and financial review and prospects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3340" w:type="dxa"/>
            <w:vAlign w:val="bottom"/>
            <w:tcBorders>
              <w:bottom w:val="single" w:sz="8" w:color="0000EE"/>
            </w:tcBorders>
            <w:gridSpan w:val="18"/>
            <w:shd w:val="clear" w:color="auto" w:fill="CCEEFF"/>
          </w:tcPr>
          <w:p>
            <w:pPr>
              <w:ind w:left="40"/>
              <w:spacing w:after="0" w:line="17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Directors, senior management and employees</w:t>
              </w:r>
            </w:hyperlink>
          </w:p>
        </w:tc>
        <w:tc>
          <w:tcPr>
            <w:tcW w:w="5100" w:type="dxa"/>
            <w:vAlign w:val="bottom"/>
            <w:tcBorders>
              <w:bottom w:val="single" w:sz="8" w:color="CCEEFF"/>
            </w:tcBorders>
            <w:gridSpan w:val="11"/>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7.</w:t>
            </w:r>
          </w:p>
        </w:tc>
        <w:tc>
          <w:tcPr>
            <w:tcW w:w="8440" w:type="dxa"/>
            <w:vAlign w:val="bottom"/>
            <w:gridSpan w:val="29"/>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Major shareholders and related party transactions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15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Financial Information</w:t>
              </w:r>
            </w:hyperlink>
          </w:p>
        </w:tc>
        <w:tc>
          <w:tcPr>
            <w:tcW w:w="6860" w:type="dxa"/>
            <w:vAlign w:val="bottom"/>
            <w:tcBorders>
              <w:bottom w:val="single" w:sz="8" w:color="CCEEFF"/>
            </w:tcBorders>
            <w:gridSpan w:val="24"/>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9.</w:t>
            </w:r>
          </w:p>
        </w:tc>
        <w:tc>
          <w:tcPr>
            <w:tcW w:w="8440" w:type="dxa"/>
            <w:vAlign w:val="bottom"/>
            <w:gridSpan w:val="29"/>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The offer and listing</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8440" w:type="dxa"/>
            <w:vAlign w:val="bottom"/>
            <w:gridSpan w:val="29"/>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Additional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11.</w:t>
            </w:r>
          </w:p>
        </w:tc>
        <w:tc>
          <w:tcPr>
            <w:tcW w:w="8440" w:type="dxa"/>
            <w:vAlign w:val="bottom"/>
            <w:gridSpan w:val="29"/>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Quantitative and qualitative disclosures about market risk</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8440" w:type="dxa"/>
            <w:vAlign w:val="bottom"/>
            <w:gridSpan w:val="29"/>
            <w:shd w:val="clear" w:color="auto" w:fill="CCEEFF"/>
          </w:tcPr>
          <w:p>
            <w:pPr>
              <w:ind w:left="40"/>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securities other than equity securities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PART TWO</w:t>
              </w:r>
            </w:hyperlink>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34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Defaults, dividend arrearages and delinquencies</w:t>
              </w:r>
            </w:hyperlink>
          </w:p>
        </w:tc>
        <w:tc>
          <w:tcPr>
            <w:tcW w:w="4980" w:type="dxa"/>
            <w:vAlign w:val="bottom"/>
            <w:tcBorders>
              <w:bottom w:val="single" w:sz="8" w:color="CCEEFF"/>
            </w:tcBorders>
            <w:gridSpan w:val="10"/>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14.</w:t>
            </w:r>
          </w:p>
        </w:tc>
        <w:tc>
          <w:tcPr>
            <w:tcW w:w="8440" w:type="dxa"/>
            <w:vAlign w:val="bottom"/>
            <w:gridSpan w:val="29"/>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Material modifications to the rights of security holders and use of proceeds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8440" w:type="dxa"/>
            <w:vAlign w:val="bottom"/>
            <w:gridSpan w:val="29"/>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16A.</w:t>
            </w:r>
          </w:p>
        </w:tc>
        <w:tc>
          <w:tcPr>
            <w:tcW w:w="8440" w:type="dxa"/>
            <w:vAlign w:val="bottom"/>
            <w:gridSpan w:val="29"/>
          </w:tcPr>
          <w:p>
            <w:pPr>
              <w:ind w:left="40"/>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Audit committee financial expert</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16B.</w:t>
            </w:r>
          </w:p>
        </w:tc>
        <w:tc>
          <w:tcPr>
            <w:tcW w:w="8440" w:type="dxa"/>
            <w:vAlign w:val="bottom"/>
            <w:gridSpan w:val="29"/>
            <w:shd w:val="clear" w:color="auto" w:fill="CCEEFF"/>
          </w:tcPr>
          <w:p>
            <w:pPr>
              <w:ind w:left="40"/>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Code of ethics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16C.</w:t>
            </w:r>
          </w:p>
        </w:tc>
        <w:tc>
          <w:tcPr>
            <w:tcW w:w="8440" w:type="dxa"/>
            <w:vAlign w:val="bottom"/>
            <w:gridSpan w:val="29"/>
          </w:tcPr>
          <w:p>
            <w:pPr>
              <w:ind w:left="40"/>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Principal accountant fees and services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16D.</w:t>
            </w:r>
          </w:p>
        </w:tc>
        <w:tc>
          <w:tcPr>
            <w:tcW w:w="428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Exemptions from the listing standards for audit committees</w:t>
              </w:r>
            </w:hyperlink>
          </w:p>
        </w:tc>
        <w:tc>
          <w:tcPr>
            <w:tcW w:w="4160" w:type="dxa"/>
            <w:vAlign w:val="bottom"/>
            <w:tcBorders>
              <w:bottom w:val="single" w:sz="8" w:color="CCEEFF"/>
            </w:tcBorders>
            <w:gridSpan w:val="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16E.</w:t>
            </w:r>
          </w:p>
        </w:tc>
        <w:tc>
          <w:tcPr>
            <w:tcW w:w="8440" w:type="dxa"/>
            <w:vAlign w:val="bottom"/>
            <w:gridSpan w:val="29"/>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Purchases of equity securities by the issuer and affiliated purchasers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16F.</w:t>
            </w:r>
          </w:p>
        </w:tc>
        <w:tc>
          <w:tcPr>
            <w:tcW w:w="31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Change in registrant's certifying accountant</w:t>
              </w:r>
            </w:hyperlink>
          </w:p>
        </w:tc>
        <w:tc>
          <w:tcPr>
            <w:tcW w:w="5300" w:type="dxa"/>
            <w:vAlign w:val="bottom"/>
            <w:tcBorders>
              <w:bottom w:val="single" w:sz="8" w:color="CCEEFF"/>
            </w:tcBorders>
            <w:gridSpan w:val="13"/>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16G.</w:t>
            </w:r>
          </w:p>
        </w:tc>
        <w:tc>
          <w:tcPr>
            <w:tcW w:w="8440" w:type="dxa"/>
            <w:vAlign w:val="bottom"/>
            <w:gridSpan w:val="29"/>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Corporate governance</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16H.</w:t>
            </w:r>
          </w:p>
        </w:tc>
        <w:tc>
          <w:tcPr>
            <w:tcW w:w="8440" w:type="dxa"/>
            <w:vAlign w:val="bottom"/>
            <w:gridSpan w:val="29"/>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Mine safety disclosure</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PART THREE</w:t>
              </w:r>
            </w:hyperlink>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17.</w:t>
            </w:r>
          </w:p>
        </w:tc>
        <w:tc>
          <w:tcPr>
            <w:tcW w:w="14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Financial statements</w:t>
              </w:r>
            </w:hyperlink>
          </w:p>
        </w:tc>
        <w:tc>
          <w:tcPr>
            <w:tcW w:w="6960" w:type="dxa"/>
            <w:vAlign w:val="bottom"/>
            <w:tcBorders>
              <w:bottom w:val="single" w:sz="8" w:color="CCEEFF"/>
            </w:tcBorders>
            <w:gridSpan w:val="2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18.</w:t>
            </w:r>
          </w:p>
        </w:tc>
        <w:tc>
          <w:tcPr>
            <w:tcW w:w="8440" w:type="dxa"/>
            <w:vAlign w:val="bottom"/>
            <w:gridSpan w:val="29"/>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Financial statements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19.</w:t>
            </w:r>
          </w:p>
        </w:tc>
        <w:tc>
          <w:tcPr>
            <w:tcW w:w="8440" w:type="dxa"/>
            <w:vAlign w:val="bottom"/>
            <w:gridSpan w:val="29"/>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Exhibits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otherwise indicated, all references to the "Company," "we," "our" and "Alcobra" refer to Alcobra Ltd. and its subsidiary, Alcobra Inc., a Delaware corporation. References to "U.S. dollars" and "$" are to currency of the United States of America, and references to "NIS" are to new Israeli shekels. References to "Ordinary Shares" are to our Ordinary Shares, par value of NIS 0.01 per share.</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do not endorse or adopt any third-party research or forecast firms’ statements or reports referred to in this annual report and assume no responsibility for the contents or opinions represented in such statements or reports, nor for the updating of any information contained therein.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annual report contains express or implied "forward-looking statements" within the meaning of the Private Securities Litigation Reform Act of 1995 and other U.S. Federal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but are not limited to:</w:t>
      </w:r>
    </w:p>
    <w:p>
      <w:pPr>
        <w:spacing w:after="0" w:line="225" w:lineRule="exact"/>
        <w:rPr>
          <w:sz w:val="20"/>
          <w:szCs w:val="20"/>
          <w:color w:val="auto"/>
        </w:rPr>
      </w:pPr>
    </w:p>
    <w:p>
      <w:pPr>
        <w:ind w:left="660" w:right="4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FDA approval of, or other regulatory action in the United States and elsewhere with respect to, our drug candidate, a proprietary formulation of metadoxine, or MDX;</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commercial launch and future sales of MDX or any other future products or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favorable pricing for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orphan drug designation for MDX, and implications if such designation is lost;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commercial supply of our MDX drug candidate;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third-party payor reimbursement for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regarding anticipated expenses, capital requirements and our needs for additional financing;</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patient market size of Attention Deficit and Hyperactivity Disorder, or ADHD, and Fragile X Syndrome, or Fragile X, and market adoption of MDX by physicians and patients;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cost or other aspects of the commercial launch of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design of future clinical trials and our ability to better control placebo response;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duration and cost of clinical trials for MDX or whether such trials will be conducted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completing, receiving favorable results, and announcing results of clinical trials for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issuance of patents to us by the United States Patent and Trademark Office, or U.S. PTO, and other governmental patent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our proprietary technology and enforce our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development and approval of the use of MDX for additional indications other than ADHD and Fragile X;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licensing, acquisitions and strategic operations.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7"/>
          <w:szCs w:val="17"/>
          <w:color w:val="auto"/>
        </w:rPr>
        <w:t>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herein would not be interpreted differently in light of additional research and clinical and preclinical trials results. The forward-looking statements contained in this annual report are subject to risks and uncertainties, including those discussed under Item 3.D. – "Risk Factors" and in our other filings with the Securities and Exchange Commission, or the SEC.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 Except as required by law, we are under no duty to (and expressly disclaim any such obligation to) update or revise any of the forward-looking statements, whether as a result of new information, future events or otherwise, after the date of this annual report.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PART ONE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3.A.</w:t>
      </w:r>
      <w:r>
        <w:rPr>
          <w:sz w:val="20"/>
          <w:szCs w:val="20"/>
          <w:color w:val="auto"/>
        </w:rPr>
        <w:tab/>
      </w:r>
      <w:r>
        <w:rPr>
          <w:rFonts w:ascii="Arial" w:cs="Arial" w:eastAsia="Arial" w:hAnsi="Arial"/>
          <w:sz w:val="15"/>
          <w:szCs w:val="15"/>
          <w:b w:val="1"/>
          <w:bCs w:val="1"/>
          <w:color w:val="auto"/>
        </w:rPr>
        <w:t>Selected financial data</w:t>
      </w:r>
    </w:p>
    <w:p>
      <w:pPr>
        <w:spacing w:after="0" w:line="229" w:lineRule="exact"/>
        <w:rPr>
          <w:sz w:val="20"/>
          <w:szCs w:val="20"/>
          <w:color w:val="auto"/>
        </w:rPr>
      </w:pPr>
    </w:p>
    <w:p>
      <w:pPr>
        <w:ind w:firstLine="383"/>
        <w:spacing w:after="0" w:line="276" w:lineRule="auto"/>
        <w:rPr>
          <w:sz w:val="20"/>
          <w:szCs w:val="20"/>
          <w:color w:val="auto"/>
        </w:rPr>
      </w:pPr>
      <w:r>
        <w:rPr>
          <w:rFonts w:ascii="Arial" w:cs="Arial" w:eastAsia="Arial" w:hAnsi="Arial"/>
          <w:sz w:val="17"/>
          <w:szCs w:val="17"/>
          <w:color w:val="auto"/>
        </w:rPr>
        <w:t>Our historical consolidated financial statements are prepared in accordance with generally accepted accounting principles in the United States and are presented in U.S. dollars. The selected historical consolidated financial information as of December 31, 2013 and 2014 and for the years ended December 31, 2012, 2013 and 2014 have been derived from, and should be read in conjunction with, the consolidated financial statements of Alcobra Ltd. and notes thereto appearing elsewhere in this annual report. The selected financial data as of December 31, 2011 and 2012 and for the year ended December 31, 2011 have been derived from the audited financial statements of Alcobra Ltd. not included in this annual report.</w:t>
      </w:r>
    </w:p>
    <w:p>
      <w:pPr>
        <w:spacing w:after="0" w:line="173" w:lineRule="exact"/>
        <w:rPr>
          <w:sz w:val="20"/>
          <w:szCs w:val="20"/>
          <w:color w:val="auto"/>
        </w:rPr>
      </w:pPr>
    </w:p>
    <w:p>
      <w:pPr>
        <w:jc w:val="both"/>
        <w:ind w:right="80" w:firstLine="383"/>
        <w:spacing w:after="0" w:line="264" w:lineRule="auto"/>
        <w:rPr>
          <w:sz w:val="20"/>
          <w:szCs w:val="20"/>
          <w:color w:val="auto"/>
        </w:rPr>
      </w:pPr>
      <w:r>
        <w:rPr>
          <w:rFonts w:ascii="Arial" w:cs="Arial" w:eastAsia="Arial" w:hAnsi="Arial"/>
          <w:sz w:val="18"/>
          <w:szCs w:val="18"/>
          <w:color w:val="auto"/>
        </w:rPr>
        <w:t>The information presented below is qualified by the more detailed historical consolidated financial statements set forth in this annual report, and should be read in conjunction with those consolidated financial statements, the notes thereto and the discussion under Item 5 – "Operating and Financial Review and Prospects" - included elsewhere in this annual report.</w:t>
      </w:r>
    </w:p>
    <w:p>
      <w:pPr>
        <w:spacing w:after="0" w:line="181" w:lineRule="exact"/>
        <w:rPr>
          <w:sz w:val="20"/>
          <w:szCs w:val="20"/>
          <w:color w:val="auto"/>
        </w:rPr>
      </w:pPr>
    </w:p>
    <w:p>
      <w:pPr>
        <w:jc w:val="both"/>
        <w:ind w:right="100" w:firstLine="383"/>
        <w:spacing w:after="0" w:line="264" w:lineRule="auto"/>
        <w:rPr>
          <w:sz w:val="20"/>
          <w:szCs w:val="20"/>
          <w:color w:val="auto"/>
        </w:rPr>
      </w:pPr>
      <w:r>
        <w:rPr>
          <w:rFonts w:ascii="Arial" w:cs="Arial" w:eastAsia="Arial" w:hAnsi="Arial"/>
          <w:sz w:val="18"/>
          <w:szCs w:val="18"/>
          <w:color w:val="auto"/>
        </w:rPr>
        <w:t>As an "emerging growth company," and pursuant to the Jump Start our Business Startups Act of 2012, or the JOBS Act, we are not required to include selected financial data for periods before the earliest audited period presented in our initial public offering registration statement. Accordingly, we are not yet required to present five years of historical financial data.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 Data – Year Ended December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2012</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CCEEFF"/>
            </w:tcBorders>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Pre Commercialization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80" w:type="dxa"/>
            <w:vAlign w:val="bottom"/>
            <w:shd w:val="clear" w:color="auto" w:fill="CCEEFF"/>
          </w:tcPr>
          <w:p>
            <w:pPr>
              <w:spacing w:after="0"/>
              <w:rPr>
                <w:sz w:val="19"/>
                <w:szCs w:val="19"/>
                <w:color w:val="auto"/>
              </w:rPr>
            </w:pP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(33,078)</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80" w:type="dxa"/>
            <w:vAlign w:val="bottom"/>
          </w:tcPr>
          <w:p>
            <w:pPr>
              <w:spacing w:after="0"/>
              <w:rPr>
                <w:sz w:val="18"/>
                <w:szCs w:val="18"/>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Net income before taxes</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(32,851)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(Tax benefit)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Deemed dividend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180</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(32,834</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Basic net income and diluted net income per share</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8"/>
                <w:szCs w:val="18"/>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Shares used in computing basic and diluted net income per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13,674,818</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10,177,786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7,791,932</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7,843,388</w:t>
            </w:r>
          </w:p>
        </w:tc>
        <w:tc>
          <w:tcPr>
            <w:tcW w:w="80" w:type="dxa"/>
            <w:vAlign w:val="bottom"/>
            <w:shd w:val="clear" w:color="auto" w:fill="CCEEFF"/>
          </w:tcPr>
          <w:p>
            <w:pPr>
              <w:spacing w:after="0"/>
              <w:rPr>
                <w:sz w:val="21"/>
                <w:szCs w:val="21"/>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4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320" w:type="dxa"/>
            <w:vAlign w:val="bottom"/>
            <w:gridSpan w:val="14"/>
          </w:tcPr>
          <w:p>
            <w:pPr>
              <w:ind w:left="140"/>
              <w:spacing w:after="0"/>
              <w:rPr>
                <w:sz w:val="20"/>
                <w:szCs w:val="20"/>
                <w:color w:val="auto"/>
              </w:rPr>
            </w:pPr>
            <w:r>
              <w:rPr>
                <w:rFonts w:ascii="Arial" w:cs="Arial" w:eastAsia="Arial" w:hAnsi="Arial"/>
                <w:sz w:val="18"/>
                <w:szCs w:val="18"/>
                <w:b w:val="1"/>
                <w:bCs w:val="1"/>
                <w:color w:val="auto"/>
                <w:w w:val="98"/>
              </w:rPr>
              <w:t>Consolidated Balance Sheet Data – Year Ended December 31</w:t>
            </w:r>
          </w:p>
        </w:tc>
      </w:tr>
      <w:tr>
        <w:trPr>
          <w:trHeight w:val="230"/>
        </w:trPr>
        <w:tc>
          <w:tcPr>
            <w:tcW w:w="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380" w:type="dxa"/>
            <w:vAlign w:val="bottom"/>
            <w:gridSpan w:val="11"/>
          </w:tcPr>
          <w:p>
            <w:pPr>
              <w:jc w:val="right"/>
              <w:ind w:right="40"/>
              <w:spacing w:after="0"/>
              <w:rPr>
                <w:sz w:val="20"/>
                <w:szCs w:val="20"/>
                <w:color w:val="auto"/>
              </w:rPr>
            </w:pPr>
            <w:r>
              <w:rPr>
                <w:rFonts w:ascii="Arial" w:cs="Arial" w:eastAsia="Arial" w:hAnsi="Arial"/>
                <w:sz w:val="18"/>
                <w:szCs w:val="18"/>
                <w:i w:val="1"/>
                <w:iCs w:val="1"/>
                <w:color w:val="auto"/>
              </w:rPr>
              <w:t>(in thousands of U.S. dollars, except for share data)</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8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bottom w:val="single" w:sz="8" w:color="CCEEFF"/>
            </w:tcBorders>
          </w:tcPr>
          <w:p>
            <w:pPr>
              <w:spacing w:after="0"/>
              <w:rPr>
                <w:sz w:val="24"/>
                <w:szCs w:val="24"/>
                <w:color w:val="auto"/>
              </w:rPr>
            </w:pPr>
          </w:p>
        </w:tc>
      </w:tr>
      <w:tr>
        <w:trPr>
          <w:trHeight w:val="21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22,318</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50,324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Number of shares outstanding</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13,702,772</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13,636,709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7,794,256</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8,096,109</w:t>
            </w:r>
          </w:p>
        </w:tc>
        <w:tc>
          <w:tcPr>
            <w:tcW w:w="80" w:type="dxa"/>
            <w:vAlign w:val="bottom"/>
          </w:tcPr>
          <w:p>
            <w:pPr>
              <w:spacing w:after="0"/>
              <w:rPr>
                <w:sz w:val="20"/>
                <w:szCs w:val="20"/>
                <w:color w:val="auto"/>
              </w:rPr>
            </w:pPr>
          </w:p>
        </w:tc>
      </w:tr>
      <w:tr>
        <w:trPr>
          <w:trHeight w:val="418"/>
        </w:trPr>
        <w:tc>
          <w:tcPr>
            <w:tcW w:w="480" w:type="dxa"/>
            <w:vAlign w:val="bottom"/>
          </w:tcPr>
          <w:p>
            <w:pPr>
              <w:spacing w:after="0"/>
              <w:rPr>
                <w:sz w:val="20"/>
                <w:szCs w:val="20"/>
                <w:color w:val="auto"/>
              </w:rPr>
            </w:pPr>
            <w:r>
              <w:rPr>
                <w:rFonts w:ascii="Arial" w:cs="Arial" w:eastAsia="Arial" w:hAnsi="Arial"/>
                <w:sz w:val="18"/>
                <w:szCs w:val="18"/>
                <w:b w:val="1"/>
                <w:bCs w:val="1"/>
                <w:color w:val="auto"/>
              </w:rPr>
              <w:t>3.B.</w:t>
            </w:r>
          </w:p>
        </w:tc>
        <w:tc>
          <w:tcPr>
            <w:tcW w:w="2760" w:type="dxa"/>
            <w:vAlign w:val="bottom"/>
          </w:tcPr>
          <w:p>
            <w:pPr>
              <w:ind w:left="180"/>
              <w:spacing w:after="0"/>
              <w:rPr>
                <w:sz w:val="20"/>
                <w:szCs w:val="20"/>
                <w:color w:val="auto"/>
              </w:rPr>
            </w:pPr>
            <w:r>
              <w:rPr>
                <w:rFonts w:ascii="Arial" w:cs="Arial" w:eastAsia="Arial" w:hAnsi="Arial"/>
                <w:sz w:val="18"/>
                <w:szCs w:val="18"/>
                <w:b w:val="1"/>
                <w:bCs w:val="1"/>
                <w:color w:val="auto"/>
                <w:w w:val="93"/>
              </w:rPr>
              <w:t>Capitalization and indebtedness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3.C.</w:t>
      </w:r>
      <w:r>
        <w:rPr>
          <w:sz w:val="20"/>
          <w:szCs w:val="20"/>
          <w:color w:val="auto"/>
        </w:rPr>
        <w:tab/>
      </w:r>
      <w:r>
        <w:rPr>
          <w:rFonts w:ascii="Arial" w:cs="Arial" w:eastAsia="Arial" w:hAnsi="Arial"/>
          <w:sz w:val="15"/>
          <w:szCs w:val="15"/>
          <w:b w:val="1"/>
          <w:bCs w:val="1"/>
          <w:color w:val="auto"/>
        </w:rPr>
        <w:t>Reasons for the offer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3.D.</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383"/>
        <w:spacing w:after="0" w:line="264" w:lineRule="auto"/>
        <w:rPr>
          <w:sz w:val="20"/>
          <w:szCs w:val="20"/>
          <w:color w:val="auto"/>
        </w:rPr>
      </w:pPr>
      <w:r>
        <w:rPr>
          <w:rFonts w:ascii="Arial" w:cs="Arial" w:eastAsia="Arial" w:hAnsi="Arial"/>
          <w:sz w:val="18"/>
          <w:szCs w:val="18"/>
          <w:color w:val="auto"/>
        </w:rPr>
        <w:t>In conducting our business, we face many risks that may interfere with our business objectives. Some of these risks could materially and adversely affect our business, financial condition and results of operations. In particular, we are subject to various risks resulting from changing economic, political, industry, business and financial conditions. The risks and uncertainties described below are not the only ones we face.</w:t>
      </w:r>
    </w:p>
    <w:p>
      <w:pPr>
        <w:spacing w:after="0" w:line="181" w:lineRule="exact"/>
        <w:rPr>
          <w:sz w:val="20"/>
          <w:szCs w:val="20"/>
          <w:color w:val="auto"/>
        </w:rPr>
      </w:pPr>
    </w:p>
    <w:p>
      <w:pPr>
        <w:ind w:right="20" w:firstLine="383"/>
        <w:spacing w:after="0" w:line="264" w:lineRule="auto"/>
        <w:rPr>
          <w:sz w:val="20"/>
          <w:szCs w:val="20"/>
          <w:color w:val="auto"/>
        </w:rPr>
      </w:pPr>
      <w:r>
        <w:rPr>
          <w:rFonts w:ascii="Arial" w:cs="Arial" w:eastAsia="Arial" w:hAnsi="Arial"/>
          <w:sz w:val="18"/>
          <w:szCs w:val="18"/>
          <w:color w:val="auto"/>
        </w:rPr>
        <w:t>You should carefully consider the following factors and other information in this annual report before you decide to invest in our Ordinary Shares. If any of the negative events referred to below occur, our business, financial condition and results of operations could suffer. In any such case, the trading price of our Ordinary Shares could decline, and you may lose all or part of your investment.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depend entirely on the success of our only current product candidate, MDX, and we may not obtain regulatory approval of MDX for the treatment of ADHD or other cognitive dysfunctions such as Fragile X, or we may be unable to successfully commercialize it.</w:t>
      </w:r>
    </w:p>
    <w:p>
      <w:pPr>
        <w:spacing w:after="0" w:line="170" w:lineRule="exact"/>
        <w:rPr>
          <w:sz w:val="20"/>
          <w:szCs w:val="20"/>
          <w:color w:val="auto"/>
        </w:rPr>
      </w:pPr>
    </w:p>
    <w:p>
      <w:pPr>
        <w:ind w:right="460" w:firstLine="416"/>
        <w:spacing w:after="0" w:line="259" w:lineRule="auto"/>
        <w:rPr>
          <w:sz w:val="20"/>
          <w:szCs w:val="20"/>
          <w:color w:val="auto"/>
        </w:rPr>
      </w:pPr>
      <w:r>
        <w:rPr>
          <w:rFonts w:ascii="Arial" w:cs="Arial" w:eastAsia="Arial" w:hAnsi="Arial"/>
          <w:sz w:val="18"/>
          <w:szCs w:val="18"/>
          <w:color w:val="auto"/>
        </w:rPr>
        <w:t>We have invested almost all of our efforts and financial resources in the research and development of MDX, which is currently our only product candidate. As a result, our business is entirely dependent on our ability to complete the development of, obtain regulatory approval for, and successfully commercialize, MDX in a timely manner. The process to develop, obtain regulatory approval for, and commercialize MDX is long, complex, costly and uncertain of outcome.</w:t>
      </w:r>
    </w:p>
    <w:p>
      <w:pPr>
        <w:spacing w:after="0" w:line="187" w:lineRule="exact"/>
        <w:rPr>
          <w:sz w:val="20"/>
          <w:szCs w:val="20"/>
          <w:color w:val="auto"/>
        </w:rPr>
      </w:pPr>
    </w:p>
    <w:p>
      <w:pPr>
        <w:ind w:right="120" w:firstLine="416"/>
        <w:spacing w:after="0" w:line="272" w:lineRule="auto"/>
        <w:rPr>
          <w:sz w:val="20"/>
          <w:szCs w:val="20"/>
          <w:color w:val="auto"/>
        </w:rPr>
      </w:pPr>
      <w:r>
        <w:rPr>
          <w:rFonts w:ascii="Arial" w:cs="Arial" w:eastAsia="Arial" w:hAnsi="Arial"/>
          <w:sz w:val="17"/>
          <w:szCs w:val="17"/>
          <w:color w:val="auto"/>
        </w:rPr>
        <w:t>The research, testing, manufacturing, labeling, approval, sale, marketing and distribution of drugs are subject to extensive regulation by the Food and Drug Administration, or FDA, in the United States and other regulatory agencies in other countries. These regulations differ from country to country. We are not permitted to market MDX or any other product candidate in the United States until we receive approval of a New Drug Application, or NDA, from the FDA, or in any foreign countries until we receive the requisite approval from regulatory agencies in such countries. We are required to conduct multiple additional clinical trials to be able to submit an NDA to the FDA or comparable applications to other regulatory authorities in other countries The results of additional clinical trials may be unsatisfactory, and even if we believe those clinical trials to be successful, there are many reasons why the FDA may not approve our NDA should we be in a position to file one.</w:t>
      </w:r>
    </w:p>
    <w:p>
      <w:pPr>
        <w:spacing w:after="0" w:line="178" w:lineRule="exact"/>
        <w:rPr>
          <w:sz w:val="20"/>
          <w:szCs w:val="20"/>
          <w:color w:val="auto"/>
        </w:rPr>
      </w:pPr>
    </w:p>
    <w:p>
      <w:pPr>
        <w:ind w:right="100" w:firstLine="416"/>
        <w:spacing w:after="0" w:line="270"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ind w:right="80" w:firstLine="416"/>
        <w:spacing w:after="0" w:line="259" w:lineRule="auto"/>
        <w:rPr>
          <w:sz w:val="20"/>
          <w:szCs w:val="20"/>
          <w:color w:val="auto"/>
        </w:rPr>
      </w:pPr>
      <w:r>
        <w:rPr>
          <w:rFonts w:ascii="Arial" w:cs="Arial" w:eastAsia="Arial" w:hAnsi="Arial"/>
          <w:sz w:val="18"/>
          <w:szCs w:val="18"/>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MDX. This would reduce our target market and limit the full commercial potential of MDX.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commencement and completion of clinical trials can be delayed or prevented for a number of reasons.</w:t>
      </w:r>
    </w:p>
    <w:p>
      <w:pPr>
        <w:spacing w:after="0" w:line="225"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181" w:lineRule="exact"/>
        <w:rPr>
          <w:sz w:val="20"/>
          <w:szCs w:val="20"/>
          <w:color w:val="auto"/>
        </w:rPr>
      </w:pPr>
    </w:p>
    <w:p>
      <w:pPr>
        <w:ind w:left="660" w:right="1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70"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contract research organizations, or CROs, contract manufacturing organizations, or CMOs, and trial sites, the terms of which can be subject to extensive negotiation and may vary significantly among different CROs and trial sites;</w:t>
      </w:r>
    </w:p>
    <w:p>
      <w:pPr>
        <w:spacing w:after="0" w:line="18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our third-party contractors, such as CROs and CMOs, or our investigators to comply with regulatory requirements or otherwise meet their contractual obligations in a timely manner;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FDA requiring alterations to any of our study designs, our pre-clinical strategy or our manufacturing plans;</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challenges recruiting and enrolling subjects to participate in clinical trials for a variety of reasons, including size and nature of subject population, proximity of subjects to clinical sites, eligibility criteria for the trial, nature of trial protocol, the availability of approved effective treatments for the relevant disease and competition from other clinical trial programs for similar indications;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in maintaining contact with subjects after treatment, which results in incomplete data;</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receipt by a competitor of marketing approval for a product targeting an indication that our product targets, such that we are not “first to market” with our product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right="140" w:firstLine="416"/>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safety issues, including serious adverse events associated with a product candidate, or lack of effectiveness;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Positive results in previous pre-clinical and clinical trials of MDX may not be replicated in future clinical trials of MDX, which could result in development delays or a failure to obtain marketing approval.</w:t>
      </w:r>
    </w:p>
    <w:p>
      <w:pPr>
        <w:spacing w:after="0" w:line="17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Positive results in previous pre-clinical and clinical studies of MDX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MDX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have significant pre-clinical or clinical data that support the applicability of MDX to other cognitive conditions, and, in particular, we do not have any clinical data to support the applicability of MDX for the treatment of Fragile X.</w:t>
      </w:r>
    </w:p>
    <w:p>
      <w:pPr>
        <w:spacing w:after="0" w:line="170" w:lineRule="exact"/>
        <w:rPr>
          <w:sz w:val="20"/>
          <w:szCs w:val="20"/>
          <w:color w:val="auto"/>
        </w:rPr>
      </w:pPr>
    </w:p>
    <w:p>
      <w:pPr>
        <w:ind w:right="60" w:firstLine="416"/>
        <w:spacing w:after="0" w:line="255" w:lineRule="auto"/>
        <w:rPr>
          <w:sz w:val="20"/>
          <w:szCs w:val="20"/>
          <w:color w:val="auto"/>
        </w:rPr>
      </w:pPr>
      <w:r>
        <w:rPr>
          <w:rFonts w:ascii="Arial" w:cs="Arial" w:eastAsia="Arial" w:hAnsi="Arial"/>
          <w:sz w:val="18"/>
          <w:szCs w:val="18"/>
          <w:color w:val="auto"/>
        </w:rPr>
        <w:t>We have completed two pre-clinical studies evaluating MDX in a recognized mouse model of Fragile X, and are currently conducting a Phase 2 clinical trial in approximately 60 adolescents and adults with Fragile X. In addition, we plan to investigate the use of MDX to treat other cognitive disorders and impairments. To date, we have obtained only limited pre-clinical data, and no clinical data, regarding such uses. Successful pre-clinical studies in most cases are not replicated in clinical studies. Therefore, we may not replicate positive results from pre-clinical studies in MDX for Fragile X in clinical studies. If we fail to obtain positive results in these clinical studies for MDX use in Fragile X, we will be unable to pursue this opportunity. Furthermore, the FDA has not approved any drugs specifically for the treatment of Fragile X or its symptoms, and several late stage clinical trials conducted by other pharmaceutical companies have failed.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approval of an NDA even after clinical trials that are believed to be successful is an uncertain process.</w:t>
      </w:r>
    </w:p>
    <w:p>
      <w:pPr>
        <w:spacing w:after="0" w:line="225" w:lineRule="exact"/>
        <w:rPr>
          <w:sz w:val="20"/>
          <w:szCs w:val="20"/>
          <w:color w:val="auto"/>
        </w:rPr>
      </w:pPr>
    </w:p>
    <w:p>
      <w:pPr>
        <w:ind w:right="200" w:firstLine="415"/>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MDX for many reasons, including:</w:t>
      </w:r>
    </w:p>
    <w:p>
      <w:pPr>
        <w:spacing w:after="0" w:line="18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demonstrate to the satisfaction of the FDA that MDX is safe and effective for any indication;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or clinical significance required by the FDA for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not find the data from pre-clinical studies and clinical trials sufficient to demonstrate that MDX’s clinical and other benefits outweigh its safety risks;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not accept data generated at our clinical trial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data collected from pre-clinical studies and clinical trials of MDX may not be sufficient to support the submission of an NDA;</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as a condition of approval;</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identify deficiencies in the manufacturing processes or facilities of third party manufacturers with which we enter into agreements for clinical and commercial supplies;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require simultaneous approval for both adults and for children and adolescents, delaying needed approvals, or we may have successful clinical trial results for adults but not children and adolescents, or vice versa.</w:t>
      </w:r>
    </w:p>
    <w:p>
      <w:pPr>
        <w:spacing w:after="0" w:line="170"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Before we can submit an NDA to the FDA, we may be required to conduct at least one or two Phase 3 trials, depending on the indication and results of the trial. Phase 3 clinical trials frequently produce unsatisfactory results even if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MDX and may be forced to cease operations.</w:t>
      </w:r>
    </w:p>
    <w:p>
      <w:pPr>
        <w:spacing w:after="0" w:line="167" w:lineRule="exact"/>
        <w:rPr>
          <w:sz w:val="20"/>
          <w:szCs w:val="20"/>
          <w:color w:val="auto"/>
        </w:rPr>
      </w:pPr>
    </w:p>
    <w:p>
      <w:pPr>
        <w:ind w:right="540" w:firstLine="416"/>
        <w:spacing w:after="0" w:line="286" w:lineRule="auto"/>
        <w:rPr>
          <w:sz w:val="20"/>
          <w:szCs w:val="20"/>
          <w:color w:val="auto"/>
        </w:rPr>
      </w:pPr>
      <w:r>
        <w:rPr>
          <w:rFonts w:ascii="Arial" w:cs="Arial" w:eastAsia="Arial" w:hAnsi="Arial"/>
          <w:sz w:val="17"/>
          <w:szCs w:val="17"/>
          <w:color w:val="auto"/>
        </w:rPr>
        <w:t>Even if we obtain FDA approval for MDX for the treatment of ADHD, or other cognitive dysfunctions,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MDX, we may be forced to cease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MDX receives marketing approval, there could be adverse effects not discovered during development.</w:t>
      </w:r>
    </w:p>
    <w:p>
      <w:pPr>
        <w:spacing w:after="0" w:line="225" w:lineRule="exact"/>
        <w:rPr>
          <w:sz w:val="20"/>
          <w:szCs w:val="20"/>
          <w:color w:val="auto"/>
        </w:rPr>
      </w:pPr>
    </w:p>
    <w:p>
      <w:pPr>
        <w:ind w:right="260" w:firstLine="415"/>
        <w:spacing w:after="0" w:line="342" w:lineRule="auto"/>
        <w:rPr>
          <w:sz w:val="20"/>
          <w:szCs w:val="20"/>
          <w:color w:val="auto"/>
        </w:rPr>
      </w:pPr>
      <w:r>
        <w:rPr>
          <w:rFonts w:ascii="Arial" w:cs="Arial" w:eastAsia="Arial" w:hAnsi="Arial"/>
          <w:sz w:val="16"/>
          <w:szCs w:val="16"/>
          <w:color w:val="auto"/>
        </w:rPr>
        <w:t>Even if MDX receives marketing approval, we or others may later identify undesirable side effects caused by the product or problems with our third-party manufacturers or manufacturing processes, and in either event a number of potentially significant negative consequences could result, including:</w:t>
      </w:r>
    </w:p>
    <w:p>
      <w:pPr>
        <w:spacing w:after="0" w:line="12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suspend or withdraw their approval of the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warnings or contraindications or distribution and use restrictions;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require us to issue specific communications to healthcare professionals, such as “Dear Doctor”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issue negative publicity regarding the affected product, including safety communications;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pre-clinical studies or clinical trials or restrict the distribution or use of the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commercialization costs or even force us to cease operations.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ind w:right="60"/>
        <w:spacing w:after="0" w:line="277" w:lineRule="auto"/>
        <w:rPr>
          <w:sz w:val="20"/>
          <w:szCs w:val="20"/>
          <w:color w:val="auto"/>
        </w:rPr>
      </w:pPr>
      <w:r>
        <w:rPr>
          <w:rFonts w:ascii="Arial" w:cs="Arial" w:eastAsia="Arial" w:hAnsi="Arial"/>
          <w:sz w:val="18"/>
          <w:szCs w:val="18"/>
          <w:b w:val="1"/>
          <w:bCs w:val="1"/>
          <w:i w:val="1"/>
          <w:iCs w:val="1"/>
          <w:color w:val="auto"/>
        </w:rPr>
        <w:t>Obtaining regulatory approval for clinical trials of MDX in children will be more difficult than obtaining such approvals for adult clinical trials since the requirements for regulatory approval to conduct pediatric clinical trials are more stringent.</w:t>
      </w:r>
    </w:p>
    <w:p>
      <w:pPr>
        <w:spacing w:after="0" w:line="170" w:lineRule="exact"/>
        <w:rPr>
          <w:sz w:val="20"/>
          <w:szCs w:val="20"/>
          <w:color w:val="auto"/>
        </w:rPr>
      </w:pPr>
    </w:p>
    <w:p>
      <w:pPr>
        <w:ind w:right="40" w:firstLine="416"/>
        <w:spacing w:after="0" w:line="312" w:lineRule="auto"/>
        <w:rPr>
          <w:sz w:val="20"/>
          <w:szCs w:val="20"/>
          <w:color w:val="auto"/>
        </w:rPr>
      </w:pPr>
      <w:r>
        <w:rPr>
          <w:rFonts w:ascii="Arial" w:cs="Arial" w:eastAsia="Arial" w:hAnsi="Arial"/>
          <w:sz w:val="16"/>
          <w:szCs w:val="16"/>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approval of the drug for adults. Approval of our drug for children may be significantly delayed due to these additional requirements.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81"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MDX would be harmed and our ability to generate product revenue would be delayed, possibly materially.</w:t>
      </w:r>
    </w:p>
    <w:p>
      <w:pPr>
        <w:spacing w:after="0" w:line="17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may not be able to maintain FDA "Orphan Drug" designation for metadoxine, the active ingredient in MDX to treat Fragile X. In addition, we might be prevented from commercializing such drug candidate if, for instance, another company receives marketing exclusivity for its drug candidate.</w:t>
      </w:r>
    </w:p>
    <w:p>
      <w:pPr>
        <w:spacing w:after="0" w:line="124" w:lineRule="exact"/>
        <w:rPr>
          <w:sz w:val="20"/>
          <w:szCs w:val="20"/>
          <w:color w:val="auto"/>
        </w:rPr>
      </w:pPr>
    </w:p>
    <w:p>
      <w:pPr>
        <w:ind w:right="60" w:firstLine="416"/>
        <w:spacing w:after="0" w:line="264" w:lineRule="auto"/>
        <w:rPr>
          <w:sz w:val="20"/>
          <w:szCs w:val="20"/>
          <w:color w:val="auto"/>
        </w:rPr>
      </w:pPr>
      <w:r>
        <w:rPr>
          <w:rFonts w:ascii="Arial" w:cs="Arial" w:eastAsia="Arial" w:hAnsi="Arial"/>
          <w:sz w:val="18"/>
          <w:szCs w:val="18"/>
          <w:color w:val="auto"/>
        </w:rPr>
        <w:t>The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w:t>
      </w:r>
    </w:p>
    <w:p>
      <w:pPr>
        <w:spacing w:after="0" w:line="18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European Medicines Agency, or EMA, from approving another marketing application for the same drug for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have obtained orphan drug designation for MDX to treat Fragile X in the United States, we may not be the first to obtain marketing approval for any particular orphan indication due to the uncertainties associated with developing pharmaceutical products. Further, even if we obtain orphan drug exclusivity for a product, that exclusivity may not effectively protect the product from competition because different drugs with different active moieties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ind w:right="16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MDX or any other product candidate that we develop and affect the prices we may obtain.</w:t>
      </w:r>
    </w:p>
    <w:p>
      <w:pPr>
        <w:spacing w:after="0" w:line="170" w:lineRule="exact"/>
        <w:rPr>
          <w:sz w:val="20"/>
          <w:szCs w:val="20"/>
          <w:color w:val="auto"/>
        </w:rPr>
      </w:pPr>
    </w:p>
    <w:p>
      <w:pPr>
        <w:jc w:val="both"/>
        <w:ind w:right="80" w:firstLine="416"/>
        <w:spacing w:after="0" w:line="28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MDX or any other product candidate that we develop, restrict or regulate post-approval activities and affect our ability to profitably sell MDX or any other product candidate for which we obtain marketing approval.</w:t>
      </w:r>
    </w:p>
    <w:p>
      <w:pPr>
        <w:spacing w:after="0" w:line="166" w:lineRule="exact"/>
        <w:rPr>
          <w:sz w:val="20"/>
          <w:szCs w:val="20"/>
          <w:color w:val="auto"/>
        </w:rPr>
      </w:pPr>
    </w:p>
    <w:p>
      <w:pPr>
        <w:ind w:right="20" w:firstLine="41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MDX,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120" w:firstLine="416"/>
        <w:spacing w:after="0" w:line="290"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6" w:lineRule="exact"/>
        <w:rPr>
          <w:sz w:val="20"/>
          <w:szCs w:val="20"/>
          <w:color w:val="auto"/>
        </w:rPr>
      </w:pPr>
    </w:p>
    <w:p>
      <w:pPr>
        <w:ind w:right="20" w:firstLine="416"/>
        <w:spacing w:after="0" w:line="253"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of 2010, or collectively PPACA, was enacted. The PPACA is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this law until applicable federal and state agencies issue regulations or guidance under it. The Centers for Medicare and Medicaid Services has proposed, but not yet promulgated, a regulation implementing aspects of the PPACA in the Medicaid drug rebate program. Although it is too early to determine its effect, the new law appears likely to continue the pressure on pharmaceutical pricing, especially under the Medicare program, and may also increase our regulatory burdens and operating costs.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Even if MDX or any other product candidate that we develop receives marketing approval, we will continue to face extensive regulatory requirements and the product may still face future development and regulatory difficulties.</w:t>
      </w:r>
    </w:p>
    <w:p>
      <w:pPr>
        <w:spacing w:after="0" w:line="170" w:lineRule="exact"/>
        <w:rPr>
          <w:sz w:val="20"/>
          <w:szCs w:val="20"/>
          <w:color w:val="auto"/>
        </w:rPr>
      </w:pPr>
    </w:p>
    <w:p>
      <w:pPr>
        <w:ind w:right="20" w:firstLine="416"/>
        <w:spacing w:after="0" w:line="288" w:lineRule="auto"/>
        <w:rPr>
          <w:sz w:val="20"/>
          <w:szCs w:val="20"/>
          <w:color w:val="auto"/>
        </w:rPr>
      </w:pPr>
      <w:r>
        <w:rPr>
          <w:rFonts w:ascii="Arial" w:cs="Arial" w:eastAsia="Arial" w:hAnsi="Arial"/>
          <w:sz w:val="16"/>
          <w:szCs w:val="16"/>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MDX, if it is approved for marketing, may include restrictions on use, such as limitations on how ADHD is defined and diagnosed or limiting MDX to second-line or concomitant therapy. In addition, the labeling may include significant restrictions on use. MDX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right="520" w:firstLine="416"/>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7" w:lineRule="exact"/>
        <w:rPr>
          <w:sz w:val="20"/>
          <w:szCs w:val="20"/>
          <w:color w:val="auto"/>
        </w:rPr>
      </w:pPr>
    </w:p>
    <w:p>
      <w:pPr>
        <w:ind w:right="520" w:firstLine="693"/>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MDX outside of the United States, a variety of risks associated with international operations could materially adversely affect our business.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If MDX is approved for commercialization outside the United States, we will likely enter into agreements with third parties to market MDX outside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United States. We expect that we will be subject to additional risks related to entering into or maintaining international business relationships, including:</w:t>
      </w:r>
    </w:p>
    <w:p>
      <w:pPr>
        <w:spacing w:after="0" w:line="22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MDX.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receive marketing approval for MDX, sales will be limited unless the product achieves broad market acceptance.</w:t>
      </w:r>
    </w:p>
    <w:p>
      <w:pPr>
        <w:spacing w:after="0" w:line="225" w:lineRule="exact"/>
        <w:rPr>
          <w:sz w:val="20"/>
          <w:szCs w:val="20"/>
          <w:color w:val="auto"/>
        </w:rPr>
      </w:pPr>
    </w:p>
    <w:p>
      <w:pPr>
        <w:ind w:right="20" w:firstLine="415"/>
        <w:spacing w:after="0" w:line="264" w:lineRule="auto"/>
        <w:rPr>
          <w:sz w:val="20"/>
          <w:szCs w:val="20"/>
          <w:color w:val="auto"/>
        </w:rPr>
      </w:pPr>
      <w:r>
        <w:rPr>
          <w:rFonts w:ascii="Arial" w:cs="Arial" w:eastAsia="Arial" w:hAnsi="Arial"/>
          <w:sz w:val="18"/>
          <w:szCs w:val="18"/>
          <w:color w:val="auto"/>
        </w:rPr>
        <w:t>The commercial success of MDX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approved labeling;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agreed to by us as part of a mandatory or voluntary risk management plan;</w:t>
      </w:r>
    </w:p>
    <w:p>
      <w:pPr>
        <w:spacing w:after="0" w:line="225"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of alternative treatments, including, in the case of MDX, a number of competitive products already approved for the treatment of ADHD (or Fragile X, or other cognitive dysfunctions, as the case may be) or expected to be commercially launched in the near future;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or any future collaborators’ sales and marketing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w:t>
      </w:r>
    </w:p>
    <w:p>
      <w:pPr>
        <w:spacing w:after="0" w:line="225"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If MDX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ind w:right="20" w:firstLine="416"/>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MDX may include restrictions on use, such as limitations on how ADHD is defined and diagnosed or limiting MDX to second-line or concomitant therapy. The FDA may impose further requirements or restrictions on the distribution or use of MDX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MDX, physicians may nevertheless prescribe MDX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It will be difficult for us to profitably sell MDX if reimbursement for the product is limited.</w:t>
      </w:r>
    </w:p>
    <w:p>
      <w:pPr>
        <w:spacing w:after="0" w:line="225" w:lineRule="exact"/>
        <w:rPr>
          <w:sz w:val="20"/>
          <w:szCs w:val="20"/>
          <w:color w:val="auto"/>
        </w:rPr>
      </w:pPr>
    </w:p>
    <w:p>
      <w:pPr>
        <w:ind w:right="120" w:firstLine="416"/>
        <w:spacing w:after="0" w:line="271" w:lineRule="auto"/>
        <w:rPr>
          <w:sz w:val="20"/>
          <w:szCs w:val="20"/>
          <w:color w:val="auto"/>
        </w:rPr>
      </w:pPr>
      <w:r>
        <w:rPr>
          <w:rFonts w:ascii="Arial" w:cs="Arial" w:eastAsia="Arial" w:hAnsi="Arial"/>
          <w:sz w:val="17"/>
          <w:szCs w:val="17"/>
          <w:color w:val="auto"/>
        </w:rPr>
        <w:t>Market acceptance and sales of MDX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MDX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7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effective;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48"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Before they can begin commercial manufacture of MDX,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88" w:lineRule="exact"/>
        <w:rPr>
          <w:sz w:val="20"/>
          <w:szCs w:val="20"/>
          <w:color w:val="auto"/>
        </w:rPr>
      </w:pPr>
    </w:p>
    <w:p>
      <w:pPr>
        <w:ind w:right="360" w:firstLine="416"/>
        <w:spacing w:after="0" w:line="286" w:lineRule="auto"/>
        <w:rPr>
          <w:sz w:val="20"/>
          <w:szCs w:val="20"/>
          <w:color w:val="auto"/>
        </w:rPr>
      </w:pPr>
      <w:r>
        <w:rPr>
          <w:rFonts w:ascii="Arial" w:cs="Arial" w:eastAsia="Arial" w:hAnsi="Arial"/>
          <w:sz w:val="17"/>
          <w:szCs w:val="17"/>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ind w:right="520"/>
        <w:spacing w:after="0" w:line="277" w:lineRule="auto"/>
        <w:rPr>
          <w:sz w:val="20"/>
          <w:szCs w:val="20"/>
          <w:color w:val="auto"/>
        </w:rPr>
      </w:pPr>
      <w:r>
        <w:rPr>
          <w:rFonts w:ascii="Arial" w:cs="Arial" w:eastAsia="Arial" w:hAnsi="Arial"/>
          <w:sz w:val="18"/>
          <w:szCs w:val="18"/>
          <w:b w:val="1"/>
          <w:bCs w:val="1"/>
          <w:i w:val="1"/>
          <w:iCs w:val="1"/>
          <w:color w:val="auto"/>
        </w:rPr>
        <w:t>We currently have no manufacturing, sales or distribution capabilities to market and sell MDX. If we do not establish these capabilities we will rely primarily on third parties to market and sell MDX.</w:t>
      </w:r>
    </w:p>
    <w:p>
      <w:pPr>
        <w:spacing w:after="0" w:line="170" w:lineRule="exact"/>
        <w:rPr>
          <w:sz w:val="20"/>
          <w:szCs w:val="20"/>
          <w:color w:val="auto"/>
        </w:rPr>
      </w:pPr>
    </w:p>
    <w:p>
      <w:pPr>
        <w:ind w:right="220" w:firstLine="416"/>
        <w:spacing w:after="0" w:line="257" w:lineRule="auto"/>
        <w:rPr>
          <w:sz w:val="20"/>
          <w:szCs w:val="20"/>
          <w:color w:val="auto"/>
        </w:rPr>
      </w:pPr>
      <w:r>
        <w:rPr>
          <w:rFonts w:ascii="Arial" w:cs="Arial" w:eastAsia="Arial" w:hAnsi="Arial"/>
          <w:sz w:val="18"/>
          <w:szCs w:val="18"/>
          <w:color w:val="auto"/>
        </w:rPr>
        <w:t>While we have begun to implement pre-commercialization activities, we currently have no manufacturing, sales or distribution capabilities. To the extent we rely on third parties to commercialize MDX, if marketing approval is obtained, we may receive less revenue than if we commercialized MDX ourselves. In addition, we would have less control over the sales efforts of any third parties involved in our commercialization efforts. In the event we are unable to collaborate with a third-party marketing and sales organization to commercialize MDX, particularly for broader patient populations, our ability to generate revenue will be limited.</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market is subject to intense competition. If we are unable to compete effectively, MDX or any other product candidate that we develop may be rendered noncompetitive or obsolete.</w:t>
      </w:r>
    </w:p>
    <w:p>
      <w:pPr>
        <w:spacing w:after="0" w:line="170" w:lineRule="exact"/>
        <w:rPr>
          <w:sz w:val="20"/>
          <w:szCs w:val="20"/>
          <w:color w:val="auto"/>
        </w:rPr>
      </w:pPr>
    </w:p>
    <w:p>
      <w:pPr>
        <w:ind w:right="40" w:firstLine="415"/>
        <w:spacing w:after="0" w:line="287"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we are. The FDA has not approved any drugs specifically for the treatment of Fragile X or its symptoms, although there are several pharmaceutical companies with compounds to treat Fragile X in late stage clinical development. Patients and doctors are often unwilling to change medications, and this factor will make it difficult for MDX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MDX or other product candidates we may have in the future. Smaller or early stage companies may also prove to be significant competitors, particularly through collaborative arrangements with large, established companies. These companies may have products in development that are superior to MDX. Key competitive factors affecting the commercial success of MDX and any other product candidates that we may develop in the future are likely to be efficacy, time of onset, safety and tolerability profile, reliability, convenience of dosing, price and reimbursement.</w:t>
      </w:r>
    </w:p>
    <w:p>
      <w:pPr>
        <w:spacing w:after="0" w:line="173" w:lineRule="exact"/>
        <w:rPr>
          <w:sz w:val="20"/>
          <w:szCs w:val="20"/>
          <w:color w:val="auto"/>
        </w:rPr>
      </w:pPr>
    </w:p>
    <w:p>
      <w:pPr>
        <w:ind w:right="40" w:firstLine="450"/>
        <w:spacing w:after="0" w:line="270" w:lineRule="auto"/>
        <w:rPr>
          <w:sz w:val="20"/>
          <w:szCs w:val="20"/>
          <w:color w:val="auto"/>
        </w:rPr>
      </w:pPr>
      <w:r>
        <w:rPr>
          <w:rFonts w:ascii="Arial" w:cs="Arial" w:eastAsia="Arial" w:hAnsi="Arial"/>
          <w:sz w:val="17"/>
          <w:szCs w:val="17"/>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Established competitors may invest heavily to quickly discover and develop novel compounds that could make MDX or other product candidates we may develop obsolete.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MDX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MDX or any other product candidate that we develop non-competitive or obsolete.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225" w:lineRule="exact"/>
        <w:rPr>
          <w:sz w:val="20"/>
          <w:szCs w:val="20"/>
          <w:color w:val="auto"/>
        </w:rPr>
      </w:pPr>
    </w:p>
    <w:p>
      <w:pPr>
        <w:ind w:right="80" w:firstLine="415"/>
        <w:spacing w:after="0" w:line="312" w:lineRule="auto"/>
        <w:rPr>
          <w:sz w:val="20"/>
          <w:szCs w:val="20"/>
          <w:color w:val="auto"/>
        </w:rPr>
      </w:pPr>
      <w:r>
        <w:rPr>
          <w:rFonts w:ascii="Arial" w:cs="Arial" w:eastAsia="Arial" w:hAnsi="Arial"/>
          <w:sz w:val="16"/>
          <w:szCs w:val="16"/>
          <w:color w:val="auto"/>
        </w:rPr>
        <w:t>The use of MDX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4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demand for MDX or any other product candidate for which we obtain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of our business reputation and exposure to adverse publicity;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warnings on product labels;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successfully commercialize MDX or any other product candidate for which we obtain marketing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lawsuits are successfully brought against us, our insurance may be inadequate.</w:t>
      </w:r>
    </w:p>
    <w:p>
      <w:pPr>
        <w:spacing w:after="0" w:line="225" w:lineRule="exact"/>
        <w:rPr>
          <w:sz w:val="20"/>
          <w:szCs w:val="20"/>
          <w:color w:val="auto"/>
        </w:rPr>
      </w:pPr>
    </w:p>
    <w:p>
      <w:pPr>
        <w:ind w:right="120" w:firstLine="416"/>
        <w:spacing w:after="0" w:line="288" w:lineRule="auto"/>
        <w:rPr>
          <w:sz w:val="20"/>
          <w:szCs w:val="20"/>
          <w:color w:val="auto"/>
        </w:rPr>
      </w:pPr>
      <w:r>
        <w:rPr>
          <w:rFonts w:ascii="Arial" w:cs="Arial" w:eastAsia="Arial" w:hAnsi="Arial"/>
          <w:sz w:val="16"/>
          <w:szCs w:val="16"/>
          <w:color w:val="auto"/>
        </w:rPr>
        <w:t>We have previously obtained clinical trial insurance coverage for our clinical trials with a $5.0 and $3.0 million annual aggregate coverage limit in the United States and Israel, respectively, and we expect that we will obtain additional insurance as we conduct additional clinical trials. However, our insurance coverage may not be sufficient to reimburse us for any expenses or losses we may suffer. Moreover, the insurance market experiences significant changes from year to year due to various factors including the international claims record and general reinsurance terms. Therefore, coverage may become more expensive, and, in the future, we may not be able to maintain insurance coverage at a reasonable cost or in sufficient amounts to protect us against losses due to liability. If and when we obtain marketing approval for MDX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69" w:lineRule="exact"/>
        <w:rPr>
          <w:sz w:val="20"/>
          <w:szCs w:val="20"/>
          <w:color w:val="auto"/>
        </w:rPr>
      </w:pPr>
    </w:p>
    <w:p>
      <w:pPr>
        <w:ind w:right="500" w:firstLine="416"/>
        <w:spacing w:after="0" w:line="302"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70" w:lineRule="exact"/>
        <w:rPr>
          <w:sz w:val="20"/>
          <w:szCs w:val="20"/>
          <w:color w:val="auto"/>
        </w:rPr>
      </w:pPr>
    </w:p>
    <w:p>
      <w:pPr>
        <w:ind w:right="40" w:firstLine="416"/>
        <w:spacing w:after="0" w:line="270" w:lineRule="auto"/>
        <w:rPr>
          <w:sz w:val="20"/>
          <w:szCs w:val="20"/>
          <w:color w:val="auto"/>
        </w:rPr>
      </w:pPr>
      <w:r>
        <w:rPr>
          <w:rFonts w:ascii="Arial" w:cs="Arial" w:eastAsia="Arial" w:hAnsi="Arial"/>
          <w:sz w:val="17"/>
          <w:szCs w:val="17"/>
          <w:color w:val="auto"/>
        </w:rPr>
        <w:t>We are an emerging biopharmaceutical company with a limited operating history. We are in the development stage. To date, we have focused almost exclusively on developing our lead compound, MDX. We have funded our operations to date primarily through proceeds from the private placement and public offering of ordinary shares and convertible notes.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year ended December 31, 2013 and 2014 was approximately $10.5. million, and $32.8 million, respectively. As of December 31, 2014, we had an accumulated deficit of $51.6 million. Substantially all of our operating losses resulted from costs incurred in connection with our development program and from general and administrative costs associated with our operations.</w:t>
      </w:r>
    </w:p>
    <w:p>
      <w:pPr>
        <w:spacing w:after="0" w:line="182"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research and development expenses may increase in connection with our clinical development plan. In addition, if we obtain marketing approval for MDX, we will likely incur significant sales, marketing and outsourced manufacturing expenses, as well as continued research and development expenses. Furthermore, we incur and will continue to incur additional costs associated with operating as a public company, which are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We have not generated any revenue from MDX or any other product candidate and may never be profitable.</w:t>
      </w:r>
    </w:p>
    <w:p>
      <w:pPr>
        <w:spacing w:after="0" w:line="225"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our development stage product candidate, MDX, and we do not know when, or if, we will generate any revenue. We do not expect to generate significant revenue from sales of our product candidate unless or until we obtain marketing approval of, and commercialize, MDX. Our ability to generate revenue depends on a number of factors, including our ability to:</w:t>
      </w:r>
    </w:p>
    <w:p>
      <w:pPr>
        <w:spacing w:after="0" w:line="18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favorable results from and progress the clinical development of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protocols for MDX;</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successful completion of registration, clinical trials and perhaps additional clinical trials of MDX, apply for and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 for the manufacture of commercial quantities of MDX at acceptable cost levels if marketing approval is received;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 sales and marketing capabilities, both internal and external, to effectively market and sell MDX in the United States and other countries.</w:t>
      </w:r>
    </w:p>
    <w:p>
      <w:pPr>
        <w:spacing w:after="0" w:line="248" w:lineRule="exact"/>
        <w:rPr>
          <w:sz w:val="20"/>
          <w:szCs w:val="20"/>
          <w:color w:val="auto"/>
        </w:rPr>
      </w:pPr>
    </w:p>
    <w:p>
      <w:pPr>
        <w:ind w:right="380" w:firstLine="416"/>
        <w:spacing w:after="0" w:line="259" w:lineRule="auto"/>
        <w:rPr>
          <w:sz w:val="20"/>
          <w:szCs w:val="20"/>
          <w:color w:val="auto"/>
        </w:rPr>
      </w:pPr>
      <w:r>
        <w:rPr>
          <w:rFonts w:ascii="Arial" w:cs="Arial" w:eastAsia="Arial" w:hAnsi="Arial"/>
          <w:sz w:val="18"/>
          <w:szCs w:val="18"/>
          <w:color w:val="auto"/>
        </w:rPr>
        <w:t>Even if MDX is approved for commercial sale for the treatment of ADHD or Fragile X,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substantial additional capital in the future. If additional capital is not available, we will have to delay, reduce or cease operations.</w:t>
      </w:r>
    </w:p>
    <w:p>
      <w:pPr>
        <w:spacing w:after="0" w:line="248"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We may need to raise substantial additional capital to fund our operations and to develop and commercialize MDX. Our future capital requirements may be substantial and will depend on many factors including:</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clinical trials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timing and outcomes of seeking marketing approval of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the cost of defending our issued patents and future patents, if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prosecuting infringement actions against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exploration and possible label expansion of MDX for the treatment of other conditions;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commercializing MDX if we receive marketing approval, including the cost and timing of establishing sales, marketing and distribution capabilities to market and sell MDX;</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manufacturing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sales of MDX,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receipt of marketing approval, revenue received from sales of approved products, if any,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Based on our current operating plan, we anticipate that our existing resources will be sufficient to enable us to maintain our currently planned operations, including our continued product development (which does not include conducting clinical trials in the EU or Japan), through 2016. We believe these funds will enable us, among other things, to complete any preparatory clinical and non-clinical work, as well as a second Phase 3 clinical trial in adult ADHD and complete our ongoing Phase 2 studies in pediatric ADHD and Fragile X. We will require significant additional funds to initiate and complete the FDA approval process.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7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limit, reduce, or terminate clinical trials or other development activities for MDX; or</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commercialize MDX, if we obtain marketing approval.</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addition, we may seek additional capital due to favorable market conditions or strategic considerations even if we believe we have sufficient funds for our current or future operating plans.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48"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We have in the past and may continue to seek additional capital through a combination of private and public equity offerings, debt financings and collaborations and strategic and licensing arrangements. Including our initial public offering in 2013, we have completed three underwritten public offerings. To the extent that we raise additional capital through the sale of equity or convertible notes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capacity and may choose to rely on third-party manufacturers for our products.</w:t>
      </w:r>
    </w:p>
    <w:p>
      <w:pPr>
        <w:spacing w:after="0" w:line="225"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do not currently operate manufacturing facilities for clinical production of MDX. We do not intend to develop facilities for the manufacture of products for clinical trials or commercial purposes in the foreseeable future. We will rely on third-party manufacturers to produce bulk drug products required for our clinical trials on a timely basis. We plan to continue to rely upon CMOs and, potentially, collaboration partners to manufacture commercial quantities of our drug product candidates if and when approved for marketing by the applicable regulatory authorities. If the third-party manufacturing sources we rely on cease to be available to us on commercially reasonable terms or on a timely basis, we may not be able to complete development, production and marketing of MDX.</w:t>
      </w:r>
    </w:p>
    <w:p>
      <w:pPr>
        <w:spacing w:after="0" w:line="193"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based on its own business priorities, at a time that is costly or damaging to us. We will be dependent on the ability of these third-party manufacturers to produce supplies of drug product adequate to support our clinical development programs and future commercialization of our MDX. In addition, the FDA and other regulatory authorities require that MDX be manufactured according to cGMP and similar foreign standards. Any failure by our third-party manufacturers to comply with cGMP or failure to scale up manufacturing processes, including any failure to deliver sufficient quantities of MDX in a timely manner, could lead to a delay in, or failure to obtain, regulatory approval for trial initiation or marketing of MDX. In addition, such failure could be the basis for action by the FDA to withdraw approvals for product candidates previously granted to us and for other regulatory action, including recall or seizure, fines, imposition of operating restrictions, total or partial suspension of production or injunctions.</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ind w:right="40" w:firstLine="416"/>
        <w:spacing w:after="0" w:line="289" w:lineRule="auto"/>
        <w:rPr>
          <w:sz w:val="20"/>
          <w:szCs w:val="20"/>
          <w:color w:val="auto"/>
        </w:rPr>
      </w:pPr>
      <w:r>
        <w:rPr>
          <w:rFonts w:ascii="Arial" w:cs="Arial" w:eastAsia="Arial" w:hAnsi="Arial"/>
          <w:sz w:val="16"/>
          <w:szCs w:val="16"/>
          <w:color w:val="auto"/>
        </w:rPr>
        <w:t>We have limited staffing and rely on our manufacturers to purchase from third-party suppliers the materials necessary to produce MDX for our clinical studies. There are a small number of suppliers for certain capital equipment and materials that we use to manufacture our drugs. Such suppliers may not sell these materials to our manufacturers at the times we need them or on commercially reasonable terms. We do not have any control over the process or timing of the acquisition of these materials by our manufacturers. Moreover, we currently do not have any agreements for the commercial production of these materials. Although we generally do not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If our manufacturers or we are unable to purchase these materials after regulatory approval has been obtained for MDX, its commercial launch would be delayed or there would be a shortage in supply, either of which would impair our ability to generate revenues from the sale of MDX.</w:t>
      </w:r>
    </w:p>
    <w:p>
      <w:pPr>
        <w:spacing w:after="0" w:line="167" w:lineRule="exact"/>
        <w:rPr>
          <w:sz w:val="20"/>
          <w:szCs w:val="20"/>
          <w:color w:val="auto"/>
        </w:rPr>
      </w:pPr>
    </w:p>
    <w:p>
      <w:pPr>
        <w:ind w:right="160" w:firstLine="416"/>
        <w:spacing w:after="0" w:line="257" w:lineRule="auto"/>
        <w:rPr>
          <w:sz w:val="20"/>
          <w:szCs w:val="20"/>
          <w:color w:val="auto"/>
        </w:rPr>
      </w:pPr>
      <w:r>
        <w:rPr>
          <w:rFonts w:ascii="Arial" w:cs="Arial" w:eastAsia="Arial" w:hAnsi="Arial"/>
          <w:sz w:val="18"/>
          <w:szCs w:val="18"/>
          <w:color w:val="auto"/>
        </w:rPr>
        <w:t>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MDX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188" w:lineRule="exact"/>
        <w:rPr>
          <w:sz w:val="20"/>
          <w:szCs w:val="20"/>
          <w:color w:val="auto"/>
        </w:rPr>
      </w:pPr>
    </w:p>
    <w:p>
      <w:pPr>
        <w:ind w:right="200" w:firstLine="416"/>
        <w:spacing w:after="0" w:line="279" w:lineRule="auto"/>
        <w:rPr>
          <w:sz w:val="20"/>
          <w:szCs w:val="20"/>
          <w:color w:val="auto"/>
        </w:rPr>
      </w:pPr>
      <w:r>
        <w:rPr>
          <w:rFonts w:ascii="Arial" w:cs="Arial" w:eastAsia="Arial" w:hAnsi="Arial"/>
          <w:sz w:val="17"/>
          <w:szCs w:val="17"/>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71" w:lineRule="exact"/>
        <w:rPr>
          <w:sz w:val="20"/>
          <w:szCs w:val="20"/>
          <w:color w:val="auto"/>
        </w:rPr>
      </w:pPr>
    </w:p>
    <w:p>
      <w:pPr>
        <w:jc w:val="both"/>
        <w:ind w:right="20" w:firstLine="416"/>
        <w:spacing w:after="0" w:line="264" w:lineRule="auto"/>
        <w:rPr>
          <w:sz w:val="20"/>
          <w:szCs w:val="20"/>
          <w:color w:val="auto"/>
        </w:rPr>
      </w:pPr>
      <w:r>
        <w:rPr>
          <w:rFonts w:ascii="Arial" w:cs="Arial" w:eastAsia="Arial" w:hAnsi="Arial"/>
          <w:sz w:val="18"/>
          <w:szCs w:val="18"/>
          <w:color w:val="auto"/>
        </w:rPr>
        <w:t>Our existing manufacturers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MDX would be interrupted, resulting in delays and additional costs.</w:t>
      </w:r>
    </w:p>
    <w:p>
      <w:pPr>
        <w:spacing w:after="0" w:line="181" w:lineRule="exact"/>
        <w:rPr>
          <w:sz w:val="20"/>
          <w:szCs w:val="20"/>
          <w:color w:val="auto"/>
        </w:rPr>
      </w:pPr>
    </w:p>
    <w:p>
      <w:pPr>
        <w:ind w:right="140" w:firstLine="416"/>
        <w:spacing w:after="0" w:line="264" w:lineRule="auto"/>
        <w:rPr>
          <w:sz w:val="20"/>
          <w:szCs w:val="20"/>
          <w:color w:val="auto"/>
        </w:rPr>
      </w:pPr>
      <w:r>
        <w:rPr>
          <w:rFonts w:ascii="Arial" w:cs="Arial" w:eastAsia="Arial" w:hAnsi="Arial"/>
          <w:sz w:val="18"/>
          <w:szCs w:val="18"/>
          <w:color w:val="auto"/>
        </w:rPr>
        <w:t>In addition, because some of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70"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ind w:firstLine="416"/>
        <w:spacing w:after="0" w:line="264"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81"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81" w:lineRule="exact"/>
        <w:rPr>
          <w:sz w:val="20"/>
          <w:szCs w:val="20"/>
          <w:color w:val="auto"/>
        </w:rPr>
      </w:pPr>
    </w:p>
    <w:p>
      <w:pPr>
        <w:ind w:right="100" w:firstLine="416"/>
        <w:spacing w:after="0" w:line="302" w:lineRule="auto"/>
        <w:rPr>
          <w:sz w:val="20"/>
          <w:szCs w:val="20"/>
          <w:color w:val="auto"/>
        </w:rPr>
      </w:pPr>
      <w:r>
        <w:rPr>
          <w:rFonts w:ascii="Arial" w:cs="Arial" w:eastAsia="Arial" w:hAnsi="Arial"/>
          <w:sz w:val="16"/>
          <w:szCs w:val="16"/>
          <w:color w:val="auto"/>
        </w:rPr>
        <w:t>Even with respect to certain other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acceptable terms or at all.</w:t>
      </w:r>
    </w:p>
    <w:p>
      <w:pPr>
        <w:spacing w:after="0" w:line="154"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depend on third parties to conduct our clinical trials.</w:t>
      </w:r>
    </w:p>
    <w:p>
      <w:pPr>
        <w:spacing w:after="0" w:line="225" w:lineRule="exact"/>
        <w:rPr>
          <w:sz w:val="20"/>
          <w:szCs w:val="20"/>
          <w:color w:val="auto"/>
        </w:rPr>
      </w:pPr>
    </w:p>
    <w:p>
      <w:pPr>
        <w:ind w:right="20" w:firstLine="416"/>
        <w:spacing w:after="0" w:line="290" w:lineRule="auto"/>
        <w:rPr>
          <w:sz w:val="20"/>
          <w:szCs w:val="20"/>
          <w:color w:val="auto"/>
        </w:rPr>
      </w:pPr>
      <w:r>
        <w:rPr>
          <w:rFonts w:ascii="Arial" w:cs="Arial" w:eastAsia="Arial" w:hAnsi="Arial"/>
          <w:sz w:val="16"/>
          <w:szCs w:val="16"/>
          <w:color w:val="auto"/>
        </w:rPr>
        <w:t>We rely on third parties, such as CROs, medical institutions, clinical investigators and contract laboratories to oversee some of the operations of our clinical trials and to perform data collection and analysis. If we are unable to maintain or enter into agreements with these third parties on acceptable terms, or if any such agreement is terminated, we may be unable to enroll patients on a timely basis or otherwise conduct our trials in the manner we anticipate. Even if we are able to maintain or enter into such agreements,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MDX or any other potential product candidates could be harmed, our costs could increase and our ability to obtain regulatory approval and commence product sales could be delayed.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We have filed multiple patent applications and have three issued patents by the U.S. PTO and three issued patents in other jurisdictions. There can be no assurance that any of our other patent applications will result in issued patents. As a result, we may have limited protection of our proprietary technology in the marketplace.</w:t>
      </w:r>
    </w:p>
    <w:p>
      <w:pPr>
        <w:spacing w:after="0" w:line="181"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The U.S. PTO has issued three patents to us, covering the composition of the sustained release form of MDX, the use of metadoxine for cognitive disorders and impairments, and new molecular derivatives of metadoxine. We also have three issued patents in Australia and New Zealand. Unless and until other pending applications issue, their additional protective scope is impossible to determine. It is impossible to predict whether or how many of these additional applications will result in issued patents. Even if pending applications issue, they may issue with claims significantly narrower than those we currently seek. The patent position of biotechnology and pharmaceutical companies is generally uncertain because it involves complex legal and factual considerations. The standards applied by the U.S. 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ind w:right="80"/>
        <w:spacing w:after="0" w:line="277" w:lineRule="auto"/>
        <w:rPr>
          <w:sz w:val="20"/>
          <w:szCs w:val="20"/>
          <w:color w:val="auto"/>
        </w:rPr>
      </w:pPr>
      <w:r>
        <w:rPr>
          <w:rFonts w:ascii="Arial" w:cs="Arial" w:eastAsia="Arial" w:hAnsi="Arial"/>
          <w:sz w:val="18"/>
          <w:szCs w:val="18"/>
          <w:b w:val="1"/>
          <w:bCs w:val="1"/>
          <w:i w:val="1"/>
          <w:iCs w:val="1"/>
          <w:color w:val="auto"/>
        </w:rPr>
        <w:t>The patent positions of pharmaceutical products are complex and uncertain and therefore we cannot predict the scope and extent of patent protection for MDX with respect to our issued patents, or any patents we may be issued in the future.</w:t>
      </w:r>
    </w:p>
    <w:p>
      <w:pPr>
        <w:spacing w:after="0" w:line="170" w:lineRule="exact"/>
        <w:rPr>
          <w:sz w:val="20"/>
          <w:szCs w:val="20"/>
          <w:color w:val="auto"/>
        </w:rPr>
      </w:pPr>
    </w:p>
    <w:p>
      <w:pPr>
        <w:ind w:right="120" w:firstLine="416"/>
        <w:spacing w:after="0" w:line="277" w:lineRule="auto"/>
        <w:rPr>
          <w:sz w:val="20"/>
          <w:szCs w:val="20"/>
          <w:color w:val="auto"/>
        </w:rPr>
      </w:pPr>
      <w:r>
        <w:rPr>
          <w:rFonts w:ascii="Arial" w:cs="Arial" w:eastAsia="Arial" w:hAnsi="Arial"/>
          <w:sz w:val="18"/>
          <w:szCs w:val="18"/>
          <w:color w:val="auto"/>
        </w:rPr>
        <w:t>The patents we were issued as well as any additional patents that may in the future issue to us will not ensure the protection of our intellectual property for a number of reasons, including without limitation the following:</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issued patents may not be broad or strong enough to prevent competition from other products including identical or similar products;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are not issued additional patents or if issued patents expire, there would be no protections against competitors making generic equivalents;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may be other patents existing in the patent landscape for MDX that will affect our freedom to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our issued patents or future patents, if issued, are challenged, a court could determine that they are not valid or enforceable;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our issued patents or future patents, if issued;</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issued patents and future patents, if issued, could irretrievably lapse due to failure to pay fees or otherwise comply with regulations, or could be subject to compulsory licensing;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70"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generally available. The manufacture of metadoxine and its use in other indications will not infringe our intellectual property rights, and will make it more difficult to monitor and enforce any patent rights that may be issued to us.</w:t>
      </w:r>
    </w:p>
    <w:p>
      <w:pPr>
        <w:spacing w:after="0" w:line="188"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88"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ind w:right="8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70"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78"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ind w:right="20" w:firstLine="416"/>
        <w:spacing w:after="0" w:line="254" w:lineRule="auto"/>
        <w:rPr>
          <w:sz w:val="20"/>
          <w:szCs w:val="20"/>
          <w:color w:val="auto"/>
        </w:rPr>
      </w:pPr>
      <w:r>
        <w:rPr>
          <w:rFonts w:ascii="Arial" w:cs="Arial" w:eastAsia="Arial" w:hAnsi="Arial"/>
          <w:sz w:val="18"/>
          <w:szCs w:val="18"/>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70" w:lineRule="exact"/>
        <w:rPr>
          <w:sz w:val="20"/>
          <w:szCs w:val="20"/>
          <w:color w:val="auto"/>
        </w:rPr>
      </w:pPr>
    </w:p>
    <w:p>
      <w:pPr>
        <w:ind w:right="80" w:firstLine="389"/>
        <w:spacing w:after="0" w:line="253" w:lineRule="auto"/>
        <w:rPr>
          <w:sz w:val="20"/>
          <w:szCs w:val="20"/>
          <w:color w:val="auto"/>
        </w:rPr>
      </w:pPr>
      <w:r>
        <w:rPr>
          <w:rFonts w:ascii="Arial" w:cs="Arial" w:eastAsia="Arial" w:hAnsi="Arial"/>
          <w:sz w:val="18"/>
          <w:szCs w:val="18"/>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left="400"/>
        <w:spacing w:after="0"/>
        <w:rPr>
          <w:sz w:val="20"/>
          <w:szCs w:val="20"/>
          <w:color w:val="auto"/>
        </w:rPr>
      </w:pPr>
      <w:r>
        <w:rPr>
          <w:rFonts w:ascii="Arial" w:cs="Arial" w:eastAsia="Arial" w:hAnsi="Arial"/>
          <w:sz w:val="18"/>
          <w:szCs w:val="18"/>
          <w:b w:val="1"/>
          <w:bCs w:val="1"/>
          <w:i w:val="1"/>
          <w:iCs w:val="1"/>
          <w:color w:val="auto"/>
        </w:rPr>
        <w:t>Employees may be entitled to seek compensation for their inventions irrespective of their agreements with us.</w:t>
      </w:r>
    </w:p>
    <w:p>
      <w:pPr>
        <w:spacing w:after="0" w:line="225" w:lineRule="exact"/>
        <w:rPr>
          <w:sz w:val="20"/>
          <w:szCs w:val="20"/>
          <w:color w:val="auto"/>
        </w:rPr>
      </w:pPr>
    </w:p>
    <w:p>
      <w:pPr>
        <w:ind w:right="120" w:firstLine="389"/>
        <w:spacing w:after="0" w:line="269" w:lineRule="auto"/>
        <w:rPr>
          <w:sz w:val="20"/>
          <w:szCs w:val="20"/>
          <w:color w:val="auto"/>
        </w:rPr>
      </w:pPr>
      <w:r>
        <w:rPr>
          <w:rFonts w:ascii="Arial" w:cs="Arial" w:eastAsia="Arial" w:hAnsi="Arial"/>
          <w:sz w:val="17"/>
          <w:szCs w:val="17"/>
          <w:color w:val="auto"/>
        </w:rPr>
        <w:t>In 2012, the Israeli Supreme Court ruled that an employee who receives a patent or contributes to an invention during his employment may be allowed to seek compensation for it from their employer, even if the employee’s contract of employment specifically states otherwise and the employee’ has transferred all intellectual property rights to the employer. The Supreme Court ruled that the fact that a contract revokes the employee’ right for royalties and compensation, does not rule out the right of the employee to claim their right for royalties. However, in a more recent ruling, issued in May 2014, the government-appointed Compensation and Royalties Committee, established under the Israeli Patents Law, 5727-1967, determined that employee’s remuneration rights for service inventions may be waived by an explicit contractual waiver. It is our understanding that a petition has been filed with the Israeli Supreme Court. In light of the petition and the inconsistency in rulings it is still unclear if, and to what extent, our employees may be able to claim compensation with respect to our future revenue. Therefore, although we enter into agreements with our employees pursuant to which they waive their right to special remuneration for inventions created in the scope of their employment or engagement and agree that any such inventions are owned exclusively by us, we may face claims by employees demanding remuneration beyond their regular salary and benefits, and we may receive less revenue from future products if such claims are successful which in turn could impact our future profitability.</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60" w:lineRule="exact"/>
        <w:rPr>
          <w:sz w:val="20"/>
          <w:szCs w:val="20"/>
          <w:color w:val="auto"/>
        </w:rPr>
      </w:pPr>
    </w:p>
    <w:p>
      <w:pPr>
        <w:ind w:right="140" w:firstLine="416"/>
        <w:spacing w:after="0" w:line="279" w:lineRule="auto"/>
        <w:rPr>
          <w:sz w:val="20"/>
          <w:szCs w:val="20"/>
          <w:color w:val="auto"/>
        </w:rPr>
      </w:pPr>
      <w:r>
        <w:rPr>
          <w:rFonts w:ascii="Arial" w:cs="Arial" w:eastAsia="Arial" w:hAnsi="Arial"/>
          <w:sz w:val="17"/>
          <w:szCs w:val="17"/>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MDX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71" w:lineRule="exact"/>
        <w:rPr>
          <w:sz w:val="20"/>
          <w:szCs w:val="20"/>
          <w:color w:val="auto"/>
        </w:rPr>
      </w:pPr>
    </w:p>
    <w:p>
      <w:pPr>
        <w:ind w:right="60" w:firstLine="416"/>
        <w:spacing w:after="0" w:line="259" w:lineRule="auto"/>
        <w:rPr>
          <w:sz w:val="20"/>
          <w:szCs w:val="20"/>
          <w:color w:val="auto"/>
        </w:rPr>
      </w:pPr>
      <w:r>
        <w:rPr>
          <w:rFonts w:ascii="Arial" w:cs="Arial" w:eastAsia="Arial" w:hAnsi="Arial"/>
          <w:sz w:val="18"/>
          <w:szCs w:val="18"/>
          <w:color w:val="auto"/>
        </w:rPr>
        <w:t>In addition, our patents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 and patent applications subject to challenge. Any of these challenges, regardless of their success, would likely be time consuming and expensive to defend and resolve and would divert our management’s time and attention.</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our issued patents, or future patents, if issued, in general, thereby impairing our ability to protect our products.</w:t>
      </w:r>
    </w:p>
    <w:p>
      <w:pPr>
        <w:spacing w:after="0" w:line="170" w:lineRule="exact"/>
        <w:rPr>
          <w:sz w:val="20"/>
          <w:szCs w:val="20"/>
          <w:color w:val="auto"/>
        </w:rPr>
      </w:pPr>
    </w:p>
    <w:p>
      <w:pPr>
        <w:ind w:right="180" w:firstLine="416"/>
        <w:spacing w:after="0" w:line="290"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ordinary shares to decline.</w:t>
      </w:r>
    </w:p>
    <w:p>
      <w:pPr>
        <w:spacing w:after="0" w:line="260" w:lineRule="exact"/>
        <w:rPr>
          <w:sz w:val="20"/>
          <w:szCs w:val="20"/>
          <w:color w:val="auto"/>
        </w:rPr>
      </w:pPr>
    </w:p>
    <w:p>
      <w:pPr>
        <w:ind w:right="420" w:firstLine="416"/>
        <w:spacing w:after="0" w:line="264" w:lineRule="auto"/>
        <w:rPr>
          <w:sz w:val="20"/>
          <w:szCs w:val="20"/>
          <w:color w:val="auto"/>
        </w:rPr>
      </w:pPr>
      <w:r>
        <w:rPr>
          <w:rFonts w:ascii="Arial" w:cs="Arial" w:eastAsia="Arial" w:hAnsi="Arial"/>
          <w:sz w:val="18"/>
          <w:szCs w:val="18"/>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ordinary shares may decline.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clinical-stage company with no approved products, which makes it difficult to assess our future viability.</w:t>
      </w:r>
    </w:p>
    <w:p>
      <w:pPr>
        <w:spacing w:after="0" w:line="225"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We are a clinical-stage biopharmaceutical company with a limited operating history. We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1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execute product candidate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build and maintain robust sales, distribution and marketing capabilities, either on our own or in collaboration with strategic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gain market acceptance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maintain any strategic relationships we elect to enter into; and</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drug discovery, pre-clinical development, clinical trials, regulatory approvals and commercialization.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develop product candidates, raise capital, expand our business or continue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60" w:lineRule="exact"/>
        <w:rPr>
          <w:sz w:val="20"/>
          <w:szCs w:val="20"/>
          <w:color w:val="auto"/>
        </w:rPr>
      </w:pPr>
    </w:p>
    <w:p>
      <w:pPr>
        <w:ind w:right="20" w:firstLine="416"/>
        <w:spacing w:after="0" w:line="270" w:lineRule="auto"/>
        <w:rPr>
          <w:sz w:val="20"/>
          <w:szCs w:val="20"/>
          <w:color w:val="auto"/>
        </w:rPr>
      </w:pPr>
      <w:r>
        <w:rPr>
          <w:rFonts w:ascii="Arial" w:cs="Arial" w:eastAsia="Arial" w:hAnsi="Arial"/>
          <w:sz w:val="17"/>
          <w:szCs w:val="17"/>
          <w:color w:val="auto"/>
        </w:rPr>
        <w:t>Our key employees include our Chief Executive Officer, Dr. Yaron Daniely, who has been with us since 2010, our Chief Financial Officer, Dr. Tomer Berkovitz, who has been with us since 2014, our Chief Medical Officer, Dr. Jonathan Rubin, who has been with us since 2013, our Chief Commercial Officer, Mr. David Baker, who has been with us since 2014, our Senior Vice President CMC (chemistry, manufacturing and controls), Ms. Hanna Ron, who has been with us since 2011, our Senior Vice President Regulatory Affairs, Dr. Hagit Marchaim, who has been with us since 2014, our Vice President Finance, Mr. Oded Edri, who has been with us since 2014, and our Vice President of Preclinical Development, Dr. Johanna Schumann, who has been with us since 2013. Our future growth and success depend on our ability to recruit, retain, manage and motivate our employees and key consultants. The loss of the services of our chief executive officer, our chief financial officer or any of our key employees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ind w:right="120" w:firstLine="416"/>
        <w:spacing w:after="0" w:line="276" w:lineRule="auto"/>
        <w:rPr>
          <w:sz w:val="20"/>
          <w:szCs w:val="20"/>
          <w:color w:val="auto"/>
        </w:rPr>
      </w:pPr>
      <w:r>
        <w:rPr>
          <w:rFonts w:ascii="Arial" w:cs="Arial" w:eastAsia="Arial" w:hAnsi="Arial"/>
          <w:sz w:val="17"/>
          <w:szCs w:val="17"/>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73" w:lineRule="exact"/>
        <w:rPr>
          <w:sz w:val="20"/>
          <w:szCs w:val="20"/>
          <w:color w:val="auto"/>
        </w:rPr>
      </w:pPr>
    </w:p>
    <w:p>
      <w:pPr>
        <w:ind w:right="260" w:firstLine="45"/>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our shareholders could lose confidence in our financial and other public reporting, which would harm our business and the trading price of our ordinary shares.</w:t>
      </w:r>
    </w:p>
    <w:p>
      <w:pPr>
        <w:spacing w:after="0" w:line="181" w:lineRule="exact"/>
        <w:rPr>
          <w:sz w:val="20"/>
          <w:szCs w:val="20"/>
          <w:color w:val="auto"/>
        </w:rPr>
      </w:pPr>
    </w:p>
    <w:p>
      <w:pPr>
        <w:ind w:right="60" w:firstLine="416"/>
        <w:spacing w:after="0" w:line="293"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ordinary shares.</w:t>
      </w:r>
    </w:p>
    <w:p>
      <w:pPr>
        <w:spacing w:after="0" w:line="165" w:lineRule="exact"/>
        <w:rPr>
          <w:sz w:val="20"/>
          <w:szCs w:val="20"/>
          <w:color w:val="auto"/>
        </w:rPr>
      </w:pPr>
    </w:p>
    <w:p>
      <w:pPr>
        <w:ind w:firstLine="416"/>
        <w:spacing w:after="0" w:line="293" w:lineRule="auto"/>
        <w:rPr>
          <w:sz w:val="20"/>
          <w:szCs w:val="20"/>
          <w:color w:val="auto"/>
        </w:rPr>
      </w:pPr>
      <w:r>
        <w:rPr>
          <w:rFonts w:ascii="Arial" w:cs="Arial" w:eastAsia="Arial" w:hAnsi="Arial"/>
          <w:sz w:val="16"/>
          <w:szCs w:val="16"/>
          <w:color w:val="auto"/>
        </w:rPr>
        <w:t>We are required to disclose changes made in our internal controls and procedures on an annual basis and starting with this annual report our management is required to assess the effectiveness of these internal controls annually. However, for as long as we are an "emerging growth company" under the JOBS Act, our independent registered public accounting firm will not be required to attest to the effectiveness of our internal control over financial reporting pursuant to Section 404 of the Sarbanes-Oxley Act. We could be an emerging growth company for up to five years from our initial public offering in 2013.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significantly increase the size of our organization, and we may experience difficulties in managing growth.</w:t>
      </w:r>
    </w:p>
    <w:p>
      <w:pPr>
        <w:spacing w:after="0" w:line="225" w:lineRule="exact"/>
        <w:rPr>
          <w:sz w:val="20"/>
          <w:szCs w:val="20"/>
          <w:color w:val="auto"/>
        </w:rPr>
      </w:pPr>
    </w:p>
    <w:p>
      <w:pPr>
        <w:ind w:right="420" w:firstLine="416"/>
        <w:spacing w:after="0" w:line="312" w:lineRule="auto"/>
        <w:rPr>
          <w:sz w:val="20"/>
          <w:szCs w:val="20"/>
          <w:color w:val="auto"/>
        </w:rPr>
      </w:pPr>
      <w:r>
        <w:rPr>
          <w:rFonts w:ascii="Arial" w:cs="Arial" w:eastAsia="Arial" w:hAnsi="Arial"/>
          <w:sz w:val="16"/>
          <w:szCs w:val="16"/>
          <w:color w:val="auto"/>
        </w:rPr>
        <w:t>We currently have only 13 employees, and in order to commercialize our products, we may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4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ind w:right="100" w:firstLine="416"/>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ind w:left="620" w:hanging="193"/>
        <w:spacing w:after="0" w:line="259"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Medicare-Medicaid Anti-Fraud and Abuse Act, as amended, or the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86" w:lineRule="exact"/>
        <w:rPr>
          <w:rFonts w:ascii="Arial" w:cs="Arial" w:eastAsia="Arial" w:hAnsi="Arial"/>
          <w:sz w:val="18"/>
          <w:szCs w:val="18"/>
          <w:color w:val="auto"/>
        </w:rPr>
      </w:pPr>
    </w:p>
    <w:p>
      <w:pPr>
        <w:ind w:left="620" w:right="40" w:hanging="193"/>
        <w:spacing w:after="0" w:line="286"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165" w:lineRule="exact"/>
        <w:rPr>
          <w:rFonts w:ascii="Arial" w:cs="Arial" w:eastAsia="Arial" w:hAnsi="Arial"/>
          <w:sz w:val="17"/>
          <w:szCs w:val="17"/>
          <w:color w:val="auto"/>
        </w:rPr>
      </w:pPr>
    </w:p>
    <w:p>
      <w:pPr>
        <w:ind w:left="620" w:hanging="193"/>
        <w:spacing w:after="0" w:line="273"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as amended by the Health Information Technology for Economic and Clinical Health Act, or HITECH,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178" w:lineRule="exact"/>
        <w:rPr>
          <w:rFonts w:ascii="Arial" w:cs="Arial" w:eastAsia="Arial" w:hAnsi="Arial"/>
          <w:sz w:val="17"/>
          <w:szCs w:val="17"/>
          <w:color w:val="auto"/>
        </w:rPr>
      </w:pPr>
    </w:p>
    <w:p>
      <w:pPr>
        <w:ind w:left="620" w:right="240" w:hanging="193"/>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delivery of or payment for healthcare benefits, items or services;</w:t>
      </w:r>
    </w:p>
    <w:p>
      <w:pPr>
        <w:spacing w:after="0" w:line="170" w:lineRule="exact"/>
        <w:rPr>
          <w:rFonts w:ascii="Arial" w:cs="Arial" w:eastAsia="Arial" w:hAnsi="Arial"/>
          <w:sz w:val="18"/>
          <w:szCs w:val="18"/>
          <w:color w:val="auto"/>
        </w:rPr>
      </w:pPr>
    </w:p>
    <w:p>
      <w:pPr>
        <w:ind w:left="620" w:right="40" w:hanging="193"/>
        <w:spacing w:after="0" w:line="264"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U.S. Department of Health and Human Services information related to physician payments and other transfers of value and physician ownership and investment interests;</w:t>
      </w:r>
    </w:p>
    <w:p>
      <w:pPr>
        <w:spacing w:after="0" w:line="181" w:lineRule="exact"/>
        <w:rPr>
          <w:rFonts w:ascii="Arial" w:cs="Arial" w:eastAsia="Arial" w:hAnsi="Arial"/>
          <w:sz w:val="18"/>
          <w:szCs w:val="18"/>
          <w:color w:val="auto"/>
        </w:rPr>
      </w:pPr>
    </w:p>
    <w:p>
      <w:pPr>
        <w:ind w:left="620" w:right="80" w:hanging="193"/>
        <w:spacing w:after="0" w:line="25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88" w:lineRule="exact"/>
        <w:rPr>
          <w:rFonts w:ascii="Arial" w:cs="Arial" w:eastAsia="Arial" w:hAnsi="Arial"/>
          <w:sz w:val="18"/>
          <w:szCs w:val="18"/>
          <w:color w:val="auto"/>
        </w:rPr>
      </w:pPr>
    </w:p>
    <w:p>
      <w:pPr>
        <w:ind w:left="620" w:hanging="19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 may also apply.</w:t>
      </w:r>
    </w:p>
    <w:p>
      <w:pPr>
        <w:spacing w:after="0" w:line="225" w:lineRule="exact"/>
        <w:rPr>
          <w:sz w:val="20"/>
          <w:szCs w:val="20"/>
          <w:color w:val="auto"/>
        </w:rPr>
      </w:pPr>
    </w:p>
    <w:p>
      <w:pPr>
        <w:ind w:right="40" w:firstLine="41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ind w:right="500"/>
        <w:spacing w:after="0" w:line="277" w:lineRule="auto"/>
        <w:rPr>
          <w:sz w:val="20"/>
          <w:szCs w:val="20"/>
          <w:color w:val="auto"/>
        </w:rPr>
      </w:pPr>
      <w:r>
        <w:rPr>
          <w:rFonts w:ascii="Arial" w:cs="Arial" w:eastAsia="Arial" w:hAnsi="Arial"/>
          <w:sz w:val="18"/>
          <w:szCs w:val="18"/>
          <w:b w:val="1"/>
          <w:bCs w:val="1"/>
          <w:i w:val="1"/>
          <w:iCs w:val="1"/>
          <w:color w:val="auto"/>
        </w:rPr>
        <w:t>If our employees commit fraud or other misconduct, including noncompliance with regulatory standards and requirements and insider trading, our business may experience serious adverse consequences.</w:t>
      </w:r>
    </w:p>
    <w:p>
      <w:pPr>
        <w:spacing w:after="0" w:line="170"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regulations, to provide accurate information to the FDA, to comply with manufacturing standards we have established, to comply with federal and state healthcare fraud and abuse laws and regulations,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0" w:lineRule="exact"/>
        <w:rPr>
          <w:sz w:val="20"/>
          <w:szCs w:val="20"/>
          <w:color w:val="auto"/>
        </w:rPr>
      </w:pPr>
    </w:p>
    <w:p>
      <w:pPr>
        <w:ind w:right="120" w:firstLine="416"/>
        <w:spacing w:after="0" w:line="293" w:lineRule="auto"/>
        <w:rPr>
          <w:sz w:val="20"/>
          <w:szCs w:val="20"/>
          <w:color w:val="auto"/>
        </w:rPr>
      </w:pPr>
      <w:r>
        <w:rPr>
          <w:rFonts w:ascii="Arial" w:cs="Arial" w:eastAsia="Arial" w:hAnsi="Arial"/>
          <w:sz w:val="16"/>
          <w:szCs w:val="16"/>
          <w:color w:val="auto"/>
        </w:rPr>
        <w:t>In addition, during the course of our operations, our directors, executives and employees may have access to material, nonpublic information regarding our business, our results of operations or potential transactions we are considering. Despite the adoption of an Insider Trading Policy, we may not be able to prevent a director, executive or employee from trading in our ordinary shares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macroeconomic conditions.</w:t>
      </w:r>
    </w:p>
    <w:p>
      <w:pPr>
        <w:spacing w:after="0" w:line="225" w:lineRule="exact"/>
        <w:rPr>
          <w:sz w:val="20"/>
          <w:szCs w:val="20"/>
          <w:color w:val="auto"/>
        </w:rPr>
      </w:pPr>
    </w:p>
    <w:p>
      <w:pPr>
        <w:ind w:right="20" w:firstLine="416"/>
        <w:spacing w:after="0" w:line="279" w:lineRule="auto"/>
        <w:rPr>
          <w:sz w:val="20"/>
          <w:szCs w:val="20"/>
          <w:color w:val="auto"/>
        </w:rPr>
      </w:pPr>
      <w:r>
        <w:rPr>
          <w:rFonts w:ascii="Arial" w:cs="Arial" w:eastAsia="Arial" w:hAnsi="Arial"/>
          <w:sz w:val="17"/>
          <w:szCs w:val="17"/>
          <w:color w:val="auto"/>
        </w:rPr>
        <w:t>A deterioration in global economic conditions and uncertainties may have an adverse effect on our business. Interest rates and the ability to access credit markets could adversely affect the ability of patients and distributors to purchase, pay for and effectively distribute our products. Similarly, these macroeconomic factors could affect the ability of our CMOs, sole-source or single-source suppliers to remain in business or otherwise manufacture or supply product. Failure by any of them to remain a going concern could affect our ability to manufacture products.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ind w:right="40" w:firstLine="45"/>
        <w:spacing w:after="0" w:line="277" w:lineRule="auto"/>
        <w:rPr>
          <w:sz w:val="20"/>
          <w:szCs w:val="20"/>
          <w:color w:val="auto"/>
        </w:rPr>
      </w:pPr>
      <w:r>
        <w:rPr>
          <w:rFonts w:ascii="Arial" w:cs="Arial" w:eastAsia="Arial" w:hAnsi="Arial"/>
          <w:sz w:val="18"/>
          <w:szCs w:val="18"/>
          <w:b w:val="1"/>
          <w:bCs w:val="1"/>
          <w:i w:val="1"/>
          <w:iCs w:val="1"/>
          <w:color w:val="auto"/>
        </w:rPr>
        <w:t>We do not know whether a market for our ordinary shares will be sustained or what the market price of our ordinary shares will be and as a result it may be difficult for you to sell your shares.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ordinary shares are quoted on the NASDAQ Global Market, an active trading market for our shares may not be sustained. It may be difficult for you to sell your shares at all or without depressing the market price for the shares. As a result of these and other factors, you may not be able to sell your ordinary shares at or above the price you paid for such shares or at all. In addition, the trading price of our ordinary shares has been and is likely to continue to be volatile. The following factors, in addition to other risk factors described in this section, may have a significant impact on the market price of our ordinary shares:</w:t>
      </w:r>
    </w:p>
    <w:p>
      <w:pPr>
        <w:spacing w:after="0" w:line="18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further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adverse actions taken by regulatory agencies with respect to our clinical trials, manufacturing supply chain or sales and marketing activities;</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MDX;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pharmaceuticals;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substantial sales of our ordinary shares.</w:t>
      </w:r>
    </w:p>
    <w:p>
      <w:pPr>
        <w:spacing w:after="0" w:line="225" w:lineRule="exact"/>
        <w:rPr>
          <w:sz w:val="20"/>
          <w:szCs w:val="20"/>
          <w:color w:val="auto"/>
        </w:rPr>
      </w:pPr>
    </w:p>
    <w:p>
      <w:pPr>
        <w:ind w:right="240" w:firstLine="416"/>
        <w:spacing w:after="0" w:line="259" w:lineRule="auto"/>
        <w:rPr>
          <w:sz w:val="20"/>
          <w:szCs w:val="20"/>
          <w:color w:val="auto"/>
        </w:rPr>
      </w:pPr>
      <w:r>
        <w:rPr>
          <w:rFonts w:ascii="Arial" w:cs="Arial" w:eastAsia="Arial" w:hAnsi="Arial"/>
          <w:sz w:val="18"/>
          <w:szCs w:val="18"/>
          <w:color w:val="auto"/>
        </w:rPr>
        <w:t>In addition, the stock market in general, and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any number of legal proceedings, which may be expensive and could divert management attention.</w:t>
      </w:r>
    </w:p>
    <w:p>
      <w:pPr>
        <w:spacing w:after="0" w:line="225" w:lineRule="exact"/>
        <w:rPr>
          <w:sz w:val="20"/>
          <w:szCs w:val="20"/>
          <w:color w:val="auto"/>
        </w:rPr>
      </w:pPr>
    </w:p>
    <w:p>
      <w:pPr>
        <w:ind w:right="80" w:firstLine="416"/>
        <w:spacing w:after="0" w:line="270" w:lineRule="auto"/>
        <w:rPr>
          <w:sz w:val="20"/>
          <w:szCs w:val="20"/>
          <w:color w:val="auto"/>
        </w:rPr>
      </w:pPr>
      <w:r>
        <w:rPr>
          <w:rFonts w:ascii="Arial" w:cs="Arial" w:eastAsia="Arial" w:hAnsi="Arial"/>
          <w:sz w:val="17"/>
          <w:szCs w:val="17"/>
          <w:color w:val="auto"/>
        </w:rPr>
        <w:t>Recently, several purported class action lawsuits were filed in the Southern District of New York seeking to pursue remedies under the Securities Exchange Act of 1934, as amended, or the Exchange Act, with respect to allegedly false and/or misleading statements, as well as alleged failure to disclose material adverse facts about our business. To date, we have not been served with any of the lawsuits. Such legal proceedings, regardless of their outcome, could be costly, divert management attention, or damage our reputation and demand for our products. Litigation, particularly in the United States, is inherently unpredictable and unexpectedly high awards of damages can result if we receive an adverse verdict. In many cases, particularly in the United States, the practice of the plaintiffs’ bar is to claim damages (compensatory, punitive and statutory) in extremely high amounts. Accordingly, it is difficult to quantify the potential exposure to claims in many proceedings of the type mentioned above. Unfavorable resolution of current and similar future proceedings could have a material adverse effect on our financial condition and results of operations. We may become subject to monetary and/or non-monetary sanctions and/or may be required to make significant provisions in our accounts related to legal proceedings, which could have a material adverse effect on our financial condition and results of operations.</w:t>
      </w:r>
    </w:p>
    <w:p>
      <w:pPr>
        <w:spacing w:after="0" w:line="178" w:lineRule="exact"/>
        <w:rPr>
          <w:sz w:val="20"/>
          <w:szCs w:val="20"/>
          <w:color w:val="auto"/>
        </w:rPr>
      </w:pPr>
    </w:p>
    <w:p>
      <w:pPr>
        <w:jc w:val="both"/>
        <w:ind w:right="40" w:firstLine="416"/>
        <w:spacing w:after="0" w:line="259" w:lineRule="auto"/>
        <w:rPr>
          <w:sz w:val="20"/>
          <w:szCs w:val="20"/>
          <w:color w:val="auto"/>
        </w:rPr>
      </w:pPr>
      <w:r>
        <w:rPr>
          <w:rFonts w:ascii="Arial" w:cs="Arial" w:eastAsia="Arial" w:hAnsi="Arial"/>
          <w:sz w:val="18"/>
          <w:szCs w:val="18"/>
          <w:color w:val="auto"/>
        </w:rPr>
        <w:t>In the past companies that have experienced volatility in the market price of their stock have been subject to securities class action litigation. In addition to the class action law suit discussed above,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8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Our two major shareholders currently own approximately 24% of our outstanding ordinary shares. They will therefore be able to exert significant control over matters submitted to our shareholders for approval.</w:t>
      </w:r>
    </w:p>
    <w:p>
      <w:pPr>
        <w:spacing w:after="0" w:line="170" w:lineRule="exact"/>
        <w:rPr>
          <w:sz w:val="20"/>
          <w:szCs w:val="20"/>
          <w:color w:val="auto"/>
        </w:rPr>
      </w:pPr>
    </w:p>
    <w:p>
      <w:pPr>
        <w:ind w:right="220" w:firstLine="416"/>
        <w:spacing w:after="0" w:line="276" w:lineRule="auto"/>
        <w:rPr>
          <w:sz w:val="20"/>
          <w:szCs w:val="20"/>
          <w:color w:val="auto"/>
        </w:rPr>
      </w:pPr>
      <w:r>
        <w:rPr>
          <w:rFonts w:ascii="Arial" w:cs="Arial" w:eastAsia="Arial" w:hAnsi="Arial"/>
          <w:sz w:val="17"/>
          <w:szCs w:val="17"/>
          <w:color w:val="auto"/>
        </w:rPr>
        <w:t>Our two major shareholders, in the aggregate, beneficially own approximately 24% of our ordinary shares.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t>Sales of a substantial number of our ordinary shares in the public market by our existing shareholders could cause our share price to fall.</w:t>
      </w:r>
    </w:p>
    <w:p>
      <w:pPr>
        <w:spacing w:after="0" w:line="237"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Sales of a substantial number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were to be characterized as a “passive foreign investment company” for U.S. tax purposes, U.S. holders of our ordinary shares could have adverse U.S. income tax consequences.</w:t>
      </w:r>
    </w:p>
    <w:p>
      <w:pPr>
        <w:spacing w:after="0" w:line="170" w:lineRule="exact"/>
        <w:rPr>
          <w:sz w:val="20"/>
          <w:szCs w:val="20"/>
          <w:color w:val="auto"/>
        </w:rPr>
      </w:pPr>
    </w:p>
    <w:p>
      <w:pPr>
        <w:ind w:right="240" w:firstLine="416"/>
        <w:spacing w:after="0" w:line="259" w:lineRule="auto"/>
        <w:rPr>
          <w:sz w:val="20"/>
          <w:szCs w:val="20"/>
          <w:color w:val="auto"/>
        </w:rPr>
      </w:pPr>
      <w:r>
        <w:rPr>
          <w:rFonts w:ascii="Arial" w:cs="Arial" w:eastAsia="Arial" w:hAnsi="Arial"/>
          <w:sz w:val="18"/>
          <w:szCs w:val="18"/>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See “U.S. Federal Income Tax Consequences.”</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24" w:lineRule="exact"/>
        <w:rPr>
          <w:sz w:val="20"/>
          <w:szCs w:val="20"/>
          <w:color w:val="auto"/>
        </w:rPr>
      </w:pPr>
    </w:p>
    <w:p>
      <w:pPr>
        <w:ind w:right="80" w:firstLine="416"/>
        <w:spacing w:after="0" w:line="255"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70" w:lineRule="exact"/>
        <w:rPr>
          <w:sz w:val="20"/>
          <w:szCs w:val="20"/>
          <w:color w:val="auto"/>
        </w:rPr>
      </w:pPr>
    </w:p>
    <w:p>
      <w:pPr>
        <w:ind w:right="180" w:firstLine="416"/>
        <w:spacing w:after="0" w:line="259" w:lineRule="auto"/>
        <w:rPr>
          <w:sz w:val="20"/>
          <w:szCs w:val="20"/>
          <w:color w:val="auto"/>
        </w:rPr>
      </w:pPr>
      <w:r>
        <w:rPr>
          <w:rFonts w:ascii="Arial" w:cs="Arial" w:eastAsia="Arial" w:hAnsi="Arial"/>
          <w:sz w:val="18"/>
          <w:szCs w:val="18"/>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imposes certain restrictions on our ability to declare and pay dividends. See “Description of Share Capital—Dividend and Liquidation Rights”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require significant company resources and management attention.</w:t>
      </w:r>
    </w:p>
    <w:p>
      <w:pPr>
        <w:spacing w:after="0" w:line="225" w:lineRule="exact"/>
        <w:rPr>
          <w:sz w:val="20"/>
          <w:szCs w:val="20"/>
          <w:color w:val="auto"/>
        </w:rPr>
      </w:pPr>
    </w:p>
    <w:p>
      <w:pPr>
        <w:ind w:right="60" w:firstLine="416"/>
        <w:spacing w:after="0" w:line="276" w:lineRule="auto"/>
        <w:rPr>
          <w:sz w:val="20"/>
          <w:szCs w:val="20"/>
          <w:color w:val="auto"/>
        </w:rPr>
      </w:pPr>
      <w:r>
        <w:rPr>
          <w:rFonts w:ascii="Arial" w:cs="Arial" w:eastAsia="Arial" w:hAnsi="Arial"/>
          <w:sz w:val="17"/>
          <w:szCs w:val="17"/>
          <w:color w:val="auto"/>
        </w:rPr>
        <w:t>We are subject to the reporting requirements of the Exchange Act the Sarbanes-Oxley Act,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incur additional legal, accounting and other expenses that we did not incur as a nonpublic company. These expenses are at least several hundred thousand dollars annually.</w:t>
      </w:r>
    </w:p>
    <w:p>
      <w:pPr>
        <w:spacing w:after="0" w:line="17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The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81" w:lineRule="exact"/>
        <w:rPr>
          <w:sz w:val="20"/>
          <w:szCs w:val="20"/>
          <w:color w:val="auto"/>
        </w:rPr>
      </w:pPr>
    </w:p>
    <w:p>
      <w:pPr>
        <w:ind w:right="160" w:firstLine="415"/>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ind w:left="660" w:right="5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not to comply with new accounting principles that do not apply to public companies until such accounting principles become applicable to private companies; and</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w:t>
      </w:r>
    </w:p>
    <w:p>
      <w:pPr>
        <w:spacing w:after="0" w:line="170" w:lineRule="exact"/>
        <w:rPr>
          <w:sz w:val="20"/>
          <w:szCs w:val="20"/>
          <w:color w:val="auto"/>
        </w:rPr>
      </w:pPr>
    </w:p>
    <w:p>
      <w:pPr>
        <w:jc w:val="both"/>
        <w:ind w:right="60" w:firstLine="405"/>
        <w:spacing w:after="0" w:line="288"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completion of our initial public offering in 2013, (b) in which we have total annual gross revenue of at least $1.0 billion, or (c) in which we are deemed to be a large accelerated filer, which means the market value of our</w:t>
      </w:r>
    </w:p>
    <w:p>
      <w:pPr>
        <w:spacing w:after="0" w:line="205" w:lineRule="auto"/>
        <w:rPr>
          <w:sz w:val="20"/>
          <w:szCs w:val="20"/>
          <w:color w:val="auto"/>
        </w:rPr>
      </w:pPr>
      <w:r>
        <w:rPr>
          <w:rFonts w:ascii="Arial" w:cs="Arial" w:eastAsia="Arial" w:hAnsi="Arial"/>
          <w:sz w:val="18"/>
          <w:szCs w:val="18"/>
          <w:color w:val="auto"/>
        </w:rPr>
        <w:t>ordinary shares that is held by non-affiliates exceeds $700 million as of the prior June 30</w:t>
      </w:r>
      <w:r>
        <w:rPr>
          <w:rFonts w:ascii="Arial" w:cs="Arial" w:eastAsia="Arial" w:hAnsi="Arial"/>
          <w:sz w:val="30"/>
          <w:szCs w:val="3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203"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24"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01" w:lineRule="exact"/>
        <w:rPr>
          <w:sz w:val="20"/>
          <w:szCs w:val="20"/>
          <w:color w:val="auto"/>
        </w:rPr>
      </w:pPr>
    </w:p>
    <w:p>
      <w:pPr>
        <w:ind w:right="160" w:firstLine="405"/>
        <w:spacing w:after="0" w:line="270" w:lineRule="auto"/>
        <w:rPr>
          <w:sz w:val="20"/>
          <w:szCs w:val="20"/>
          <w:color w:val="auto"/>
        </w:rPr>
      </w:pPr>
      <w:r>
        <w:rPr>
          <w:rFonts w:ascii="Arial" w:cs="Arial" w:eastAsia="Arial" w:hAnsi="Arial"/>
          <w:sz w:val="17"/>
          <w:szCs w:val="17"/>
          <w:color w:val="auto"/>
        </w:rPr>
        <w:t>As a foreign private issuer, we are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82"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addition, as a foreign private issuer,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Our executive offices are located in Tel 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the summer of 2006, Israel was engaged in an armed conflict with Hezbollah, a Lebanese Islamist Shiite militia group and political party and since March 2011, there has been a civil war in Syria, Israel’s neighboring country to the north. Occasionally, violence from Syria has spilled over into Israel’s border, and Israel has responded militarily several times since the onset of the civil war. During November 2012 and July 2014, Israel was engaged in an armed conflict with a militia group and political party which controls the Gaza Strip.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85"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Although the Israeli government has in the past covered the reinstatement value of certain damages that were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pacing w:after="0" w:line="173"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conditions or the expansion of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may be disrupted as a result of the obligation of management or key personnel or consultants to perform military service.</w:t>
      </w:r>
    </w:p>
    <w:p>
      <w:pPr>
        <w:spacing w:after="0" w:line="23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Our male employees and consultants in Israel, including members of our senior management, may be obligated to perform one month, and in some cases longer periods, of annual military reserve duty until they reach the age of 40 (or older, for citizens who hold certain positions in the Israeli armed forces reserves). In this connection, we note that our Chief Executive Officer, Dr. Yaron Daniely, is 39 years old, and our Chief Financial Officer, Dr. Tomer Berkovitz, is 35 years old. In the event of a military conflict, they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currencies may increase our expenses.</w:t>
      </w:r>
    </w:p>
    <w:p>
      <w:pPr>
        <w:spacing w:after="0" w:line="22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The vast majority of our expenses are in U.S. dollars and New Israeli Shekels, or NIS. Our functional currency is the U.S. dollar and substantially all of our financial resources are denominated by U.S. dollars. As a result, we are exposed to the risks that the NIS may appreciate relative to the U.S. dollar, or if the NIS instead devalues relative to the U.S. dollar, that the inflation rate in Israel may exceed such rate of devaluation of the NIS, or that the timing of such devaluation may lag behind inflation in Israel. In any such event, the U.S. dollar cost of our operations in Israel would increase and our U.S. dollar-denominated results of operations would be adversely affected. For instance, in 2014, approximately 13% of our expenses were denominated in New Israeli Shekel. Changes of 5% and 10% in the U.S. dollar - NIS exchange rate would have increased/decreased the operation expenses by 0.65% and 1.3%, respectively. The exchange rate as of December 31, 2014 was $1.00 = NIS 3.889. We cannot predict any future trends in the rate of inflation in Israel or the rate of devaluation (if any) of the NIS against the U.S. dollar.</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ind w:right="140" w:firstLine="648"/>
        <w:spacing w:after="0" w:line="264" w:lineRule="auto"/>
        <w:rPr>
          <w:sz w:val="20"/>
          <w:szCs w:val="20"/>
          <w:color w:val="auto"/>
        </w:rPr>
      </w:pPr>
      <w:r>
        <w:rPr>
          <w:rFonts w:ascii="Arial" w:cs="Arial" w:eastAsia="Arial" w:hAnsi="Arial"/>
          <w:sz w:val="18"/>
          <w:szCs w:val="18"/>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81"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MDX, according to the OCS approval, the company is required to pay royalties from any income generated in connection with delayed release metadoxine tablets up to the total amount of grants received, linked to the U.S.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OCS. We may not receive those approvals. Furthermore, the OCS may impose certain conditions on any arrangement under which it permits us to transfer technology or development out of Israel (including for the purpose of manufacturing). Currently, under the Research Law, there is no mechanism for the approval of licensing transactions of OCS-supported technologies, however, licensing OCS supported technologies may under certain circumstances be considered a transfer of know-how and therefore requires approval as aforementioned.</w:t>
      </w:r>
    </w:p>
    <w:p>
      <w:pPr>
        <w:spacing w:after="0" w:line="18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transfer of OCS-supported technology or know-how outside of Israel may involve the payment of additional amounts depending upon the value of the transferred technology or know-how, the amount of OCS support, the time of completion of the OCS-supported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(particularly since currently there is no mechanism for the approval of licensing transactions of OCS supported technologies).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7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obligations and limitations pursuant to the Research Law are not limited in time and may not be terminated by us at will. As of the date hereof, we have not been required to pay any royalties with respect to the OCS grants. As of the date hereof, production of bulk drug substance and drug products required for our clinical trials does not involve manufacture of OCS supported products, technologies or know-how, and/or transfer of OCS supported technologies or know-how, and therefore no OCS committee approval has been sought after or required in connection with such production by our third-party manufacturers.</w:t>
      </w:r>
    </w:p>
    <w:p>
      <w:pPr>
        <w:spacing w:after="0" w:line="188"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01"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ind w:right="240" w:firstLine="405"/>
        <w:spacing w:after="0" w:line="342"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2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amended and restated articles of association also contain provisions that could delay or prevent changes in control or changes in our management without the consent of our Board of Directors. These provisions include the following:</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shareholders to elect director candidates;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the Board of Directors or the resignation, death or removal of a director, which may prevent shareholders from being able to fill vacancies on our Board of Directors.</w:t>
      </w:r>
    </w:p>
    <w:p>
      <w:pPr>
        <w:spacing w:after="0" w:line="170"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It may be difficult to enforce a judgment of a United States court against us and our officers and directors and the Israeli experts named herein in Israel or the United States, to assert United States securities laws claims in Israel or to serve process on our officers and directors and these experts.</w:t>
      </w:r>
    </w:p>
    <w:p>
      <w:pPr>
        <w:spacing w:after="0" w:line="101"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were incorporated in Israel. Most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w:t>
      </w:r>
    </w:p>
    <w:p>
      <w:pPr>
        <w:spacing w:after="0" w:line="173"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70" w:lineRule="exact"/>
        <w:rPr>
          <w:sz w:val="20"/>
          <w:szCs w:val="20"/>
          <w:color w:val="auto"/>
        </w:rPr>
      </w:pPr>
    </w:p>
    <w:p>
      <w:pPr>
        <w:jc w:val="both"/>
        <w:ind w:firstLine="383"/>
        <w:spacing w:after="0" w:line="293" w:lineRule="auto"/>
        <w:rPr>
          <w:sz w:val="20"/>
          <w:szCs w:val="20"/>
          <w:color w:val="auto"/>
        </w:rPr>
      </w:pPr>
      <w:r>
        <w:rPr>
          <w:rFonts w:ascii="Arial" w:cs="Arial" w:eastAsia="Arial" w:hAnsi="Arial"/>
          <w:sz w:val="16"/>
          <w:szCs w:val="16"/>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fairness towards the Company and other shareholders, and to refrain from abusing its power in the Company. See Item 7 – "Major Shareholders and Related Party Transactions"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anti-takeover provisions that could delay or prevent our acquisition by another entity.</w:t>
      </w:r>
    </w:p>
    <w:p>
      <w:pPr>
        <w:spacing w:after="0" w:line="225" w:lineRule="exact"/>
        <w:rPr>
          <w:sz w:val="20"/>
          <w:szCs w:val="20"/>
          <w:color w:val="auto"/>
        </w:rPr>
      </w:pPr>
    </w:p>
    <w:p>
      <w:pPr>
        <w:ind w:right="60" w:firstLine="383"/>
        <w:spacing w:after="0" w:line="255" w:lineRule="auto"/>
        <w:rPr>
          <w:sz w:val="20"/>
          <w:szCs w:val="20"/>
          <w:color w:val="auto"/>
        </w:rPr>
      </w:pPr>
      <w:r>
        <w:rPr>
          <w:rFonts w:ascii="Arial" w:cs="Arial" w:eastAsia="Arial" w:hAnsi="Arial"/>
          <w:sz w:val="18"/>
          <w:szCs w:val="18"/>
          <w:color w:val="auto"/>
        </w:rPr>
        <w:t>Provisions of Israeli corporate and tax law and of our articles of association may have the effect of delaying, preventing or making more difficult any merger or acquisition of us. In addition, any merger or acquisition of us will require the prior consent of the office of the chief scientist, or the Chief Scientist, if intellectual property is removed from Israel, as well as the Investment Center of the Israeli Ministry of Industry, Trade and Employment, or the Investment Center. Israeli law regulates mergers, votes required to approve a merger, acquisition of shares through tender offers and transactions involving significant shareholders. Any of these provisions may make it more difficult to acquire us. Accordingly, our acquisition by another entity could be delayed or prevented even if it would be beneficial to our shareholders.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4.A.</w:t>
      </w:r>
      <w:r>
        <w:rPr>
          <w:sz w:val="20"/>
          <w:szCs w:val="20"/>
          <w:color w:val="auto"/>
        </w:rPr>
        <w:tab/>
      </w:r>
      <w:r>
        <w:rPr>
          <w:rFonts w:ascii="Arial" w:cs="Arial" w:eastAsia="Arial" w:hAnsi="Arial"/>
          <w:sz w:val="16"/>
          <w:szCs w:val="16"/>
          <w:b w:val="1"/>
          <w:bCs w:val="1"/>
          <w:color w:val="auto"/>
        </w:rPr>
        <w:t>History and development</w:t>
      </w:r>
    </w:p>
    <w:p>
      <w:pPr>
        <w:spacing w:after="0" w:line="229" w:lineRule="exact"/>
        <w:rPr>
          <w:sz w:val="20"/>
          <w:szCs w:val="20"/>
          <w:color w:val="auto"/>
        </w:rPr>
      </w:pPr>
    </w:p>
    <w:p>
      <w:pPr>
        <w:ind w:right="60" w:firstLine="383"/>
        <w:spacing w:after="0" w:line="259" w:lineRule="auto"/>
        <w:rPr>
          <w:sz w:val="20"/>
          <w:szCs w:val="20"/>
          <w:color w:val="auto"/>
        </w:rPr>
      </w:pPr>
      <w:r>
        <w:rPr>
          <w:rFonts w:ascii="Arial" w:cs="Arial" w:eastAsia="Arial" w:hAnsi="Arial"/>
          <w:sz w:val="18"/>
          <w:szCs w:val="18"/>
          <w:color w:val="auto"/>
        </w:rPr>
        <w:t>We are an Israeli corporation based in Tel Aviv and were incorporated in 2008. Our principal executive offices are located at Amot Investment Building, 2 Weizman St., 9th Floor, Tel Aviv 6423902 Israel, and our telephone number is +972 72 220 4661. Our website address is www.alcobra-pharma.com. The information contained on, or that can be accessed through, our website is not part of this form. We have included our website address herein solely as an inactive textual reference.</w:t>
      </w:r>
    </w:p>
    <w:p>
      <w:pPr>
        <w:spacing w:after="0" w:line="187" w:lineRule="exact"/>
        <w:rPr>
          <w:sz w:val="20"/>
          <w:szCs w:val="20"/>
          <w:color w:val="auto"/>
        </w:rPr>
      </w:pPr>
    </w:p>
    <w:p>
      <w:pPr>
        <w:ind w:right="20" w:firstLine="383"/>
        <w:spacing w:after="0" w:line="289" w:lineRule="auto"/>
        <w:rPr>
          <w:sz w:val="20"/>
          <w:szCs w:val="20"/>
          <w:color w:val="auto"/>
        </w:rPr>
      </w:pPr>
      <w:r>
        <w:rPr>
          <w:rFonts w:ascii="Arial" w:cs="Arial" w:eastAsia="Arial" w:hAnsi="Arial"/>
          <w:sz w:val="16"/>
          <w:szCs w:val="16"/>
          <w:color w:val="auto"/>
        </w:rPr>
        <w:t>We are an “emerging growth company,” as defined in Section 2(a) of the Securities Act of 1933, or the Securities Act, as modified by the JOBS Act. As such, we are eligible to, and intend to, take advantage of certain exemptions from various reporting requirements applicable to other public companies that are not “emerging growth companies” such as not being required to comply with the auditor attestation requirements of Section 404 of the Sarbanes-Oxley Act of 2002. We could remain an “emerging growth company” for up to five years from our initial public offering in 2013,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ordinary shares that is held by non-affiliates exceeds $700 million as of the last business day of our most recently completed second fiscal quarter, or (c) the date on which we have issued more than $1 billion in nonconvertible debt during the preceding three-year period. Our wholly owned U.S. subsidiary, Alcobra, Inc., has been appointed our agent in the United States and is located at 600 West Germantown Pike, Suite 400, Plymouth Meeting, PA, 19462.</w:t>
      </w:r>
    </w:p>
    <w:p>
      <w:pPr>
        <w:spacing w:after="0" w:line="16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4.B.</w:t>
      </w:r>
      <w:r>
        <w:rPr>
          <w:sz w:val="20"/>
          <w:szCs w:val="20"/>
          <w:color w:val="auto"/>
        </w:rPr>
        <w:tab/>
      </w:r>
      <w:r>
        <w:rPr>
          <w:rFonts w:ascii="Arial" w:cs="Arial" w:eastAsia="Arial" w:hAnsi="Arial"/>
          <w:sz w:val="15"/>
          <w:szCs w:val="15"/>
          <w:b w:val="1"/>
          <w:bCs w:val="1"/>
          <w:color w:val="auto"/>
        </w:rPr>
        <w:t>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229" w:lineRule="exact"/>
        <w:rPr>
          <w:sz w:val="20"/>
          <w:szCs w:val="20"/>
          <w:color w:val="auto"/>
        </w:rPr>
      </w:pPr>
    </w:p>
    <w:p>
      <w:pPr>
        <w:ind w:left="180" w:right="20" w:firstLine="383"/>
        <w:spacing w:after="0" w:line="254"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our proprietary oral drug candidate, MDX, to treat Attention Deficit Hyperactivity Disorder, or ADHD, and other cognitive dysfunctions including Fragile X Syndrome, or Fragile X. 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Metadoxine has been available since the 1980s only in immediate release forms for the acute treatment of alcohol intoxication and the chronic treatment of alcoholic liver disease in Italy, Portugal, Hungary, Russia, India, China, Mexico and Thailand.</w:t>
      </w:r>
    </w:p>
    <w:p>
      <w:pPr>
        <w:spacing w:after="0" w:line="192" w:lineRule="exact"/>
        <w:rPr>
          <w:sz w:val="20"/>
          <w:szCs w:val="20"/>
          <w:color w:val="auto"/>
        </w:rPr>
      </w:pPr>
    </w:p>
    <w:p>
      <w:pPr>
        <w:ind w:left="180" w:right="260" w:firstLine="383"/>
        <w:spacing w:after="0" w:line="312" w:lineRule="auto"/>
        <w:rPr>
          <w:sz w:val="20"/>
          <w:szCs w:val="20"/>
          <w:color w:val="auto"/>
        </w:rPr>
      </w:pPr>
      <w:r>
        <w:rPr>
          <w:rFonts w:ascii="Arial" w:cs="Arial" w:eastAsia="Arial" w:hAnsi="Arial"/>
          <w:sz w:val="16"/>
          <w:szCs w:val="16"/>
          <w:color w:val="auto"/>
        </w:rPr>
        <w:t>In September 2011, we completed a 120 subject double-blind placebo-controlled Phase 2 study in adult ADHD subjects in Israel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47" w:lineRule="exact"/>
        <w:rPr>
          <w:sz w:val="20"/>
          <w:szCs w:val="20"/>
          <w:color w:val="auto"/>
        </w:rPr>
      </w:pPr>
    </w:p>
    <w:p>
      <w:pPr>
        <w:jc w:val="both"/>
        <w:ind w:left="180" w:right="320" w:firstLine="383"/>
        <w:spacing w:after="0" w:line="264" w:lineRule="auto"/>
        <w:rPr>
          <w:sz w:val="20"/>
          <w:szCs w:val="20"/>
          <w:color w:val="auto"/>
        </w:rPr>
      </w:pPr>
      <w:r>
        <w:rPr>
          <w:rFonts w:ascii="Arial" w:cs="Arial" w:eastAsia="Arial" w:hAnsi="Arial"/>
          <w:sz w:val="18"/>
          <w:szCs w:val="18"/>
          <w:color w:val="auto"/>
        </w:rPr>
        <w:t>In December 2013, we completed an additional 36 subject double-blind placebo-controlled Phase 2 study in adult ADHD confirming our previous findings and highlighting the rapid onset of the drug, demonstrating efficacy over placebo from the first day of dosing using a computerized assessment tool.</w:t>
      </w:r>
    </w:p>
    <w:p>
      <w:pPr>
        <w:spacing w:after="0" w:line="181" w:lineRule="exact"/>
        <w:rPr>
          <w:sz w:val="20"/>
          <w:szCs w:val="20"/>
          <w:color w:val="auto"/>
        </w:rPr>
      </w:pPr>
    </w:p>
    <w:p>
      <w:pPr>
        <w:ind w:left="180" w:right="160" w:firstLine="383"/>
        <w:spacing w:after="0" w:line="259" w:lineRule="auto"/>
        <w:rPr>
          <w:sz w:val="20"/>
          <w:szCs w:val="20"/>
          <w:color w:val="auto"/>
        </w:rPr>
      </w:pPr>
      <w:r>
        <w:rPr>
          <w:rFonts w:ascii="Arial" w:cs="Arial" w:eastAsia="Arial" w:hAnsi="Arial"/>
          <w:sz w:val="18"/>
          <w:szCs w:val="18"/>
          <w:color w:val="auto"/>
        </w:rPr>
        <w:t>In October 2014, we announced the results of a 300 subject double-blind placebo-controlled Phase 3 study in adult ADHD in 20 sites (18 in the United States and 2 in Israel). The study’s primary efficacy endpoint did not reach statistical significance. A non-significant favorable trend was observed on the primary endpoint. Other secondary measures showed strong or statistically significant trends. Similar to previous studies, the drug showed a favorable safety profile.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5" w:name="page36"/>
    <w:bookmarkEnd w:id="35"/>
    <w:p>
      <w:pPr>
        <w:ind w:right="40" w:firstLine="383"/>
        <w:spacing w:after="0" w:line="259" w:lineRule="auto"/>
        <w:rPr>
          <w:sz w:val="20"/>
          <w:szCs w:val="20"/>
          <w:color w:val="auto"/>
        </w:rPr>
      </w:pPr>
      <w:r>
        <w:rPr>
          <w:rFonts w:ascii="Arial" w:cs="Arial" w:eastAsia="Arial" w:hAnsi="Arial"/>
          <w:sz w:val="18"/>
          <w:szCs w:val="18"/>
          <w:color w:val="auto"/>
        </w:rPr>
        <w:t>Pending discussions with the United States Food and Drug Administration, or the FDA, and with their agreement, we plan to initiate a second Phase 3 study clinical trial in the United States for the use of MDX to treat ADHD in adults. The design of this trial will incorporate lessons learned from the first Phase 3 such as improved powering assumptions, duration of treatment, frequency and duration of trial visits, and patient selection and enrichment methods.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have initiated a Phase 2 study in pediatric ADHD in Israel and expect to announce the results of the study in the first quarter of 2015.</w:t>
      </w:r>
    </w:p>
    <w:p>
      <w:pPr>
        <w:spacing w:after="0" w:line="237" w:lineRule="exact"/>
        <w:rPr>
          <w:sz w:val="20"/>
          <w:szCs w:val="20"/>
          <w:color w:val="auto"/>
        </w:rPr>
      </w:pPr>
    </w:p>
    <w:p>
      <w:pPr>
        <w:ind w:right="120" w:firstLine="383"/>
        <w:spacing w:after="0" w:line="308" w:lineRule="auto"/>
        <w:rPr>
          <w:sz w:val="20"/>
          <w:szCs w:val="20"/>
          <w:color w:val="auto"/>
        </w:rPr>
      </w:pPr>
      <w:r>
        <w:rPr>
          <w:rFonts w:ascii="Arial" w:cs="Arial" w:eastAsia="Arial" w:hAnsi="Arial"/>
          <w:sz w:val="17"/>
          <w:szCs w:val="17"/>
          <w:color w:val="auto"/>
        </w:rPr>
        <w:t>If the data from these and future clinical trials demonstrate the safety and efficacy of MDX, we will seek to obtain marketing approval from the FDA for MDX for use in ADHD. We have similar plans to seek marketing approval in the European Union, Japan and other territories.</w:t>
      </w:r>
    </w:p>
    <w:p>
      <w:pPr>
        <w:spacing w:after="0" w:line="147" w:lineRule="exact"/>
        <w:rPr>
          <w:sz w:val="20"/>
          <w:szCs w:val="20"/>
          <w:color w:val="auto"/>
        </w:rPr>
      </w:pPr>
    </w:p>
    <w:p>
      <w:pPr>
        <w:ind w:right="120" w:firstLine="383"/>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8% and 10% of children worldwide are affected by this condition. Once believed to only affect children, ADHD is now known to persist into adolescence and adulthood in a large number of cases, with approximately 50% of all adults who had ADHD as children continuing to have symptoms of the disorder as adults. Over 90% of these adults experience impaired attention and executive function symptoms, of which approximately 35% also experience hyperactivity-impulsivity symptoms.</w:t>
      </w:r>
    </w:p>
    <w:p>
      <w:pPr>
        <w:spacing w:after="0" w:line="154" w:lineRule="exact"/>
        <w:rPr>
          <w:sz w:val="20"/>
          <w:szCs w:val="20"/>
          <w:color w:val="auto"/>
        </w:rPr>
      </w:pPr>
    </w:p>
    <w:p>
      <w:pPr>
        <w:ind w:right="40" w:firstLine="383"/>
        <w:spacing w:after="0" w:line="286" w:lineRule="auto"/>
        <w:rPr>
          <w:sz w:val="20"/>
          <w:szCs w:val="20"/>
          <w:color w:val="auto"/>
        </w:rPr>
      </w:pPr>
      <w:r>
        <w:rPr>
          <w:rFonts w:ascii="Arial" w:cs="Arial" w:eastAsia="Arial" w:hAnsi="Arial"/>
          <w:sz w:val="16"/>
          <w:szCs w:val="16"/>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tics and potential cardiovascular effects resulting from increased blood pressure and heart rate.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who are prescribed stimulants are still taking them 12 months later. There also is a non-stimulant drug approved for children and adults with ADHD called Strattera (atomoxetine), approved in 2002. This drug also has significant side effects, such as fatigue, gastrointestinal upset, sexual problems, palpitations, increased heart rate and high blood pressure and also has regulatory warning labels relating to suicidal thoughts and liver damage. Moreover, Strattera takes six to 10 weeks to achieve full clinical effectiveness. More recently, two additional non-stimulant medications were approved for use only in children and adolescents with ADHD (Intuniv (guanfacine) and Kapvay (clonidine)). These two drugs have not been approved for use in adults with ADHD and have not had significant commercial success. All approved ADHD drugs need to be carefully monitored by the treating physician to optimize the dose, starting with a low dose and slowly escalating to the most effective and tolerable dose.</w:t>
      </w:r>
    </w:p>
    <w:p>
      <w:pPr>
        <w:spacing w:after="0" w:line="175" w:lineRule="exact"/>
        <w:rPr>
          <w:sz w:val="20"/>
          <w:szCs w:val="20"/>
          <w:color w:val="auto"/>
        </w:rPr>
      </w:pPr>
    </w:p>
    <w:p>
      <w:pPr>
        <w:ind w:right="180" w:firstLine="383"/>
        <w:spacing w:after="0" w:line="259" w:lineRule="auto"/>
        <w:rPr>
          <w:sz w:val="20"/>
          <w:szCs w:val="20"/>
          <w:color w:val="auto"/>
        </w:rPr>
      </w:pPr>
      <w:r>
        <w:rPr>
          <w:rFonts w:ascii="Arial" w:cs="Arial" w:eastAsia="Arial" w:hAnsi="Arial"/>
          <w:sz w:val="18"/>
          <w:szCs w:val="18"/>
          <w:color w:val="auto"/>
        </w:rPr>
        <w:t>In contrast to the most common available treatments which involve the use of stimulants, MDX is not a stimulant and employs a differentiated mechanism of action that is neither dopaminergic (related to dopamine) nor noradrenergic (related to norepinephrine). Our clinical trials to date have suggested a pro-cognitive effect and favorable tolerability and safety. MDX, therefore, potentially represents an effective treatment and a safer alternative to currently marketed treatments.</w:t>
      </w:r>
    </w:p>
    <w:p>
      <w:pPr>
        <w:spacing w:after="0" w:line="187" w:lineRule="exact"/>
        <w:rPr>
          <w:sz w:val="20"/>
          <w:szCs w:val="20"/>
          <w:color w:val="auto"/>
        </w:rPr>
      </w:pPr>
    </w:p>
    <w:p>
      <w:pPr>
        <w:ind w:right="60" w:firstLine="383"/>
        <w:spacing w:after="0" w:line="255" w:lineRule="auto"/>
        <w:rPr>
          <w:sz w:val="20"/>
          <w:szCs w:val="20"/>
          <w:color w:val="auto"/>
        </w:rPr>
      </w:pPr>
      <w:r>
        <w:rPr>
          <w:rFonts w:ascii="Arial" w:cs="Arial" w:eastAsia="Arial" w:hAnsi="Arial"/>
          <w:sz w:val="18"/>
          <w:szCs w:val="18"/>
          <w:color w:val="auto"/>
        </w:rPr>
        <w:t>In addition, because of its unique mechanism of action, we believe that MDX may possibly be useful in treating additional cognitive disorders. Accordingly, we completed pre-clinical studies evaluating metadoxine in the standard mouse model of Fragile X Syndrome (Fmr1 knockout mouse), a rare neurogenetic disorder related to autism marked by severe intellectual disability. The mouse studies showed significant improvement in cognitive and social functioning following treatment with metadoxine in the Fragile X mouse model. In 2014, we initiated a Phase 2 study to evaluate the efficacy and safety of MDX for the treatment of Fragile X. We expect to complete enrollment in this study by the end of the first quarter of 2015 and we expect to announce data in the second quarter of 2015.</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881" w:right="239" w:bottom="1440" w:gutter="0" w:footer="0" w:header="0"/>
        </w:sectPr>
      </w:pPr>
    </w:p>
    <w:bookmarkStart w:id="36" w:name="page37"/>
    <w:bookmarkEnd w:id="36"/>
    <w:p>
      <w:pPr>
        <w:ind w:left="180" w:right="340" w:firstLine="383"/>
        <w:spacing w:after="0" w:line="264" w:lineRule="auto"/>
        <w:rPr>
          <w:sz w:val="20"/>
          <w:szCs w:val="20"/>
          <w:color w:val="auto"/>
        </w:rPr>
      </w:pPr>
      <w:r>
        <w:rPr>
          <w:rFonts w:ascii="Arial" w:cs="Arial" w:eastAsia="Arial" w:hAnsi="Arial"/>
          <w:sz w:val="18"/>
          <w:szCs w:val="18"/>
          <w:color w:val="auto"/>
        </w:rPr>
        <w:t>We have multiple claims in our issued and pending patent applications that, if issued, would prevent the use by others of metadoxine and MDX to treat ADHD, Fragile X Syndrome and other cognitive disorders. In addition, the FDA has granted Orphan Drug status to metadoxine for treatment of Fragile X Syndrome.</w:t>
      </w:r>
    </w:p>
    <w:p>
      <w:pPr>
        <w:spacing w:after="0" w:line="181" w:lineRule="exact"/>
        <w:rPr>
          <w:sz w:val="20"/>
          <w:szCs w:val="20"/>
          <w:color w:val="auto"/>
        </w:rPr>
      </w:pPr>
    </w:p>
    <w:p>
      <w:pPr>
        <w:ind w:left="180" w:right="120" w:firstLine="383"/>
        <w:spacing w:after="0" w:line="264" w:lineRule="auto"/>
        <w:rPr>
          <w:sz w:val="20"/>
          <w:szCs w:val="20"/>
          <w:color w:val="auto"/>
        </w:rPr>
      </w:pPr>
      <w:r>
        <w:rPr>
          <w:rFonts w:ascii="Arial" w:cs="Arial" w:eastAsia="Arial" w:hAnsi="Arial"/>
          <w:sz w:val="18"/>
          <w:szCs w:val="18"/>
          <w:color w:val="auto"/>
        </w:rPr>
        <w:t xml:space="preserve">To date, we have not generated revenue from the sale of any product, and we do not expect to generate significant revenue unless and until we obtain marketing approval of, and commercialize, MDX. As of December 31, 2014, we had an accumulated deficit of $51.6 million, as described below under Item 5 </w:t>
      </w:r>
      <w:r>
        <w:rPr>
          <w:rFonts w:ascii="Arial" w:cs="Arial" w:eastAsia="Arial" w:hAnsi="Arial"/>
          <w:sz w:val="18"/>
          <w:szCs w:val="18"/>
          <w:b w:val="1"/>
          <w:bCs w:val="1"/>
          <w:color w:val="auto"/>
        </w:rPr>
        <w:t>“</w:t>
      </w:r>
      <w:r>
        <w:rPr>
          <w:rFonts w:ascii="Arial" w:cs="Arial" w:eastAsia="Arial" w:hAnsi="Arial"/>
          <w:sz w:val="18"/>
          <w:szCs w:val="18"/>
          <w:color w:val="auto"/>
        </w:rPr>
        <w:t>Operating and Financial Review and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Plan</w:t>
      </w:r>
    </w:p>
    <w:p>
      <w:pPr>
        <w:spacing w:after="0" w:line="229" w:lineRule="exact"/>
        <w:rPr>
          <w:sz w:val="20"/>
          <w:szCs w:val="20"/>
          <w:color w:val="auto"/>
        </w:rPr>
      </w:pPr>
    </w:p>
    <w:p>
      <w:pPr>
        <w:ind w:left="180" w:right="40" w:firstLine="383"/>
        <w:spacing w:after="0" w:line="255" w:lineRule="auto"/>
        <w:rPr>
          <w:sz w:val="20"/>
          <w:szCs w:val="20"/>
          <w:color w:val="auto"/>
        </w:rPr>
      </w:pPr>
      <w:r>
        <w:rPr>
          <w:rFonts w:ascii="Arial" w:cs="Arial" w:eastAsia="Arial" w:hAnsi="Arial"/>
          <w:sz w:val="18"/>
          <w:szCs w:val="18"/>
          <w:color w:val="auto"/>
        </w:rPr>
        <w:t>Our objective is to develop and commercialize proprietary pharmaceutical products for treatment of central nervous system disorders, and cognitive dysfunctions in particular. To this effect, we intend to seek approval to conduct additional clinical trials for our most advanced product (MDX) and, if those trials are successful, seek marketing approval from the FDA and other worldwide regulatory bodies for MDX for the treatment of ADHD in adults and children. We also plan to advance clinical studies and commercialization plans for MDX in additional indications of cognitive dysfunction which present significant market opportunities, such as Fragile X Syndrome, where we announced positive results from pre-clinical studies. To achieve these objectives, we plan to:</w:t>
      </w:r>
    </w:p>
    <w:p>
      <w:pPr>
        <w:spacing w:after="0" w:line="193" w:lineRule="exact"/>
        <w:rPr>
          <w:sz w:val="20"/>
          <w:szCs w:val="20"/>
          <w:color w:val="auto"/>
        </w:rPr>
      </w:pPr>
    </w:p>
    <w:p>
      <w:pPr>
        <w:ind w:left="620" w:right="160" w:hanging="328"/>
        <w:spacing w:after="0" w:line="256"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the necessary regulatory approvals to continue the clinical development of MDX for the treatment of ADHD in adults and children, and, if successful, file for marketing approval in the United States (we expect to initiate a second Phase 3 study in adults with ADHD in the second quarter of 2015 and announce results in the first half of 2016);</w:t>
      </w:r>
    </w:p>
    <w:p>
      <w:pPr>
        <w:ind w:left="620" w:right="40" w:hanging="328"/>
        <w:spacing w:after="0" w:line="250"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and complete clinical trials in EU and Japan for both adult and pediatric ADHD, and, if successful, file for marketing approval of such uses in these regions;</w:t>
      </w:r>
    </w:p>
    <w:p>
      <w:pPr>
        <w:ind w:left="620" w:right="100" w:hanging="328"/>
        <w:spacing w:after="0" w:line="250"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prepare to commercialize MDX for the treatment of patients with ADHD by establishing independent distribution capabilities or in conjunction with large pharmaceutical companies;</w:t>
      </w:r>
    </w:p>
    <w:p>
      <w:pPr>
        <w:jc w:val="both"/>
        <w:ind w:left="620" w:right="20" w:hanging="328"/>
        <w:spacing w:after="0" w:line="250"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 the required clinical trials, that, if successful, would allow us to request drug approval of MDX to treat children and adults with Fragile X in the United States (we expect to announce results from the Phase 2 trial during the second quarter of 2015 and possibly meet with the FDA in the third quarter of 2015); and</w:t>
      </w:r>
    </w:p>
    <w:p>
      <w:pPr>
        <w:spacing w:after="0" w:line="1" w:lineRule="exact"/>
        <w:rPr>
          <w:rFonts w:ascii="Arial" w:cs="Arial" w:eastAsia="Arial" w:hAnsi="Arial"/>
          <w:sz w:val="18"/>
          <w:szCs w:val="18"/>
          <w:color w:val="auto"/>
        </w:rPr>
      </w:pPr>
    </w:p>
    <w:p>
      <w:pPr>
        <w:ind w:left="620" w:hanging="32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 early stage clinical trials into the possible use of MDX to treat other cognitive disorders and impairments.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ADHD</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ADHD Market</w:t>
      </w:r>
    </w:p>
    <w:p>
      <w:pPr>
        <w:spacing w:after="0" w:line="225" w:lineRule="exact"/>
        <w:rPr>
          <w:sz w:val="20"/>
          <w:szCs w:val="20"/>
          <w:color w:val="auto"/>
        </w:rPr>
      </w:pPr>
    </w:p>
    <w:p>
      <w:pPr>
        <w:ind w:firstLine="383"/>
        <w:spacing w:after="0" w:line="287" w:lineRule="auto"/>
        <w:rPr>
          <w:sz w:val="20"/>
          <w:szCs w:val="20"/>
          <w:color w:val="auto"/>
        </w:rPr>
      </w:pPr>
      <w:r>
        <w:rPr>
          <w:rFonts w:ascii="Arial" w:cs="Arial" w:eastAsia="Arial" w:hAnsi="Arial"/>
          <w:sz w:val="16"/>
          <w:szCs w:val="16"/>
          <w:color w:val="auto"/>
        </w:rPr>
        <w:t>The United States market size for ADHD treatment is estimated to be over $8 billion annually, which accounted for approximately 90% of the global ADHD market. The difference in market sizes between the U.S. and other countries is driven by different rates of diagnosis and treatment, different pricing, and the number of available brand name medications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rate of treatment with prescription medications is approximately 70% in children and 45% in adults. In 2014, over 63 million prescriptions were filled in the United States for approved ADHD medications versus less than 44 million in 2009. This represents a 7.7% 5 year compounded annual growth rate (CAGR). The U.S. market is projected to continue to grow in mid-single digits, driven by an increased prescription rate for adult ADHD, which has grown at approximately 10% annually over the last few years. The international ADHD market is projected to grow at a faster rate than the U.S. market in part because higher disease recognition and acceptance is expected in Japan and Europe. The estimated growth for the non-U.S. markets is also higher due to the expected launches for major ADHD drugs that have already been marketed in the United States, such as Vyvanse and Intuniv. Despite upcoming patent expiration dates and the entry of several generic compounds, the market size is expected to grow further as new drugs enter the market and compensate for the generic erosion.</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ind w:left="400"/>
        <w:spacing w:after="0"/>
        <w:rPr>
          <w:sz w:val="20"/>
          <w:szCs w:val="20"/>
          <w:color w:val="auto"/>
        </w:rPr>
      </w:pPr>
      <w:r>
        <w:rPr>
          <w:rFonts w:ascii="Arial" w:cs="Arial" w:eastAsia="Arial" w:hAnsi="Arial"/>
          <w:sz w:val="18"/>
          <w:szCs w:val="18"/>
          <w:b w:val="1"/>
          <w:bCs w:val="1"/>
          <w:i w:val="1"/>
          <w:iCs w:val="1"/>
          <w:color w:val="auto"/>
        </w:rPr>
        <w:t>Development of ADHD Symptoms</w:t>
      </w:r>
    </w:p>
    <w:p>
      <w:pPr>
        <w:spacing w:after="0" w:line="23" w:lineRule="exact"/>
        <w:rPr>
          <w:sz w:val="20"/>
          <w:szCs w:val="20"/>
          <w:color w:val="auto"/>
        </w:rPr>
      </w:pPr>
    </w:p>
    <w:p>
      <w:pPr>
        <w:ind w:right="280" w:firstLine="450"/>
        <w:spacing w:after="0" w:line="261" w:lineRule="auto"/>
        <w:rPr>
          <w:sz w:val="20"/>
          <w:szCs w:val="20"/>
          <w:color w:val="auto"/>
        </w:rPr>
      </w:pPr>
      <w:r>
        <w:rPr>
          <w:rFonts w:ascii="Arial" w:cs="Arial" w:eastAsia="Arial" w:hAnsi="Arial"/>
          <w:sz w:val="18"/>
          <w:szCs w:val="18"/>
          <w:color w:val="auto"/>
        </w:rPr>
        <w:t>Once perceived to only affect children, ADHD is now known to persist into adolescence and adulthood in a sizeable number of cases. The following table illustrates how the nature of ADHD symptoms changes with age: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Children</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Adolescents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2"/>
              </w:rPr>
              <w:t>Adults</w:t>
            </w:r>
          </w:p>
        </w:tc>
      </w:tr>
      <w:tr>
        <w:trPr>
          <w:trHeight w:val="191"/>
        </w:trPr>
        <w:tc>
          <w:tcPr>
            <w:tcW w:w="3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Hyperactive</w:t>
            </w:r>
          </w:p>
        </w:tc>
        <w:tc>
          <w:tcPr>
            <w:tcW w:w="1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Easily distracted</w:t>
            </w:r>
          </w:p>
        </w:tc>
        <w:tc>
          <w:tcPr>
            <w:tcW w:w="1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Shifts activities</w:t>
            </w:r>
          </w:p>
        </w:tc>
      </w:tr>
      <w:tr>
        <w:trPr>
          <w:trHeight w:val="216"/>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Aggressive</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Inattentive</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Easily bored</w:t>
            </w:r>
          </w:p>
        </w:tc>
      </w:tr>
      <w:tr>
        <w:trPr>
          <w:trHeight w:val="216"/>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Low frustration tolerance</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4"/>
              </w:rPr>
              <w:t>Impatient</w:t>
            </w:r>
          </w:p>
        </w:tc>
      </w:tr>
      <w:tr>
        <w:trPr>
          <w:trHeight w:val="234"/>
        </w:trPr>
        <w:tc>
          <w:tcPr>
            <w:tcW w:w="4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Impulsive</w:t>
            </w: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0"/>
              </w:rPr>
              <w:t>Restless</w:t>
            </w:r>
          </w:p>
        </w:tc>
      </w:tr>
    </w:tbl>
    <w:p>
      <w:pPr>
        <w:spacing w:after="0" w:line="202" w:lineRule="exact"/>
        <w:rPr>
          <w:sz w:val="20"/>
          <w:szCs w:val="20"/>
          <w:color w:val="auto"/>
        </w:rPr>
      </w:pPr>
    </w:p>
    <w:p>
      <w:pPr>
        <w:ind w:right="220" w:firstLine="383"/>
        <w:spacing w:after="0" w:line="259" w:lineRule="auto"/>
        <w:rPr>
          <w:sz w:val="20"/>
          <w:szCs w:val="20"/>
          <w:color w:val="auto"/>
        </w:rPr>
      </w:pPr>
      <w:r>
        <w:rPr>
          <w:rFonts w:ascii="Arial" w:cs="Arial" w:eastAsia="Arial" w:hAnsi="Arial"/>
          <w:sz w:val="18"/>
          <w:szCs w:val="18"/>
          <w:color w:val="auto"/>
        </w:rPr>
        <w:t>Approximately 50% of adults who suffered from ADHD as children continue to have symptoms of the disorder as adults, with over 90% experiencing attention deficit symptoms and about 35% of them experiencing hyperactivity-impulsivity symptoms. As the majority of sufferers of ADHD age, their symptoms tend toward impatience, restlessness, boredom and low concentration levels from the more aggressive hyperactivity and impulsive behavior evident in children.</w:t>
      </w:r>
    </w:p>
    <w:p>
      <w:pPr>
        <w:spacing w:after="0" w:line="187" w:lineRule="exact"/>
        <w:rPr>
          <w:sz w:val="20"/>
          <w:szCs w:val="20"/>
          <w:color w:val="auto"/>
        </w:rPr>
      </w:pPr>
    </w:p>
    <w:p>
      <w:pPr>
        <w:jc w:val="both"/>
        <w:ind w:right="460" w:firstLine="383"/>
        <w:spacing w:after="0" w:line="264" w:lineRule="auto"/>
        <w:rPr>
          <w:sz w:val="20"/>
          <w:szCs w:val="20"/>
          <w:color w:val="auto"/>
        </w:rPr>
      </w:pPr>
      <w:r>
        <w:rPr>
          <w:rFonts w:ascii="Arial" w:cs="Arial" w:eastAsia="Arial" w:hAnsi="Arial"/>
          <w:sz w:val="18"/>
          <w:szCs w:val="18"/>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Impact of Untreated and Undertreated ADHD</w:t>
      </w:r>
    </w:p>
    <w:p>
      <w:pPr>
        <w:spacing w:after="0" w:line="225" w:lineRule="exact"/>
        <w:rPr>
          <w:sz w:val="20"/>
          <w:szCs w:val="20"/>
          <w:color w:val="auto"/>
        </w:rPr>
      </w:pPr>
    </w:p>
    <w:p>
      <w:pPr>
        <w:jc w:val="both"/>
        <w:ind w:right="40" w:firstLine="383"/>
        <w:spacing w:after="0" w:line="264" w:lineRule="auto"/>
        <w:rPr>
          <w:sz w:val="20"/>
          <w:szCs w:val="20"/>
          <w:color w:val="auto"/>
        </w:rPr>
      </w:pPr>
      <w:r>
        <w:rPr>
          <w:rFonts w:ascii="Arial" w:cs="Arial" w:eastAsia="Arial" w:hAnsi="Arial"/>
          <w:sz w:val="18"/>
          <w:szCs w:val="18"/>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illustrates the effects on society when ADHD remains untreated:</w:t>
      </w:r>
    </w:p>
    <w:p>
      <w:pPr>
        <w:spacing w:after="0" w:line="221" w:lineRule="exact"/>
        <w:rPr>
          <w:sz w:val="20"/>
          <w:szCs w:val="20"/>
          <w:color w:val="auto"/>
        </w:rPr>
      </w:pPr>
    </w:p>
    <w:tbl>
      <w:tblPr>
        <w:tblLayout w:type="fixed"/>
        <w:tblInd w:w="880" w:type="dxa"/>
        <w:tblCellMar>
          <w:top w:w="0" w:type="dxa"/>
          <w:left w:w="0" w:type="dxa"/>
          <w:bottom w:w="0" w:type="dxa"/>
          <w:right w:w="0" w:type="dxa"/>
        </w:tblCellMar>
      </w:tblPr>
      <w:tr>
        <w:trPr>
          <w:trHeight w:val="220"/>
        </w:trPr>
        <w:tc>
          <w:tcPr>
            <w:tcW w:w="2860" w:type="dxa"/>
            <w:vAlign w:val="bottom"/>
          </w:tcPr>
          <w:p>
            <w:pPr>
              <w:jc w:val="center"/>
              <w:ind w:right="850"/>
              <w:spacing w:after="0"/>
              <w:rPr>
                <w:sz w:val="20"/>
                <w:szCs w:val="20"/>
                <w:color w:val="auto"/>
              </w:rPr>
            </w:pPr>
            <w:r>
              <w:rPr>
                <w:rFonts w:ascii="Arial" w:cs="Arial" w:eastAsia="Arial" w:hAnsi="Arial"/>
                <w:sz w:val="18"/>
                <w:szCs w:val="18"/>
                <w:b w:val="1"/>
                <w:bCs w:val="1"/>
                <w:color w:val="auto"/>
                <w:w w:val="89"/>
              </w:rPr>
              <w:t>Healthcare System</w:t>
            </w:r>
          </w:p>
        </w:tc>
        <w:tc>
          <w:tcPr>
            <w:tcW w:w="38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Patient</w:t>
            </w:r>
          </w:p>
        </w:tc>
        <w:tc>
          <w:tcPr>
            <w:tcW w:w="3620" w:type="dxa"/>
            <w:vAlign w:val="bottom"/>
          </w:tcPr>
          <w:p>
            <w:pPr>
              <w:jc w:val="center"/>
              <w:ind w:left="510"/>
              <w:spacing w:after="0"/>
              <w:rPr>
                <w:sz w:val="20"/>
                <w:szCs w:val="20"/>
                <w:color w:val="auto"/>
              </w:rPr>
            </w:pPr>
            <w:r>
              <w:rPr>
                <w:rFonts w:ascii="Arial" w:cs="Arial" w:eastAsia="Arial" w:hAnsi="Arial"/>
                <w:sz w:val="18"/>
                <w:szCs w:val="18"/>
                <w:b w:val="1"/>
                <w:bCs w:val="1"/>
                <w:color w:val="auto"/>
                <w:w w:val="94"/>
              </w:rPr>
              <w:t>Family</w:t>
            </w:r>
          </w:p>
        </w:tc>
      </w:tr>
      <w:tr>
        <w:trPr>
          <w:trHeight w:val="216"/>
        </w:trPr>
        <w:tc>
          <w:tcPr>
            <w:tcW w:w="2860" w:type="dxa"/>
            <w:vAlign w:val="bottom"/>
          </w:tcPr>
          <w:p>
            <w:pPr>
              <w:jc w:val="center"/>
              <w:ind w:right="850"/>
              <w:spacing w:after="0"/>
              <w:rPr>
                <w:sz w:val="20"/>
                <w:szCs w:val="20"/>
                <w:color w:val="auto"/>
              </w:rPr>
            </w:pPr>
            <w:r>
              <w:rPr>
                <w:rFonts w:ascii="Arial" w:cs="Arial" w:eastAsia="Arial" w:hAnsi="Arial"/>
                <w:sz w:val="18"/>
                <w:szCs w:val="18"/>
                <w:color w:val="auto"/>
                <w:w w:val="90"/>
              </w:rPr>
              <w:t>ñ 50% in bicycle accidents</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96"/>
              </w:rPr>
              <w:t>ñ criminal activity</w:t>
            </w:r>
          </w:p>
        </w:tc>
        <w:tc>
          <w:tcPr>
            <w:tcW w:w="3620" w:type="dxa"/>
            <w:vAlign w:val="bottom"/>
          </w:tcPr>
          <w:p>
            <w:pPr>
              <w:jc w:val="center"/>
              <w:ind w:left="530"/>
              <w:spacing w:after="0"/>
              <w:rPr>
                <w:sz w:val="20"/>
                <w:szCs w:val="20"/>
                <w:color w:val="auto"/>
              </w:rPr>
            </w:pPr>
            <w:r>
              <w:rPr>
                <w:rFonts w:ascii="Arial" w:cs="Arial" w:eastAsia="Arial" w:hAnsi="Arial"/>
                <w:sz w:val="18"/>
                <w:szCs w:val="18"/>
                <w:color w:val="auto"/>
                <w:w w:val="90"/>
              </w:rPr>
              <w:t>3-5x more divorce/separation</w:t>
            </w:r>
          </w:p>
        </w:tc>
      </w:tr>
      <w:tr>
        <w:trPr>
          <w:trHeight w:val="216"/>
        </w:trPr>
        <w:tc>
          <w:tcPr>
            <w:tcW w:w="2860" w:type="dxa"/>
            <w:vAlign w:val="bottom"/>
          </w:tcPr>
          <w:p>
            <w:pPr>
              <w:jc w:val="center"/>
              <w:ind w:right="850"/>
              <w:spacing w:after="0"/>
              <w:rPr>
                <w:sz w:val="20"/>
                <w:szCs w:val="20"/>
                <w:color w:val="auto"/>
              </w:rPr>
            </w:pPr>
            <w:r>
              <w:rPr>
                <w:rFonts w:ascii="Arial" w:cs="Arial" w:eastAsia="Arial" w:hAnsi="Arial"/>
                <w:sz w:val="18"/>
                <w:szCs w:val="18"/>
                <w:color w:val="auto"/>
                <w:w w:val="93"/>
              </w:rPr>
              <w:t>ñ 33% in ER visits</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89"/>
              </w:rPr>
              <w:t>ñ incarceration</w:t>
            </w:r>
          </w:p>
        </w:tc>
        <w:tc>
          <w:tcPr>
            <w:tcW w:w="3620" w:type="dxa"/>
            <w:vAlign w:val="bottom"/>
          </w:tcPr>
          <w:p>
            <w:pPr>
              <w:jc w:val="center"/>
              <w:ind w:left="530"/>
              <w:spacing w:after="0"/>
              <w:rPr>
                <w:sz w:val="20"/>
                <w:szCs w:val="20"/>
                <w:color w:val="auto"/>
              </w:rPr>
            </w:pPr>
            <w:r>
              <w:rPr>
                <w:rFonts w:ascii="Arial" w:cs="Arial" w:eastAsia="Arial" w:hAnsi="Arial"/>
                <w:sz w:val="18"/>
                <w:szCs w:val="18"/>
                <w:color w:val="auto"/>
                <w:w w:val="92"/>
              </w:rPr>
              <w:t>2-4x more sibling fights</w:t>
            </w:r>
          </w:p>
        </w:tc>
      </w:tr>
      <w:tr>
        <w:trPr>
          <w:trHeight w:val="230"/>
        </w:trPr>
        <w:tc>
          <w:tcPr>
            <w:tcW w:w="2860" w:type="dxa"/>
            <w:vAlign w:val="bottom"/>
          </w:tcPr>
          <w:p>
            <w:pPr>
              <w:jc w:val="center"/>
              <w:ind w:right="850"/>
              <w:spacing w:after="0"/>
              <w:rPr>
                <w:sz w:val="20"/>
                <w:szCs w:val="20"/>
                <w:color w:val="auto"/>
              </w:rPr>
            </w:pPr>
            <w:r>
              <w:rPr>
                <w:rFonts w:ascii="Arial" w:cs="Arial" w:eastAsia="Arial" w:hAnsi="Arial"/>
                <w:sz w:val="18"/>
                <w:szCs w:val="18"/>
                <w:color w:val="auto"/>
                <w:w w:val="89"/>
              </w:rPr>
              <w:t>2-4x more car accidents</w:t>
            </w:r>
          </w:p>
        </w:tc>
        <w:tc>
          <w:tcPr>
            <w:tcW w:w="380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85"/>
        </w:trPr>
        <w:tc>
          <w:tcPr>
            <w:tcW w:w="2860" w:type="dxa"/>
            <w:vAlign w:val="bottom"/>
          </w:tcPr>
          <w:p>
            <w:pPr>
              <w:jc w:val="center"/>
              <w:ind w:right="870"/>
              <w:spacing w:after="0"/>
              <w:rPr>
                <w:sz w:val="20"/>
                <w:szCs w:val="20"/>
                <w:color w:val="auto"/>
              </w:rPr>
            </w:pPr>
            <w:r>
              <w:rPr>
                <w:rFonts w:ascii="Arial" w:cs="Arial" w:eastAsia="Arial" w:hAnsi="Arial"/>
                <w:sz w:val="18"/>
                <w:szCs w:val="18"/>
                <w:b w:val="1"/>
                <w:bCs w:val="1"/>
                <w:color w:val="auto"/>
                <w:w w:val="88"/>
              </w:rPr>
              <w:t>School and Occupation</w:t>
            </w:r>
          </w:p>
        </w:tc>
        <w:tc>
          <w:tcPr>
            <w:tcW w:w="3800" w:type="dxa"/>
            <w:vAlign w:val="bottom"/>
          </w:tcPr>
          <w:p>
            <w:pPr>
              <w:jc w:val="center"/>
              <w:ind w:left="210"/>
              <w:spacing w:after="0"/>
              <w:rPr>
                <w:sz w:val="20"/>
                <w:szCs w:val="20"/>
                <w:color w:val="auto"/>
              </w:rPr>
            </w:pPr>
            <w:r>
              <w:rPr>
                <w:rFonts w:ascii="Arial" w:cs="Arial" w:eastAsia="Arial" w:hAnsi="Arial"/>
                <w:sz w:val="18"/>
                <w:szCs w:val="18"/>
                <w:b w:val="1"/>
                <w:bCs w:val="1"/>
                <w:color w:val="auto"/>
                <w:w w:val="84"/>
              </w:rPr>
              <w:t>Society</w:t>
            </w:r>
          </w:p>
        </w:tc>
        <w:tc>
          <w:tcPr>
            <w:tcW w:w="3620" w:type="dxa"/>
            <w:vAlign w:val="bottom"/>
          </w:tcPr>
          <w:p>
            <w:pPr>
              <w:jc w:val="center"/>
              <w:ind w:left="530"/>
              <w:spacing w:after="0"/>
              <w:rPr>
                <w:sz w:val="20"/>
                <w:szCs w:val="20"/>
                <w:color w:val="auto"/>
              </w:rPr>
            </w:pPr>
            <w:r>
              <w:rPr>
                <w:rFonts w:ascii="Arial" w:cs="Arial" w:eastAsia="Arial" w:hAnsi="Arial"/>
                <w:sz w:val="18"/>
                <w:szCs w:val="18"/>
                <w:b w:val="1"/>
                <w:bCs w:val="1"/>
                <w:color w:val="auto"/>
                <w:w w:val="92"/>
              </w:rPr>
              <w:t>Employer</w:t>
            </w:r>
          </w:p>
        </w:tc>
      </w:tr>
      <w:tr>
        <w:trPr>
          <w:trHeight w:val="216"/>
        </w:trPr>
        <w:tc>
          <w:tcPr>
            <w:tcW w:w="2860" w:type="dxa"/>
            <w:vAlign w:val="bottom"/>
          </w:tcPr>
          <w:p>
            <w:pPr>
              <w:jc w:val="center"/>
              <w:ind w:right="850"/>
              <w:spacing w:after="0"/>
              <w:rPr>
                <w:sz w:val="20"/>
                <w:szCs w:val="20"/>
                <w:color w:val="auto"/>
              </w:rPr>
            </w:pPr>
            <w:r>
              <w:rPr>
                <w:rFonts w:ascii="Arial" w:cs="Arial" w:eastAsia="Arial" w:hAnsi="Arial"/>
                <w:sz w:val="18"/>
                <w:szCs w:val="18"/>
                <w:color w:val="auto"/>
                <w:w w:val="92"/>
              </w:rPr>
              <w:t>46% expelled</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87"/>
              </w:rPr>
              <w:t>Substance use disorders:</w:t>
            </w:r>
          </w:p>
        </w:tc>
        <w:tc>
          <w:tcPr>
            <w:tcW w:w="3620" w:type="dxa"/>
            <w:vAlign w:val="bottom"/>
          </w:tcPr>
          <w:p>
            <w:pPr>
              <w:jc w:val="center"/>
              <w:ind w:left="530"/>
              <w:spacing w:after="0"/>
              <w:rPr>
                <w:sz w:val="20"/>
                <w:szCs w:val="20"/>
                <w:color w:val="auto"/>
              </w:rPr>
            </w:pPr>
            <w:r>
              <w:rPr>
                <w:rFonts w:ascii="Arial" w:cs="Arial" w:eastAsia="Arial" w:hAnsi="Arial"/>
                <w:sz w:val="18"/>
                <w:szCs w:val="18"/>
                <w:color w:val="auto"/>
                <w:w w:val="88"/>
              </w:rPr>
              <w:t>Increased parental absenteeism and lower</w:t>
            </w:r>
          </w:p>
        </w:tc>
      </w:tr>
      <w:tr>
        <w:trPr>
          <w:trHeight w:val="216"/>
        </w:trPr>
        <w:tc>
          <w:tcPr>
            <w:tcW w:w="2860" w:type="dxa"/>
            <w:vAlign w:val="bottom"/>
          </w:tcPr>
          <w:p>
            <w:pPr>
              <w:jc w:val="center"/>
              <w:ind w:right="870"/>
              <w:spacing w:after="0"/>
              <w:rPr>
                <w:sz w:val="20"/>
                <w:szCs w:val="20"/>
                <w:color w:val="auto"/>
              </w:rPr>
            </w:pPr>
            <w:r>
              <w:rPr>
                <w:rFonts w:ascii="Arial" w:cs="Arial" w:eastAsia="Arial" w:hAnsi="Arial"/>
                <w:sz w:val="18"/>
                <w:szCs w:val="18"/>
                <w:color w:val="auto"/>
                <w:w w:val="91"/>
              </w:rPr>
              <w:t>35% drop out</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91"/>
              </w:rPr>
              <w:t>2x risk and earlier onset</w:t>
            </w:r>
          </w:p>
        </w:tc>
        <w:tc>
          <w:tcPr>
            <w:tcW w:w="3620" w:type="dxa"/>
            <w:vAlign w:val="bottom"/>
          </w:tcPr>
          <w:p>
            <w:pPr>
              <w:jc w:val="center"/>
              <w:ind w:left="530"/>
              <w:spacing w:after="0"/>
              <w:rPr>
                <w:sz w:val="20"/>
                <w:szCs w:val="20"/>
                <w:color w:val="auto"/>
              </w:rPr>
            </w:pPr>
            <w:r>
              <w:rPr>
                <w:rFonts w:ascii="Arial" w:cs="Arial" w:eastAsia="Arial" w:hAnsi="Arial"/>
                <w:sz w:val="18"/>
                <w:szCs w:val="18"/>
                <w:color w:val="auto"/>
                <w:w w:val="96"/>
              </w:rPr>
              <w:t>productivity</w:t>
            </w:r>
          </w:p>
        </w:tc>
      </w:tr>
      <w:tr>
        <w:trPr>
          <w:trHeight w:val="230"/>
        </w:trPr>
        <w:tc>
          <w:tcPr>
            <w:tcW w:w="2860" w:type="dxa"/>
            <w:vAlign w:val="bottom"/>
          </w:tcPr>
          <w:p>
            <w:pPr>
              <w:jc w:val="center"/>
              <w:ind w:right="850"/>
              <w:spacing w:after="0"/>
              <w:rPr>
                <w:sz w:val="20"/>
                <w:szCs w:val="20"/>
                <w:color w:val="auto"/>
              </w:rPr>
            </w:pPr>
            <w:r>
              <w:rPr>
                <w:rFonts w:ascii="Arial" w:cs="Arial" w:eastAsia="Arial" w:hAnsi="Arial"/>
                <w:sz w:val="18"/>
                <w:szCs w:val="18"/>
                <w:color w:val="auto"/>
                <w:w w:val="90"/>
              </w:rPr>
              <w:t>Lower occupational status</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94"/>
              </w:rPr>
              <w:t>Less likely to quit in adulthood</w:t>
            </w:r>
          </w:p>
        </w:tc>
        <w:tc>
          <w:tcPr>
            <w:tcW w:w="3620" w:type="dxa"/>
            <w:vAlign w:val="bottom"/>
          </w:tcPr>
          <w:p>
            <w:pPr>
              <w:spacing w:after="0"/>
              <w:rPr>
                <w:sz w:val="20"/>
                <w:szCs w:val="20"/>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Diagnosis of ADHD</w:t>
      </w:r>
    </w:p>
    <w:p>
      <w:pPr>
        <w:spacing w:after="0" w:line="225" w:lineRule="exact"/>
        <w:rPr>
          <w:sz w:val="20"/>
          <w:szCs w:val="20"/>
          <w:color w:val="auto"/>
        </w:rPr>
      </w:pPr>
    </w:p>
    <w:p>
      <w:pPr>
        <w:ind w:right="160" w:firstLine="383"/>
        <w:spacing w:after="0" w:line="264" w:lineRule="auto"/>
        <w:rPr>
          <w:sz w:val="20"/>
          <w:szCs w:val="20"/>
          <w:color w:val="auto"/>
        </w:rPr>
      </w:pPr>
      <w:r>
        <w:rPr>
          <w:rFonts w:ascii="Arial" w:cs="Arial" w:eastAsia="Arial" w:hAnsi="Arial"/>
          <w:sz w:val="18"/>
          <w:szCs w:val="18"/>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or DSM-V, diagnostic criteria are most widely used to diagnose ADHD.</w:t>
      </w:r>
    </w:p>
    <w:p>
      <w:pPr>
        <w:spacing w:after="0" w:line="181" w:lineRule="exact"/>
        <w:rPr>
          <w:sz w:val="20"/>
          <w:szCs w:val="20"/>
          <w:color w:val="auto"/>
        </w:rPr>
      </w:pPr>
    </w:p>
    <w:p>
      <w:pPr>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DSM-V criteria</w:t>
      </w:r>
      <w:r>
        <w:rPr>
          <w:rFonts w:ascii="Arial" w:cs="Arial" w:eastAsia="Arial" w:hAnsi="Arial"/>
          <w:sz w:val="18"/>
          <w:szCs w:val="18"/>
          <w:color w:val="auto"/>
        </w:rPr>
        <w:t>. The American Psychiatric Association provides a set of standardized criteria for classifying mental disorders known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and Statistical Manual of Mental Disorders, or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186" w:lineRule="exact"/>
        <w:rPr>
          <w:rFonts w:ascii="Arial" w:cs="Arial" w:eastAsia="Arial" w:hAnsi="Arial"/>
          <w:sz w:val="18"/>
          <w:szCs w:val="18"/>
          <w:color w:val="auto"/>
        </w:rPr>
      </w:pPr>
    </w:p>
    <w:p>
      <w:pPr>
        <w:ind w:left="1960" w:hanging="331"/>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Inattention – the patient makes careless mistakes in activities and is easily distracted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Hyperactivity – the patients fidgets, squirms, talks excessively or displays restless behavior</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left="1960" w:hanging="331"/>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Impulsiveness – the patient interrupts others and cannot wait for a turn</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must be clear evidence of significant impairment in social, school, or work functioning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Signs of impairment present before twelve years of age and present in two or more settings (school/work and home)</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Signs are not better accounted for by another mental disorder</w:t>
      </w:r>
    </w:p>
    <w:p>
      <w:pPr>
        <w:spacing w:after="0" w:line="225" w:lineRule="exact"/>
        <w:rPr>
          <w:sz w:val="20"/>
          <w:szCs w:val="20"/>
          <w:color w:val="auto"/>
        </w:rPr>
      </w:pPr>
    </w:p>
    <w:p>
      <w:pPr>
        <w:ind w:right="40" w:firstLine="383"/>
        <w:spacing w:after="0" w:line="264" w:lineRule="auto"/>
        <w:rPr>
          <w:sz w:val="20"/>
          <w:szCs w:val="20"/>
          <w:color w:val="auto"/>
        </w:rPr>
      </w:pPr>
      <w:r>
        <w:rPr>
          <w:rFonts w:ascii="Arial" w:cs="Arial" w:eastAsia="Arial" w:hAnsi="Arial"/>
          <w:sz w:val="18"/>
          <w:szCs w:val="18"/>
          <w:color w:val="auto"/>
        </w:rPr>
        <w:t>The DSM-V criteria are becoming more prevalent as the diagnostic measure for ADHD in Europe and Japan. If the DSM-V criteria are used, rather than an alternative measure in declining use, a diagnosis of ADHD is three to four times more likely. Consequently, the size of the market in Europe and Japan is set to grow with improved diagnosis rates driven by adoption of the DSM-V criteria.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Products – ADHD</w:t>
      </w:r>
    </w:p>
    <w:p>
      <w:pPr>
        <w:spacing w:after="0" w:line="229" w:lineRule="exact"/>
        <w:rPr>
          <w:sz w:val="20"/>
          <w:szCs w:val="20"/>
          <w:color w:val="auto"/>
        </w:rPr>
      </w:pPr>
    </w:p>
    <w:p>
      <w:pPr>
        <w:ind w:right="20" w:firstLine="383"/>
        <w:spacing w:after="0" w:line="264" w:lineRule="auto"/>
        <w:rPr>
          <w:sz w:val="20"/>
          <w:szCs w:val="20"/>
          <w:color w:val="auto"/>
        </w:rPr>
      </w:pPr>
      <w:r>
        <w:rPr>
          <w:rFonts w:ascii="Arial" w:cs="Arial" w:eastAsia="Arial" w:hAnsi="Arial"/>
          <w:sz w:val="18"/>
          <w:szCs w:val="18"/>
          <w:color w:val="auto"/>
        </w:rPr>
        <w:t>The four drugs to treat ADHD that to our knowledge had the most sales in 2013 on a worldwide basis are shown in the following table, together with the drug brand name, owner, reported 2012 sales and historic or expected peak sales. Out of the drugs listed below, Vyvanse, Concerta and Adderall XR are stimulants and Strattera is a non-stimulant drug.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Brand</w:t>
            </w:r>
          </w:p>
        </w:tc>
        <w:tc>
          <w:tcPr>
            <w:tcW w:w="2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Global Sales in 2013</w:t>
            </w:r>
          </w:p>
        </w:tc>
        <w:tc>
          <w:tcPr>
            <w:tcW w:w="258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Peak Global Sales (9)</w:t>
            </w:r>
          </w:p>
        </w:tc>
      </w:tr>
      <w:tr>
        <w:trPr>
          <w:trHeight w:val="234"/>
        </w:trPr>
        <w:tc>
          <w:tcPr>
            <w:tcW w:w="190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(launch)</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0"/>
              </w:rPr>
              <w:t>Generic Name</w:t>
            </w: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Owner</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1"/>
              </w:rPr>
              <w:t>U.S. Dollars in Millions</w:t>
            </w:r>
          </w:p>
        </w:tc>
        <w:tc>
          <w:tcPr>
            <w:tcW w:w="25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U.S. Dollars in Millions</w:t>
            </w:r>
          </w:p>
        </w:tc>
      </w:tr>
      <w:tr>
        <w:trPr>
          <w:trHeight w:val="202"/>
        </w:trPr>
        <w:tc>
          <w:tcPr>
            <w:tcW w:w="190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86"/>
              </w:rPr>
              <w:t>Vyvanse</w:t>
            </w:r>
          </w:p>
        </w:tc>
        <w:tc>
          <w:tcPr>
            <w:tcW w:w="2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Lisdexamfetamine</w:t>
            </w:r>
          </w:p>
        </w:tc>
        <w:tc>
          <w:tcPr>
            <w:tcW w:w="1440" w:type="dxa"/>
            <w:vAlign w:val="bottom"/>
            <w:shd w:val="clear" w:color="auto" w:fill="CCEEFF"/>
          </w:tcPr>
          <w:p>
            <w:pPr>
              <w:jc w:val="center"/>
              <w:ind w:right="90"/>
              <w:spacing w:after="0" w:line="201" w:lineRule="exact"/>
              <w:rPr>
                <w:sz w:val="20"/>
                <w:szCs w:val="20"/>
                <w:color w:val="auto"/>
              </w:rPr>
            </w:pPr>
            <w:r>
              <w:rPr>
                <w:rFonts w:ascii="Arial" w:cs="Arial" w:eastAsia="Arial" w:hAnsi="Arial"/>
                <w:sz w:val="18"/>
                <w:szCs w:val="18"/>
                <w:color w:val="auto"/>
                <w:w w:val="90"/>
              </w:rPr>
              <w:t>Shire</w:t>
            </w:r>
          </w:p>
        </w:tc>
        <w:tc>
          <w:tcPr>
            <w:tcW w:w="280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8"/>
              </w:rPr>
              <w:t>1,228</w:t>
            </w:r>
          </w:p>
        </w:tc>
        <w:tc>
          <w:tcPr>
            <w:tcW w:w="2580" w:type="dxa"/>
            <w:vAlign w:val="bottom"/>
            <w:shd w:val="clear" w:color="auto" w:fill="CCEEFF"/>
          </w:tcPr>
          <w:p>
            <w:pPr>
              <w:jc w:val="center"/>
              <w:ind w:left="90"/>
              <w:spacing w:after="0" w:line="201" w:lineRule="exact"/>
              <w:rPr>
                <w:sz w:val="20"/>
                <w:szCs w:val="20"/>
                <w:color w:val="auto"/>
              </w:rPr>
            </w:pPr>
            <w:r>
              <w:rPr>
                <w:rFonts w:ascii="Arial" w:cs="Arial" w:eastAsia="Arial" w:hAnsi="Arial"/>
                <w:sz w:val="18"/>
                <w:szCs w:val="18"/>
                <w:color w:val="auto"/>
                <w:w w:val="89"/>
              </w:rPr>
              <w:t>&gt; 2,000 (est. 2016)</w:t>
            </w:r>
          </w:p>
        </w:tc>
      </w:tr>
      <w:tr>
        <w:trPr>
          <w:trHeight w:val="230"/>
        </w:trPr>
        <w:tc>
          <w:tcPr>
            <w:tcW w:w="19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2"/>
              </w:rPr>
              <w:t>(2007)</w:t>
            </w:r>
          </w:p>
        </w:tc>
        <w:tc>
          <w:tcPr>
            <w:tcW w:w="27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02"/>
        </w:trPr>
        <w:tc>
          <w:tcPr>
            <w:tcW w:w="1900" w:type="dxa"/>
            <w:vAlign w:val="bottom"/>
          </w:tcPr>
          <w:p>
            <w:pPr>
              <w:jc w:val="center"/>
              <w:ind w:left="50"/>
              <w:spacing w:after="0" w:line="201" w:lineRule="exact"/>
              <w:rPr>
                <w:sz w:val="20"/>
                <w:szCs w:val="20"/>
                <w:color w:val="auto"/>
              </w:rPr>
            </w:pPr>
            <w:r>
              <w:rPr>
                <w:rFonts w:ascii="Arial" w:cs="Arial" w:eastAsia="Arial" w:hAnsi="Arial"/>
                <w:sz w:val="18"/>
                <w:szCs w:val="18"/>
                <w:color w:val="auto"/>
                <w:w w:val="87"/>
              </w:rPr>
              <w:t>Concerta</w:t>
            </w:r>
          </w:p>
        </w:tc>
        <w:tc>
          <w:tcPr>
            <w:tcW w:w="2700" w:type="dxa"/>
            <w:vAlign w:val="bottom"/>
          </w:tcPr>
          <w:p>
            <w:pPr>
              <w:jc w:val="center"/>
              <w:spacing w:after="0" w:line="201" w:lineRule="exact"/>
              <w:rPr>
                <w:sz w:val="20"/>
                <w:szCs w:val="20"/>
                <w:color w:val="auto"/>
              </w:rPr>
            </w:pPr>
            <w:r>
              <w:rPr>
                <w:rFonts w:ascii="Arial" w:cs="Arial" w:eastAsia="Arial" w:hAnsi="Arial"/>
                <w:sz w:val="18"/>
                <w:szCs w:val="18"/>
                <w:color w:val="auto"/>
                <w:w w:val="91"/>
              </w:rPr>
              <w:t>OROS Methylphenidate</w:t>
            </w:r>
          </w:p>
        </w:tc>
        <w:tc>
          <w:tcPr>
            <w:tcW w:w="144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3"/>
              </w:rPr>
              <w:t>J&amp;J</w:t>
            </w:r>
          </w:p>
        </w:tc>
        <w:tc>
          <w:tcPr>
            <w:tcW w:w="280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3"/>
              </w:rPr>
              <w:t>782</w:t>
            </w:r>
          </w:p>
        </w:tc>
        <w:tc>
          <w:tcPr>
            <w:tcW w:w="258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0"/>
              </w:rPr>
              <w:t>1,326 (2009)</w:t>
            </w:r>
          </w:p>
        </w:tc>
      </w:tr>
      <w:tr>
        <w:trPr>
          <w:trHeight w:val="230"/>
        </w:trPr>
        <w:tc>
          <w:tcPr>
            <w:tcW w:w="1900" w:type="dxa"/>
            <w:vAlign w:val="bottom"/>
          </w:tcPr>
          <w:p>
            <w:pPr>
              <w:jc w:val="center"/>
              <w:ind w:left="90"/>
              <w:spacing w:after="0"/>
              <w:rPr>
                <w:sz w:val="20"/>
                <w:szCs w:val="20"/>
                <w:color w:val="auto"/>
              </w:rPr>
            </w:pPr>
            <w:r>
              <w:rPr>
                <w:rFonts w:ascii="Arial" w:cs="Arial" w:eastAsia="Arial" w:hAnsi="Arial"/>
                <w:sz w:val="18"/>
                <w:szCs w:val="18"/>
                <w:color w:val="auto"/>
                <w:w w:val="92"/>
              </w:rPr>
              <w:t>(2000)</w:t>
            </w:r>
          </w:p>
        </w:tc>
        <w:tc>
          <w:tcPr>
            <w:tcW w:w="2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02"/>
        </w:trPr>
        <w:tc>
          <w:tcPr>
            <w:tcW w:w="190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86"/>
              </w:rPr>
              <w:t>Strattera</w:t>
            </w:r>
          </w:p>
        </w:tc>
        <w:tc>
          <w:tcPr>
            <w:tcW w:w="2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Atomoxetine</w:t>
            </w:r>
          </w:p>
        </w:tc>
        <w:tc>
          <w:tcPr>
            <w:tcW w:w="1440" w:type="dxa"/>
            <w:vAlign w:val="bottom"/>
            <w:shd w:val="clear" w:color="auto" w:fill="CCEEFF"/>
          </w:tcPr>
          <w:p>
            <w:pPr>
              <w:jc w:val="center"/>
              <w:ind w:right="70"/>
              <w:spacing w:after="0" w:line="201" w:lineRule="exact"/>
              <w:rPr>
                <w:sz w:val="20"/>
                <w:szCs w:val="20"/>
                <w:color w:val="auto"/>
              </w:rPr>
            </w:pPr>
            <w:r>
              <w:rPr>
                <w:rFonts w:ascii="Arial" w:cs="Arial" w:eastAsia="Arial" w:hAnsi="Arial"/>
                <w:sz w:val="18"/>
                <w:szCs w:val="18"/>
                <w:color w:val="auto"/>
              </w:rPr>
              <w:t>Eli Lilly</w:t>
            </w:r>
          </w:p>
        </w:tc>
        <w:tc>
          <w:tcPr>
            <w:tcW w:w="280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3"/>
              </w:rPr>
              <w:t>709</w:t>
            </w:r>
          </w:p>
        </w:tc>
        <w:tc>
          <w:tcPr>
            <w:tcW w:w="2580" w:type="dxa"/>
            <w:vAlign w:val="bottom"/>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89"/>
              </w:rPr>
              <w:t>&gt;900 (est. 2016)</w:t>
            </w:r>
          </w:p>
        </w:tc>
      </w:tr>
      <w:tr>
        <w:trPr>
          <w:trHeight w:val="230"/>
        </w:trPr>
        <w:tc>
          <w:tcPr>
            <w:tcW w:w="19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2"/>
              </w:rPr>
              <w:t>(2002)</w:t>
            </w:r>
          </w:p>
        </w:tc>
        <w:tc>
          <w:tcPr>
            <w:tcW w:w="27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02"/>
        </w:trPr>
        <w:tc>
          <w:tcPr>
            <w:tcW w:w="190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5"/>
              </w:rPr>
              <w:t>Adderall XR</w:t>
            </w:r>
          </w:p>
        </w:tc>
        <w:tc>
          <w:tcPr>
            <w:tcW w:w="2700" w:type="dxa"/>
            <w:vAlign w:val="bottom"/>
          </w:tcPr>
          <w:p>
            <w:pPr>
              <w:jc w:val="center"/>
              <w:spacing w:after="0" w:line="201" w:lineRule="exact"/>
              <w:rPr>
                <w:sz w:val="20"/>
                <w:szCs w:val="20"/>
                <w:color w:val="auto"/>
              </w:rPr>
            </w:pPr>
            <w:r>
              <w:rPr>
                <w:rFonts w:ascii="Arial" w:cs="Arial" w:eastAsia="Arial" w:hAnsi="Arial"/>
                <w:sz w:val="18"/>
                <w:szCs w:val="18"/>
                <w:color w:val="auto"/>
                <w:w w:val="91"/>
              </w:rPr>
              <w:t>Mixed Amphetamine Salts</w:t>
            </w:r>
          </w:p>
        </w:tc>
        <w:tc>
          <w:tcPr>
            <w:tcW w:w="144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90"/>
              </w:rPr>
              <w:t>Shire</w:t>
            </w:r>
          </w:p>
        </w:tc>
        <w:tc>
          <w:tcPr>
            <w:tcW w:w="280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3"/>
              </w:rPr>
              <w:t>375</w:t>
            </w:r>
          </w:p>
        </w:tc>
        <w:tc>
          <w:tcPr>
            <w:tcW w:w="258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0"/>
              </w:rPr>
              <w:t>1,102 (2008)</w:t>
            </w:r>
          </w:p>
        </w:tc>
      </w:tr>
      <w:tr>
        <w:trPr>
          <w:trHeight w:val="230"/>
        </w:trPr>
        <w:tc>
          <w:tcPr>
            <w:tcW w:w="1900" w:type="dxa"/>
            <w:vAlign w:val="bottom"/>
          </w:tcPr>
          <w:p>
            <w:pPr>
              <w:jc w:val="center"/>
              <w:ind w:left="90"/>
              <w:spacing w:after="0"/>
              <w:rPr>
                <w:sz w:val="20"/>
                <w:szCs w:val="20"/>
                <w:color w:val="auto"/>
              </w:rPr>
            </w:pPr>
            <w:r>
              <w:rPr>
                <w:rFonts w:ascii="Arial" w:cs="Arial" w:eastAsia="Arial" w:hAnsi="Arial"/>
                <w:sz w:val="18"/>
                <w:szCs w:val="18"/>
                <w:color w:val="auto"/>
                <w:w w:val="92"/>
              </w:rPr>
              <w:t>(2001)</w:t>
            </w:r>
          </w:p>
        </w:tc>
        <w:tc>
          <w:tcPr>
            <w:tcW w:w="2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Treatment Options for ADHD</w:t>
      </w:r>
    </w:p>
    <w:p>
      <w:pPr>
        <w:spacing w:after="0" w:line="229" w:lineRule="exact"/>
        <w:rPr>
          <w:sz w:val="20"/>
          <w:szCs w:val="20"/>
          <w:color w:val="auto"/>
        </w:rPr>
      </w:pPr>
    </w:p>
    <w:p>
      <w:pPr>
        <w:ind w:right="360" w:firstLine="428"/>
        <w:spacing w:after="0" w:line="308" w:lineRule="auto"/>
        <w:rPr>
          <w:sz w:val="20"/>
          <w:szCs w:val="20"/>
          <w:color w:val="auto"/>
        </w:rPr>
      </w:pPr>
      <w:r>
        <w:rPr>
          <w:rFonts w:ascii="Arial" w:cs="Arial" w:eastAsia="Arial" w:hAnsi="Arial"/>
          <w:sz w:val="17"/>
          <w:szCs w:val="17"/>
          <w:color w:val="auto"/>
        </w:rPr>
        <w:t>Because of the significant side effects and abuse potential associated with current stimulant treatment options for ADHD which are classified in the same controlled substance category as narcotics, there is a significant need to develop safe and effective treatment alternatives.</w:t>
      </w:r>
    </w:p>
    <w:p>
      <w:pPr>
        <w:spacing w:after="0" w:line="147" w:lineRule="exact"/>
        <w:rPr>
          <w:sz w:val="20"/>
          <w:szCs w:val="20"/>
          <w:color w:val="auto"/>
        </w:rPr>
      </w:pPr>
    </w:p>
    <w:p>
      <w:pPr>
        <w:ind w:right="20" w:firstLine="383"/>
        <w:spacing w:after="0" w:line="291"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with ADHD that is a non-stimulant. Strattera has been effective, but it also has serious side effects, such as fatigue, GI upset, sexual problems, palpitations, increased heart rate, blood pressure, and regulatory warning labels on suicidal thoughts and liver damage. Moreover, Strattera also takes six to ten weeks to achieve full clinical effects. MDX has low potential to be an abused drug, has shown efficacy after a single dose and improved safety profile, and we believe that, if approved, its market entry should increase treatment rates and drive market growth.</w:t>
      </w:r>
    </w:p>
    <w:p>
      <w:pPr>
        <w:spacing w:after="0" w:line="167" w:lineRule="exact"/>
        <w:rPr>
          <w:sz w:val="20"/>
          <w:szCs w:val="20"/>
          <w:color w:val="auto"/>
        </w:rPr>
      </w:pPr>
    </w:p>
    <w:p>
      <w:pPr>
        <w:ind w:right="220" w:firstLine="383"/>
        <w:spacing w:after="0" w:line="259" w:lineRule="auto"/>
        <w:rPr>
          <w:sz w:val="20"/>
          <w:szCs w:val="20"/>
          <w:color w:val="auto"/>
        </w:rPr>
      </w:pPr>
      <w:r>
        <w:rPr>
          <w:rFonts w:ascii="Arial" w:cs="Arial" w:eastAsia="Arial" w:hAnsi="Arial"/>
          <w:sz w:val="18"/>
          <w:szCs w:val="18"/>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patients continuing on therapy 12 months after they are first prescribed medication. Therefore, there is a significant need to develop safe and effective treatment alternatives, particularly ones devoid of abuse potential and significant side effects.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Clinical Data in ADHD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Symptom and Clinical Efficacy Measurement</w:t>
      </w:r>
    </w:p>
    <w:p>
      <w:pPr>
        <w:spacing w:after="0" w:line="225" w:lineRule="exact"/>
        <w:rPr>
          <w:sz w:val="20"/>
          <w:szCs w:val="20"/>
          <w:color w:val="auto"/>
        </w:rPr>
      </w:pPr>
    </w:p>
    <w:p>
      <w:pPr>
        <w:ind w:right="120" w:firstLine="383"/>
        <w:spacing w:after="0" w:line="264" w:lineRule="auto"/>
        <w:rPr>
          <w:sz w:val="20"/>
          <w:szCs w:val="20"/>
          <w:color w:val="auto"/>
        </w:rPr>
      </w:pPr>
      <w:r>
        <w:rPr>
          <w:rFonts w:ascii="Arial" w:cs="Arial" w:eastAsia="Arial" w:hAnsi="Arial"/>
          <w:sz w:val="18"/>
          <w:szCs w:val="18"/>
          <w:color w:val="auto"/>
        </w:rPr>
        <w:t>There are various methodologies for evaluating and measuring changes in the symptoms of ADHD patients, including behavior rating scales conducted by an observer or the patient themselves, and computer-based cognitive performance tests. Examples of commonly used methodologies to test the clinical efficacy of ADHD pharmacotherapies include:</w:t>
      </w:r>
    </w:p>
    <w:p>
      <w:pPr>
        <w:spacing w:after="0" w:line="181" w:lineRule="exact"/>
        <w:rPr>
          <w:sz w:val="20"/>
          <w:szCs w:val="20"/>
          <w:color w:val="auto"/>
        </w:rPr>
      </w:pPr>
    </w:p>
    <w:p>
      <w:pPr>
        <w:ind w:left="660" w:hanging="328"/>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Conners’ Adult ADHD Rating Scales, or CAARS. </w:t>
      </w:r>
      <w:r>
        <w:rPr>
          <w:rFonts w:ascii="Arial" w:cs="Arial" w:eastAsia="Arial" w:hAnsi="Arial"/>
          <w:sz w:val="18"/>
          <w:szCs w:val="18"/>
          <w:color w:val="auto"/>
        </w:rPr>
        <w:t>CAARS measures the presence, frequency and severity of ADHD symptoms. The scales</w:t>
      </w:r>
      <w:r>
        <w:rPr>
          <w:rFonts w:ascii="Arial" w:cs="Arial" w:eastAsia="Arial" w:hAnsi="Arial"/>
          <w:sz w:val="18"/>
          <w:szCs w:val="18"/>
          <w:i w:val="1"/>
          <w:iCs w:val="1"/>
          <w:color w:val="auto"/>
        </w:rPr>
        <w:t xml:space="preserve"> </w:t>
      </w:r>
      <w:r>
        <w:rPr>
          <w:rFonts w:ascii="Arial" w:cs="Arial" w:eastAsia="Arial" w:hAnsi="Arial"/>
          <w:sz w:val="18"/>
          <w:szCs w:val="18"/>
          <w:color w:val="auto"/>
        </w:rPr>
        <w:t>quantitatively measure ADHD symptoms using 18 items. The scale has been used extensively in clinical trials including pivotal adult Phase 3 studies of approved pharmacotherapies for ADHD. Behavioral rating scales, similar to the CAARS measure, but with age-appropriate questions, are used for the assessment of ADHD symptoms in children.</w:t>
      </w:r>
    </w:p>
    <w:p>
      <w:pPr>
        <w:spacing w:after="0" w:line="186" w:lineRule="exact"/>
        <w:rPr>
          <w:rFonts w:ascii="Arial" w:cs="Arial" w:eastAsia="Arial" w:hAnsi="Arial"/>
          <w:sz w:val="18"/>
          <w:szCs w:val="18"/>
          <w:color w:val="auto"/>
        </w:rPr>
      </w:pPr>
    </w:p>
    <w:p>
      <w:pPr>
        <w:ind w:left="660" w:right="40" w:hanging="328"/>
        <w:spacing w:after="0" w:line="27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Test of Variables of Attention, or TOVA. </w:t>
      </w:r>
      <w:r>
        <w:rPr>
          <w:rFonts w:ascii="Arial" w:cs="Arial" w:eastAsia="Arial" w:hAnsi="Arial"/>
          <w:sz w:val="17"/>
          <w:szCs w:val="17"/>
          <w:color w:val="auto"/>
        </w:rPr>
        <w:t>TOVA is a computerized test that assists in the screening, diagnosis, and treatment monitoring of attention</w:t>
      </w:r>
      <w:r>
        <w:rPr>
          <w:rFonts w:ascii="Arial" w:cs="Arial" w:eastAsia="Arial" w:hAnsi="Arial"/>
          <w:sz w:val="17"/>
          <w:szCs w:val="17"/>
          <w:i w:val="1"/>
          <w:iCs w:val="1"/>
          <w:color w:val="auto"/>
        </w:rPr>
        <w:t xml:space="preserve"> </w:t>
      </w:r>
      <w:r>
        <w:rPr>
          <w:rFonts w:ascii="Arial" w:cs="Arial" w:eastAsia="Arial" w:hAnsi="Arial"/>
          <w:sz w:val="17"/>
          <w:szCs w:val="17"/>
          <w:color w:val="auto"/>
        </w:rPr>
        <w:t>disorders such as ADHD. The test provides an objective, quantitative neurological measure of attention. The test consists of a 20-minute activity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Clinical Studies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have conducted several Phase 2 clinical trials in adult ADHD subjects in Israel, and one Phase 3 clinical trial in adult ADHD subjects in the United States and Israel, testing the safety and efficacy of our novel non-stimulant drug candidate, MDX. These trials included:</w:t>
      </w:r>
    </w:p>
    <w:p>
      <w:pPr>
        <w:spacing w:after="0" w:line="170" w:lineRule="exact"/>
        <w:rPr>
          <w:sz w:val="20"/>
          <w:szCs w:val="20"/>
          <w:color w:val="auto"/>
        </w:rPr>
      </w:pPr>
    </w:p>
    <w:p>
      <w:pPr>
        <w:ind w:left="660" w:right="4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Phase 2a open label proof of concept study of 40 adult ADHD subjects, followed by two extension studies to determine duration of effect and efficacy of various dosages;</w:t>
      </w:r>
    </w:p>
    <w:p>
      <w:pPr>
        <w:spacing w:after="0" w:line="170" w:lineRule="exact"/>
        <w:rPr>
          <w:rFonts w:ascii="Arial" w:cs="Arial" w:eastAsia="Arial" w:hAnsi="Arial"/>
          <w:sz w:val="18"/>
          <w:szCs w:val="18"/>
          <w:color w:val="auto"/>
        </w:rPr>
      </w:pPr>
    </w:p>
    <w:p>
      <w:pPr>
        <w:ind w:left="660" w:right="48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Phase 2b, six-week, randomized, double-blind, placebo-controlled, parallel-group, multi-center study of 120 adult ADHD subjects, in which ADHD subjects were randomly assigned in a 1:1 ratio to one of two treatment groups : a 1,400mg dose of MDX and a matching placebo;</w:t>
      </w:r>
    </w:p>
    <w:p>
      <w:pPr>
        <w:spacing w:after="0" w:line="123" w:lineRule="exact"/>
        <w:rPr>
          <w:rFonts w:ascii="Arial" w:cs="Arial" w:eastAsia="Arial" w:hAnsi="Arial"/>
          <w:sz w:val="16"/>
          <w:szCs w:val="16"/>
          <w:color w:val="auto"/>
        </w:rPr>
      </w:pPr>
    </w:p>
    <w:p>
      <w:pPr>
        <w:ind w:left="660" w:right="2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Phase 2b randomized, double-blind, placebo-controlled, cross-over single center study conducted in 36 adult subjects with PI-ADHD with 1400 mg MDX, 700 mg MDX and matching placebo;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Phase 3, six-week, randomized, double-blind, placebo-controlled, parallel-group, multi-center study of 300 adult ADHD subjects, in which ADHD subjects were randomly assigned in a 1:1 ratio to one of two treatment groups: a 1,400mg dose of MDX and a matching placebo.</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Phase 2a studies</w:t>
      </w:r>
    </w:p>
    <w:p>
      <w:pPr>
        <w:spacing w:after="0" w:line="229" w:lineRule="exact"/>
        <w:rPr>
          <w:sz w:val="20"/>
          <w:szCs w:val="20"/>
          <w:color w:val="auto"/>
        </w:rPr>
      </w:pPr>
    </w:p>
    <w:p>
      <w:pPr>
        <w:ind w:firstLine="383"/>
        <w:spacing w:after="0" w:line="302" w:lineRule="auto"/>
        <w:rPr>
          <w:sz w:val="20"/>
          <w:szCs w:val="20"/>
          <w:color w:val="auto"/>
        </w:rPr>
      </w:pPr>
      <w:r>
        <w:rPr>
          <w:rFonts w:ascii="Arial" w:cs="Arial" w:eastAsia="Arial" w:hAnsi="Arial"/>
          <w:sz w:val="16"/>
          <w:szCs w:val="16"/>
          <w:color w:val="auto"/>
        </w:rPr>
        <w:t>The Phase 2a study was designed to evaluate the effect of a single oral administration of MDX on cognitive function in subjects ranging from ages 18-45 who had been diagnosed as having ADHD. The study was performed at the ADHD unit of the Geha Mental Health Hospital (Israel). The primary outcome measures in the trial were the one-hour post-medication TOVA ADHD Score, and various TOVA subscores, Secondary outcome measures were subtests from the Wechsler Adult Intelligence Scale-Revised (WAIS-R test). The WAIS is a battery of tests designed to measure intelligence in adolescents and adults.</w:t>
      </w:r>
    </w:p>
    <w:p>
      <w:pPr>
        <w:spacing w:after="0" w:line="154" w:lineRule="exact"/>
        <w:rPr>
          <w:sz w:val="20"/>
          <w:szCs w:val="20"/>
          <w:color w:val="auto"/>
        </w:rPr>
      </w:pPr>
    </w:p>
    <w:p>
      <w:pPr>
        <w:ind w:right="100" w:firstLine="383"/>
        <w:spacing w:after="0" w:line="286" w:lineRule="auto"/>
        <w:rPr>
          <w:sz w:val="20"/>
          <w:szCs w:val="20"/>
          <w:color w:val="auto"/>
        </w:rPr>
      </w:pPr>
      <w:r>
        <w:rPr>
          <w:rFonts w:ascii="Arial" w:cs="Arial" w:eastAsia="Arial" w:hAnsi="Arial"/>
          <w:sz w:val="17"/>
          <w:szCs w:val="17"/>
          <w:color w:val="auto"/>
        </w:rPr>
        <w:t>Results of this clinical study showed clinically and statistically significant improvement in all the TOVA parameters that were abnormal at baseline (see table below). “P values” are a measure of statistical significance. P is a statistical measure for the probability of an error. In clinical investigations, p&lt;0.05 (meaning that the probability of an error in the outcome is small and less than 5%) is considered a statistically significant finding.</w:t>
      </w:r>
    </w:p>
    <w:p>
      <w:pPr>
        <w:spacing w:after="0" w:line="382" w:lineRule="exact"/>
        <w:rPr>
          <w:sz w:val="20"/>
          <w:szCs w:val="20"/>
          <w:color w:val="auto"/>
        </w:rPr>
      </w:pPr>
    </w:p>
    <w:p>
      <w:pPr>
        <w:ind w:left="10820"/>
        <w:spacing w:after="0"/>
        <w:rPr>
          <w:sz w:val="20"/>
          <w:szCs w:val="20"/>
          <w:color w:val="auto"/>
        </w:rPr>
      </w:pPr>
      <w:r>
        <w:rPr>
          <w:rFonts w:ascii="Arial" w:cs="Arial" w:eastAsia="Arial" w:hAnsi="Arial"/>
          <w:sz w:val="16"/>
          <w:szCs w:val="16"/>
          <w:i w:val="1"/>
          <w:iCs w:val="1"/>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880" w:type="dxa"/>
            <w:vAlign w:val="bottom"/>
            <w:gridSpan w:val="4"/>
          </w:tcPr>
          <w:p>
            <w:pPr>
              <w:ind w:left="240"/>
              <w:spacing w:after="0"/>
              <w:rPr>
                <w:sz w:val="20"/>
                <w:szCs w:val="20"/>
                <w:color w:val="auto"/>
              </w:rPr>
            </w:pPr>
            <w:r>
              <w:rPr>
                <w:rFonts w:ascii="Arial" w:cs="Arial" w:eastAsia="Arial" w:hAnsi="Arial"/>
                <w:sz w:val="18"/>
                <w:szCs w:val="18"/>
                <w:b w:val="1"/>
                <w:bCs w:val="1"/>
                <w:color w:val="auto"/>
              </w:rPr>
              <w:t>TOVA Outcomes in Phase 2a Study</w:t>
            </w:r>
          </w:p>
        </w:tc>
        <w:tc>
          <w:tcPr>
            <w:tcW w:w="3420" w:type="dxa"/>
            <w:vAlign w:val="bottom"/>
          </w:tcPr>
          <w:p>
            <w:pPr>
              <w:spacing w:after="0"/>
              <w:rPr>
                <w:sz w:val="20"/>
                <w:szCs w:val="20"/>
                <w:color w:val="auto"/>
              </w:rPr>
            </w:pPr>
          </w:p>
        </w:tc>
      </w:tr>
      <w:tr>
        <w:trPr>
          <w:trHeight w:val="432"/>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4"/>
              </w:rPr>
              <w:t>TOVA Parameter (n=38)</w:t>
            </w:r>
          </w:p>
        </w:tc>
        <w:tc>
          <w:tcPr>
            <w:tcW w:w="240" w:type="dxa"/>
            <w:vAlign w:val="bottom"/>
          </w:tcPr>
          <w:p>
            <w:pPr>
              <w:spacing w:after="0"/>
              <w:rPr>
                <w:sz w:val="24"/>
                <w:szCs w:val="24"/>
                <w:color w:val="auto"/>
              </w:rPr>
            </w:pPr>
          </w:p>
        </w:tc>
        <w:tc>
          <w:tcPr>
            <w:tcW w:w="36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Change from baseline</w:t>
            </w:r>
          </w:p>
        </w:tc>
        <w:tc>
          <w:tcPr>
            <w:tcW w:w="3420" w:type="dxa"/>
            <w:vAlign w:val="bottom"/>
          </w:tcPr>
          <w:p>
            <w:pPr>
              <w:ind w:left="1660"/>
              <w:spacing w:after="0"/>
              <w:rPr>
                <w:sz w:val="20"/>
                <w:szCs w:val="20"/>
                <w:color w:val="auto"/>
              </w:rPr>
            </w:pPr>
            <w:r>
              <w:rPr>
                <w:rFonts w:ascii="Arial" w:cs="Arial" w:eastAsia="Arial" w:hAnsi="Arial"/>
                <w:sz w:val="18"/>
                <w:szCs w:val="18"/>
                <w:b w:val="1"/>
                <w:bCs w:val="1"/>
                <w:color w:val="auto"/>
              </w:rPr>
              <w:t>p</w:t>
            </w:r>
          </w:p>
        </w:tc>
      </w:tr>
      <w:tr>
        <w:trPr>
          <w:trHeight w:val="210"/>
        </w:trPr>
        <w:tc>
          <w:tcPr>
            <w:tcW w:w="4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Omission Score</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(+16.6%)</w:t>
            </w:r>
          </w:p>
        </w:tc>
        <w:tc>
          <w:tcPr>
            <w:tcW w:w="2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p&lt;0.03</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91"/>
              </w:rPr>
              <w:t>Commission Score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840" w:type="dxa"/>
            <w:vAlign w:val="bottom"/>
          </w:tcPr>
          <w:p>
            <w:pPr>
              <w:ind w:left="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p&lt;0.01</w:t>
            </w:r>
          </w:p>
        </w:tc>
      </w:tr>
      <w:tr>
        <w:trPr>
          <w:trHeight w:val="216"/>
        </w:trPr>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Response Time Score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p&lt;0.02</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91"/>
              </w:rPr>
              <w:t>Response Time Variability Score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840" w:type="dxa"/>
            <w:vAlign w:val="bottom"/>
          </w:tcPr>
          <w:p>
            <w:pPr>
              <w:ind w:left="20"/>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p&lt;0.001</w:t>
            </w:r>
          </w:p>
        </w:tc>
      </w:tr>
      <w:tr>
        <w:trPr>
          <w:trHeight w:val="216"/>
        </w:trPr>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Total ADHD Score</w:t>
            </w:r>
          </w:p>
        </w:tc>
        <w:tc>
          <w:tcPr>
            <w:tcW w:w="3660" w:type="dxa"/>
            <w:vAlign w:val="bottom"/>
            <w:gridSpan w:val="3"/>
            <w:shd w:val="clear" w:color="auto" w:fill="CCEEFF"/>
          </w:tcPr>
          <w:p>
            <w:pPr>
              <w:jc w:val="right"/>
              <w:ind w:right="1150"/>
              <w:spacing w:after="0"/>
              <w:rPr>
                <w:sz w:val="20"/>
                <w:szCs w:val="20"/>
                <w:color w:val="auto"/>
              </w:rPr>
            </w:pPr>
            <w:r>
              <w:rPr>
                <w:rFonts w:ascii="Arial" w:cs="Arial" w:eastAsia="Arial" w:hAnsi="Arial"/>
                <w:sz w:val="18"/>
                <w:szCs w:val="18"/>
                <w:color w:val="auto"/>
              </w:rPr>
              <w:t>+3.9 (+75%)</w:t>
            </w:r>
          </w:p>
        </w:tc>
        <w:tc>
          <w:tcPr>
            <w:tcW w:w="2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p&lt;0.001</w:t>
            </w:r>
          </w:p>
        </w:tc>
      </w:tr>
    </w:tbl>
    <w:p>
      <w:pPr>
        <w:spacing w:after="0" w:line="202"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Furthermore, results of the Wechsler subtests confirmed the ability of MDX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18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In an extension study to study the duration of drug benefits, 10 subjects were evaluated using TOVA immediately before, and 90 minutes, 4 hours and 7 hours after, taking a single 1400mg dose of MDX. Results demonstrated an extended effect of the drug on cognitive functions.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In another extension study designed to evaluate the relative efficacy of various MDX doses, 10 subjects were evaluated using TOVA 90 minutes after blindly taking either 700mg, 1400mg or 2100mg doses of MDX on separate occasions and in a random visit order. TOVA results following these treatments were compared to the baseline data obtained before any treatment in these subjects. Results confirmed the likely effective dose range for MDX to be 700-1400mg, demonstrating that the 1400 mg dose had the greatest magnitude of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First Phase 2b Clinical Study</w:t>
      </w:r>
    </w:p>
    <w:p>
      <w:pPr>
        <w:spacing w:after="0" w:line="22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completed a six-week randomized, double-blind, placebo-controlled, parallel-group, multi-center Phase 2b study in 120 adult subjects with ADHD that was performed in two centers in Israel: the ADHD unit at Geha Mental Health Hospital and the Cognitive Neurology unit at Rambam Healthcare Campus.</w:t>
      </w:r>
    </w:p>
    <w:p>
      <w:pPr>
        <w:spacing w:after="0" w:line="181"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ADHD subjects were randomly assigned in a 1:1 ratio to one of two treatment groups: 1400mg MDX or matching placebo. The primary efficacy measure was CAARS questionnaire, and the secondary efficacy measures were the TOVA test and the Adult ADHD Quality of Life (AAQoL) questionnaire.</w:t>
      </w:r>
    </w:p>
    <w:p>
      <w:pPr>
        <w:spacing w:after="0" w:line="12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Significant improvements in CAARS scores (p&lt;0.02), TOVA ADHD scores (p&lt;0.02) and AAQoL scores (p&lt;0.01) were observed in the MDX treated group versus the placebo group. Improvements in CAARS and TOVA scores were statistically significant over the placebo after as little as two weeks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231130" cy="4185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31130"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775" w:gutter="0" w:footer="0" w:header="0"/>
        </w:sectPr>
      </w:pPr>
    </w:p>
    <w:bookmarkStart w:id="41" w:name="page42"/>
    <w:bookmarkEnd w:id="41"/>
    <w:p>
      <w:pPr>
        <w:ind w:right="160" w:firstLine="405"/>
        <w:spacing w:after="0" w:line="259" w:lineRule="auto"/>
        <w:rPr>
          <w:sz w:val="20"/>
          <w:szCs w:val="20"/>
          <w:color w:val="auto"/>
        </w:rPr>
      </w:pPr>
      <w:r>
        <w:rPr>
          <w:rFonts w:ascii="Arial" w:cs="Arial" w:eastAsia="Arial" w:hAnsi="Arial"/>
          <w:sz w:val="18"/>
          <w:szCs w:val="18"/>
          <w:color w:val="auto"/>
        </w:rPr>
        <w:t>Physical examination, laboratory parameters, vital signs, and electrocardiograms showed no consistent differences between treatment groups or cumulative changes over time. The most commonly reported adverse events were nausea, fatigue and headache. Nausea was the only adverse event to occur exclusively in the MDX group and should be considered an anticipated event in future MDX research; fatigue occurred in similar numbers in both groups, and headache occurred notably less frequently in the MDX group.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Second Phase 2b Clinical study</w:t>
      </w:r>
    </w:p>
    <w:p>
      <w:pPr>
        <w:spacing w:after="0" w:line="229"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We completed an additional Phase 2b, randomized, double-blind, placebo-controlled, crossover comparison, single-center study in 36 adult subjects with Predominantly Inattentive ADHD (PI-ADHD). The study was designed to compare the efficacy, safety and tolerability of two doses of MDX, 1400 mg and 700 mg, and placebo for the treatment of symptoms in adults diagnosed with PI-ADHD. The primary efficacy endpoint of the study was met, as demonstrated by a significant difference between the change in TOVA ADHD score following single-dose administration of 1400 mg MDX versus Placebo (mean change 6.5 vs. 4.4 points, p=0.0084). The difference between the change in ADHD score following administration of 700 mg MDX and Placebo was not statistically significant. A significant difference was observed between the change in TOVA ADHD score between the 700 mg MDX and 1400 mg MDX. Both doses of MDX were associated with a favorable safety profile, particularly in comparison to no treatment (Pre-dose) and Placebo, per adverse event, laboratory (hematology, biochemistry, urinalysis), vital sign, ECG, and physical and neurological evaluations.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Phase 2 clinical study</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are currently conducting a Phase 2 multi-center, randomized, double-blind, fixed dose study designed to evaluate the safety and tolerability of MDX in up to 82 adolescents (aged 13-17) with predominantly inattentive ADHD (PI-ADHD). The primary assessment will be safety, tolerability and pharmacokinetics. Secondary assessments include change in efficacy measures such as TOVA (Test of Variables of Attention), Wechsler Intelligence Scale for Children (WISC-IV) subtests, and working memory and processing speed.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Phase 3 study</w:t>
      </w:r>
    </w:p>
    <w:p>
      <w:pPr>
        <w:spacing w:after="0" w:line="22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completed a Phase 3, 6-week, multicenter, randomized, double-blind, parallel-group, fixed-dose study of MDX 1400 mg once daily compared with placebo in 300 adults with ADHD. The study was conducted at 18 sites in the United States and 2 sites in Israel. The study was designed to evaluate the efficacy of MDX 1400 mg daily compared with placebo in the treatment of ADHD in adults as measured by the CAARS questionnaire. The primary endpoint of change from Baseline in CAARS over Weeks one through six using the MMRM analysis did not reach statistical significance with MG01CI 1400 mg versus placebo for the Intend To Treat (ITT) Population (n=297; p=0.1358).</w:t>
      </w:r>
    </w:p>
    <w:p>
      <w:pPr>
        <w:spacing w:after="0" w:line="18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Several statistical analyses, some defined before the trial was completed (pre-specified), and some designed after trial completion (post-hoc) identified the placebo response in this trial to be of an unusual and extreme magnitude and variability as compared to past adult ADHD trials with MDX or other approved ADHD drugs. In one such pre-specified analysis, a pre-defined criteria for identifying extreme and unexpected clinical response was applied to all trial subjects (regardless of whether treated by placebo or MDX). This analysis identified two patients who reported such extreme responses, both of whom were assigned to placebo. When data from these two patients were excluded, in accordance with the pre-specified Statistical Analysis Plan (SAP), the analysis of the primary outcome showed a near-significant trend in favor of MDX, but still did not reach statistical significance (n=295; p=.0606). The change to a near significant level demonstrates the unusual impact of only two extreme patient responses on the overall placebo response. Analysis of other assessments used in the trial such as the Clinical Global Impression-Severity (CGI-S) scores, Clinical Global Impression – Improvement (CGI-I) scores, and others showed similar near-significant or significant outcomes.</w:t>
      </w:r>
    </w:p>
    <w:p>
      <w:pPr>
        <w:spacing w:after="0" w:line="182"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Treatment with MDX was well tolerated. The most common adverse events were headache (15.1% in the MDX group versus 12.3% in the placebo group), nausea (8.6% vs 6.2%), and fatigue (7.2% vs 8.2%). No drug-related serious adverse events were reported. No clinically significant abnormalities in any laboratory measurements, vital sign measurements, ECG parameters, suicidality questionnaires, or findings during clinical examination, including neurological examination, were observed.</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5231130" cy="3953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231130" cy="395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 </w:t>
      </w:r>
      <w:r>
        <w:rPr>
          <w:rFonts w:ascii="Arial" w:cs="Arial" w:eastAsia="Arial" w:hAnsi="Arial"/>
          <w:sz w:val="18"/>
          <w:szCs w:val="18"/>
          <w:color w:val="auto"/>
        </w:rPr>
        <w:t>values based on MMRM analysis. Week 6 SD for MDX = 12.5 and for PBO = 11.8</w:t>
      </w:r>
    </w:p>
    <w:p>
      <w:pPr>
        <w:spacing w:after="0" w:line="151" w:lineRule="exact"/>
        <w:rPr>
          <w:sz w:val="20"/>
          <w:szCs w:val="20"/>
          <w:color w:val="auto"/>
        </w:rPr>
      </w:pPr>
    </w:p>
    <w:p>
      <w:pPr>
        <w:ind w:left="120" w:hanging="112"/>
        <w:spacing w:after="0"/>
        <w:tabs>
          <w:tab w:leader="none" w:pos="12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CAARS-Inv Total ADHD Symptom Score LS Mean (± SEM) Change from Baseline</w:t>
      </w:r>
    </w:p>
    <w:p>
      <w:pPr>
        <w:spacing w:after="0" w:line="42" w:lineRule="exact"/>
        <w:rPr>
          <w:rFonts w:ascii="Arial" w:cs="Arial" w:eastAsia="Arial" w:hAnsi="Arial"/>
          <w:sz w:val="30"/>
          <w:szCs w:val="30"/>
          <w:color w:val="auto"/>
          <w:vertAlign w:val="superscript"/>
        </w:rPr>
      </w:pPr>
    </w:p>
    <w:p>
      <w:pPr>
        <w:spacing w:after="0" w:line="23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3 patients enrolled in the study did not have any post-baseline efficacy assessment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Clinical Data in ADHD and Key Conclusions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conducted three Phase 2 efficacy studies in adults with ADHD using MDX. Doses of MDX tested in the studies ranged from 700 mg to 2100 mg MDX, and safety and efficacy have been examined after both single and repeated administrations. After a single dose of 1400 mg MDX, an immediate response and clinically meaningful improvement in performance (as reflected by TOVA and WAIS-R scores) was seen, with improvements in response time and response time variability scores up to 7 hours post-dose. Administration of a single 1400 mg dose of MDX resulted in similar changes in the TOVA. A comparison of the effect of single doses of 700 mg, 1400 mg, and 2100 mg MDX indicated the possible superiority of the 1400 mg dose. When this dose of MDX was administered over a six-week period in adults with ADHD, there was a significant improvement in ADHD symptoms and subjects’ quality of life responses compared with placebo.</w:t>
      </w:r>
    </w:p>
    <w:p>
      <w:pPr>
        <w:spacing w:after="0" w:line="18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In our Phase 3 efficacy study of MDX in adults with ADHD, only a non-statistically significant trend favoring MDX was observed. Rigorous statistical analyses demonstrated an unusually high placebo response and variability in this trial, mostly due to two patients who were assigned to placebo and reported unusually and unreasonably high clinical responses. Multiple analyses of the primary and secondary endpoints provided supportive evidence of a signal of efficacy of MDX over placebo. Appropriate measures to better control placebo response in future trials of MDX are being evaluated.</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3" w:name="page44"/>
    <w:bookmarkEnd w:id="43"/>
    <w:p>
      <w:pPr>
        <w:jc w:val="both"/>
        <w:ind w:firstLine="324"/>
        <w:spacing w:after="0" w:line="270" w:lineRule="auto"/>
        <w:rPr>
          <w:sz w:val="20"/>
          <w:szCs w:val="20"/>
          <w:color w:val="auto"/>
        </w:rPr>
      </w:pPr>
      <w:r>
        <w:rPr>
          <w:rFonts w:ascii="Arial" w:cs="Arial" w:eastAsia="Arial" w:hAnsi="Arial"/>
          <w:sz w:val="17"/>
          <w:szCs w:val="17"/>
          <w:color w:val="auto"/>
        </w:rPr>
        <w:t>In all studies, MDX was well tolerated. The most commonly reported adverse events in the various clinical studies were nausea, fatigue and headache. In the first Phase 2b study described above, transient moderate nausea, lasting from one to two days, was the only adverse event to occur exclusively in the MDX group, with an incidence of approximately 17%; fatigue was largely the same in the control groups (27%) and the MDX groups (31%), and headache occurred notably less frequently in the MDX group, in about 29% of the subjects, as compared with 38% of the subjects in the placebo group. In the second phase 2b study described above, the most common adverse events reported during the treatment period were fatigue and headache. There were no serious or severe adverse events in these three clinical trials, and no clinically significant treatment-related abnormalities in vital signs, electrocardiograms (ECG), physical examination, and clinical labs (hematology, chemistry, and urinalysis). In the Phase 3 study, the most common adverse events were headache (15.1% in the MDX group vs 12.3% in the placebo group), nausea (8.6% vs 6.2%), and fatigue (7.2% vs 8.2%). No drug-related serious adverse events were reported. No clinically significant abnormalities in laboratory values, vital sign measurements, ECG parameters, suicidality questionnaires, or findings during clinical examination, including neurological examination, were observed.</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products containing metadoxine outside the United States cite infrequent diarrhea and moderate skin rash.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Planned clinical studies in ADHD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Pending discussions with the FDA, and with their agreement, we plan to initiate a second Phase 3 clinical trial in the United States for the use of MDX to treat ADHD in adults. The design of this trial will incorporate lessons learned from the first Phase 3 study, such as improved powering assumptions, duration of treatment, frequency and duration of trial visits, and site and patient selection and enrichment methods. Many of these design elements are targeted at achieving a more acceptable group placebo response and specifically excluding patients with extreme and unreasonable clinical response to placebo treatment.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Fragile X Syndrome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Description of Fragile X Syndrome</w:t>
      </w:r>
    </w:p>
    <w:p>
      <w:pPr>
        <w:spacing w:after="0" w:line="229" w:lineRule="exact"/>
        <w:rPr>
          <w:sz w:val="20"/>
          <w:szCs w:val="20"/>
          <w:color w:val="auto"/>
        </w:rPr>
      </w:pPr>
    </w:p>
    <w:p>
      <w:pPr>
        <w:jc w:val="both"/>
        <w:ind w:firstLine="383"/>
        <w:spacing w:after="0" w:line="257" w:lineRule="auto"/>
        <w:rPr>
          <w:sz w:val="20"/>
          <w:szCs w:val="20"/>
          <w:color w:val="auto"/>
        </w:rPr>
      </w:pPr>
      <w:r>
        <w:rPr>
          <w:rFonts w:ascii="Arial" w:cs="Arial" w:eastAsia="Arial" w:hAnsi="Arial"/>
          <w:sz w:val="18"/>
          <w:szCs w:val="18"/>
          <w:color w:val="auto"/>
        </w:rPr>
        <w:t>Fragile X Syndrome is a genetic disorder that is characterized by a high number (&gt;200) of repeated DNA base sequences (called CGG repeats) in the X chromosome. Fragile X is diagnosed by a blood test that measures the amount of CGG repeats. These repeated sequences are associated with a change in the amount of Fragile X Mental retardation protein, or FMRP, produced by the cell. A greater reduction in FMRP is associated with more severe physical symptoms and intellectual disability. Through the regulation of protein levels in nerve cells in the brain, FMRP is thought to be involved with brain pathways that undergo change to facilitate learning and memory.</w:t>
      </w:r>
    </w:p>
    <w:p>
      <w:pPr>
        <w:spacing w:after="0" w:line="188" w:lineRule="exact"/>
        <w:rPr>
          <w:sz w:val="20"/>
          <w:szCs w:val="20"/>
          <w:color w:val="auto"/>
        </w:rPr>
      </w:pPr>
    </w:p>
    <w:p>
      <w:pPr>
        <w:jc w:val="both"/>
        <w:ind w:firstLine="383"/>
        <w:spacing w:after="0" w:line="302" w:lineRule="auto"/>
        <w:rPr>
          <w:sz w:val="20"/>
          <w:szCs w:val="20"/>
          <w:color w:val="auto"/>
        </w:rPr>
      </w:pPr>
      <w:r>
        <w:rPr>
          <w:rFonts w:ascii="Arial" w:cs="Arial" w:eastAsia="Arial" w:hAnsi="Arial"/>
          <w:sz w:val="16"/>
          <w:szCs w:val="16"/>
          <w:color w:val="auto"/>
        </w:rPr>
        <w:t xml:space="preserve">Fragile X is the most common single gene cause of intellectual disability and autism and an unmet medical need exists with no approved drugs for the treatment of Fragile X. Fragile X is named for the broken microscopic appearance of the X chromosome, one of the sex-linked chromosomes, that is observed in people with the syndrome. Fragile X Syndrome affects all ethnic groups worldwide, with the full mutation expansions in </w:t>
      </w:r>
      <w:r>
        <w:rPr>
          <w:rFonts w:ascii="Arial" w:cs="Arial" w:eastAsia="Arial" w:hAnsi="Arial"/>
          <w:sz w:val="16"/>
          <w:szCs w:val="16"/>
          <w:i w:val="1"/>
          <w:iCs w:val="1"/>
          <w:color w:val="auto"/>
        </w:rPr>
        <w:t>FMR1</w:t>
      </w:r>
      <w:r>
        <w:rPr>
          <w:rFonts w:ascii="Arial" w:cs="Arial" w:eastAsia="Arial" w:hAnsi="Arial"/>
          <w:sz w:val="16"/>
          <w:szCs w:val="16"/>
          <w:color w:val="auto"/>
        </w:rPr>
        <w:t xml:space="preserve"> (≥200 CGG repeats) occurring at an estimated frequency of 1:3600 males and 1:4000 to 6000 females. Fragile X is a rare disease, as defined by the Orphan Drug Act.</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Fragile X Syndrome Symptoms</w:t>
      </w:r>
    </w:p>
    <w:p>
      <w:pPr>
        <w:spacing w:after="0" w:line="229" w:lineRule="exact"/>
        <w:rPr>
          <w:sz w:val="20"/>
          <w:szCs w:val="20"/>
          <w:color w:val="auto"/>
        </w:rPr>
      </w:pPr>
    </w:p>
    <w:p>
      <w:pPr>
        <w:jc w:val="both"/>
        <w:ind w:firstLine="383"/>
        <w:spacing w:after="0" w:line="257" w:lineRule="auto"/>
        <w:rPr>
          <w:sz w:val="20"/>
          <w:szCs w:val="20"/>
          <w:color w:val="auto"/>
        </w:rPr>
      </w:pPr>
      <w:r>
        <w:rPr>
          <w:rFonts w:ascii="Arial" w:cs="Arial" w:eastAsia="Arial" w:hAnsi="Arial"/>
          <w:sz w:val="18"/>
          <w:szCs w:val="18"/>
          <w:color w:val="auto"/>
        </w:rPr>
        <w:t>Not every individual with the Fragile X mutation will show signs or symptoms of Fragile X, and disabilities will range from mild to severe. In males, Fragile X is associated with moderate to severe intellectual disability. About 25% of females with Fragile X will have intellectual disability, and most females with Fragile X will have a learning disability. Since females with Fragile X have one normal X chromosome and one chromosome with Fragile X, and either of the two X chromosomes is active in a given cell, females tend to have milder symptoms than males. Both males and females with Fragile X may show delay in acquiring language skills early in their life.</w:t>
      </w:r>
    </w:p>
    <w:p>
      <w:pPr>
        <w:spacing w:after="0" w:line="188" w:lineRule="exact"/>
        <w:rPr>
          <w:sz w:val="20"/>
          <w:szCs w:val="20"/>
          <w:color w:val="auto"/>
        </w:rPr>
      </w:pPr>
    </w:p>
    <w:p>
      <w:pPr>
        <w:jc w:val="both"/>
        <w:ind w:firstLine="383"/>
        <w:spacing w:after="0" w:line="279" w:lineRule="auto"/>
        <w:rPr>
          <w:sz w:val="20"/>
          <w:szCs w:val="20"/>
          <w:color w:val="auto"/>
        </w:rPr>
      </w:pPr>
      <w:r>
        <w:rPr>
          <w:rFonts w:ascii="Arial" w:cs="Arial" w:eastAsia="Arial" w:hAnsi="Arial"/>
          <w:sz w:val="17"/>
          <w:szCs w:val="17"/>
          <w:color w:val="auto"/>
        </w:rPr>
        <w:t>Individuals with Fragile X often have a number of behavioral symptoms, including inattention, hyperactivity, impulsivity, autistic symptoms, shyness, aggression, social anxiety, hand flapping, hand biting, and high sensitivity to being touched. Autism spectrum disorder (ASD) is seen in approximately 30% of males and 20% of females with Fragile X, and an additional 30% of Fragile X individuals display autistic symptoms without having the ASD diagnosis. ADHD is commonly diagnosed in Fragile X, and has been reported to occur in approximately 60-75% of males with Fragile X.</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Limitations of Treatment Options for Fragile X Syndrome</w:t>
      </w:r>
    </w:p>
    <w:p>
      <w:pPr>
        <w:spacing w:after="0" w:line="229" w:lineRule="exact"/>
        <w:rPr>
          <w:sz w:val="20"/>
          <w:szCs w:val="20"/>
          <w:color w:val="auto"/>
        </w:rPr>
      </w:pPr>
    </w:p>
    <w:p>
      <w:pPr>
        <w:jc w:val="both"/>
        <w:ind w:firstLine="383"/>
        <w:spacing w:after="0" w:line="257" w:lineRule="auto"/>
        <w:rPr>
          <w:sz w:val="20"/>
          <w:szCs w:val="20"/>
          <w:color w:val="auto"/>
        </w:rPr>
      </w:pPr>
      <w:r>
        <w:rPr>
          <w:rFonts w:ascii="Arial" w:cs="Arial" w:eastAsia="Arial" w:hAnsi="Arial"/>
          <w:sz w:val="18"/>
          <w:szCs w:val="18"/>
          <w:color w:val="auto"/>
        </w:rPr>
        <w:t>The FDA has not approved any drugs specifically for the treatment of Fragile X or its symptoms. Individuals with Fragile X are treated based upon their symptoms. If the individual has ADHD or ADHD symptoms, the individual might be treated with ADHD medications, such as stimulants, atomoxetine and alpha-2 agonists (guanfacine or clonidine). If there are symptoms of aggression or irritability, the individual might be treated with antipsychotic medications. Anxiety symptoms might be treated with anti-anxiety drugs such as selective serotonin reuptake inhibitors (SSRIs). If there are seizures, the individual might be treated with anti-convulsant drugs.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from Pre-clinical Study of metadoxine in Fragile X</w:t>
      </w:r>
    </w:p>
    <w:p>
      <w:pPr>
        <w:spacing w:after="0" w:line="229"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We have reported a series of positive findings from pre-clinical studies with a mouse model of Fragile X (</w:t>
      </w:r>
      <w:r>
        <w:rPr>
          <w:rFonts w:ascii="Arial" w:cs="Arial" w:eastAsia="Arial" w:hAnsi="Arial"/>
          <w:sz w:val="17"/>
          <w:szCs w:val="17"/>
          <w:i w:val="1"/>
          <w:iCs w:val="1"/>
          <w:color w:val="auto"/>
        </w:rPr>
        <w:t>Fmr1</w:t>
      </w:r>
      <w:r>
        <w:rPr>
          <w:rFonts w:ascii="Arial" w:cs="Arial" w:eastAsia="Arial" w:hAnsi="Arial"/>
          <w:sz w:val="17"/>
          <w:szCs w:val="17"/>
          <w:color w:val="auto"/>
        </w:rPr>
        <w:t xml:space="preserve"> knock-out mice). The </w:t>
      </w:r>
      <w:r>
        <w:rPr>
          <w:rFonts w:ascii="Arial" w:cs="Arial" w:eastAsia="Arial" w:hAnsi="Arial"/>
          <w:sz w:val="17"/>
          <w:szCs w:val="17"/>
          <w:i w:val="1"/>
          <w:iCs w:val="1"/>
          <w:color w:val="auto"/>
        </w:rPr>
        <w:t>Fmr1</w:t>
      </w:r>
      <w:r>
        <w:rPr>
          <w:rFonts w:ascii="Arial" w:cs="Arial" w:eastAsia="Arial" w:hAnsi="Arial"/>
          <w:sz w:val="17"/>
          <w:szCs w:val="17"/>
          <w:color w:val="auto"/>
        </w:rPr>
        <w:t xml:space="preserve"> KO mouse model is a validated model of Fragile X, as mice with a missing Fragile X gene demonstrate hyperactivity, susceptibility to seizures, enlarged testicles, learning and memory and social interaction impairments and abnormal brain connections, similar findings to those of individuals with Fragile X.</w:t>
      </w:r>
    </w:p>
    <w:p>
      <w:pPr>
        <w:spacing w:after="0" w:line="166"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 xml:space="preserve">Metadoxine treatment rescued behavioral impairments of learning, memory, and social interaction in both adult (six-month-old) and juvenile (two-month-old) </w:t>
      </w:r>
      <w:r>
        <w:rPr>
          <w:rFonts w:ascii="Arial" w:cs="Arial" w:eastAsia="Arial" w:hAnsi="Arial"/>
          <w:sz w:val="17"/>
          <w:szCs w:val="17"/>
          <w:i w:val="1"/>
          <w:iCs w:val="1"/>
          <w:color w:val="auto"/>
        </w:rPr>
        <w:t>Fmr1</w:t>
      </w:r>
      <w:r>
        <w:rPr>
          <w:rFonts w:ascii="Arial" w:cs="Arial" w:eastAsia="Arial" w:hAnsi="Arial"/>
          <w:sz w:val="17"/>
          <w:szCs w:val="17"/>
          <w:color w:val="auto"/>
        </w:rPr>
        <w:t xml:space="preserve"> KO mice, indicating that behavioral effects of metadoxine are independent of age. These behavioral findings are consistent with results of clinical trials of MDX in human adults with ADHD that demonstrated statistically significant improvements in several neuropsychological measures of selective and sustained attention after MDX treatment. Metadoxine-treated </w:t>
      </w:r>
      <w:r>
        <w:rPr>
          <w:rFonts w:ascii="Arial" w:cs="Arial" w:eastAsia="Arial" w:hAnsi="Arial"/>
          <w:sz w:val="17"/>
          <w:szCs w:val="17"/>
          <w:i w:val="1"/>
          <w:iCs w:val="1"/>
          <w:color w:val="auto"/>
        </w:rPr>
        <w:t>Fmr1</w:t>
      </w:r>
      <w:r>
        <w:rPr>
          <w:rFonts w:ascii="Arial" w:cs="Arial" w:eastAsia="Arial" w:hAnsi="Arial"/>
          <w:sz w:val="17"/>
          <w:szCs w:val="17"/>
          <w:color w:val="auto"/>
        </w:rPr>
        <w:t xml:space="preserve"> KO mice (two-month-old and six-month-old) showed significant improvements in behavioral outcomes, including contextual fear conditioning (a test used to examine learning and working memory), social recognition and social memory and T-maze learning task (assessing spatial working memory skills), compared with vehicle-treated </w:t>
      </w:r>
      <w:r>
        <w:rPr>
          <w:rFonts w:ascii="Arial" w:cs="Arial" w:eastAsia="Arial" w:hAnsi="Arial"/>
          <w:sz w:val="17"/>
          <w:szCs w:val="17"/>
          <w:i w:val="1"/>
          <w:iCs w:val="1"/>
          <w:color w:val="auto"/>
        </w:rPr>
        <w:t>Fmr1</w:t>
      </w:r>
      <w:r>
        <w:rPr>
          <w:rFonts w:ascii="Arial" w:cs="Arial" w:eastAsia="Arial" w:hAnsi="Arial"/>
          <w:sz w:val="17"/>
          <w:szCs w:val="17"/>
          <w:color w:val="auto"/>
        </w:rPr>
        <w:t xml:space="preserve"> KO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5582920" cy="24701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292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568960</wp:posOffset>
            </wp:positionV>
            <wp:extent cx="5539740" cy="21183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539740"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Behavioral Assessments in Metadoxine-treated Fmr1 Knockout (KO) Mice</w:t>
      </w:r>
    </w:p>
    <w:p>
      <w:pPr>
        <w:spacing w:after="0" w:line="27" w:lineRule="exact"/>
        <w:rPr>
          <w:sz w:val="20"/>
          <w:szCs w:val="20"/>
          <w:color w:val="auto"/>
        </w:rPr>
      </w:pPr>
    </w:p>
    <w:p>
      <w:pPr>
        <w:jc w:val="both"/>
        <w:ind w:firstLine="389"/>
        <w:spacing w:after="0" w:line="254" w:lineRule="auto"/>
        <w:rPr>
          <w:sz w:val="20"/>
          <w:szCs w:val="20"/>
          <w:color w:val="auto"/>
        </w:rPr>
      </w:pPr>
      <w:r>
        <w:rPr>
          <w:rFonts w:ascii="Arial" w:cs="Arial" w:eastAsia="Arial" w:hAnsi="Arial"/>
          <w:sz w:val="18"/>
          <w:szCs w:val="18"/>
          <w:color w:val="auto"/>
        </w:rPr>
        <w:t>Six-month-old and two-month-old Fmr1 KO and wild-type (WT) mice (n = 10 per group) were treated intraperitoneally with metadoxine (M) 150 mg/kg or placebo (V) for seven days and assessed for behavior and memory tasks. For the learning task, two-month-old Fmr1 KO and WT mice (n = 10 per group) were also treated intraperitoneally with M at 100 and 200 mg/kg or V (in addition to 150 mg/kg). Assessments included learning deficits (A and B), social approach deficits (E), and spatial working memory deficits (D). Data are mean ± SD. NS = not significant.</w:t>
      </w:r>
    </w:p>
    <w:p>
      <w:pPr>
        <w:spacing w:after="0" w:line="190" w:lineRule="exact"/>
        <w:rPr>
          <w:sz w:val="20"/>
          <w:szCs w:val="20"/>
          <w:color w:val="auto"/>
        </w:rPr>
      </w:pPr>
    </w:p>
    <w:p>
      <w:pPr>
        <w:jc w:val="both"/>
        <w:ind w:firstLine="389"/>
        <w:spacing w:after="0" w:line="253" w:lineRule="auto"/>
        <w:rPr>
          <w:sz w:val="20"/>
          <w:szCs w:val="20"/>
          <w:color w:val="auto"/>
        </w:rPr>
      </w:pPr>
      <w:r>
        <w:rPr>
          <w:rFonts w:ascii="Arial" w:cs="Arial" w:eastAsia="Arial" w:hAnsi="Arial"/>
          <w:sz w:val="18"/>
          <w:szCs w:val="18"/>
          <w:color w:val="auto"/>
        </w:rPr>
        <w:t xml:space="preserve">The positive findings in behavioral outcomes following treatment with metadoxine (contextual fear conditioning and social interaction) detailed above were highly reproducible. Additionally, improved cognitive and social functions were associated with reduction of whole brain and blood levels of over-activated biological markers, Akt and Extracellular signal-related Kinase (ERK) following treatment with metadoxine in </w:t>
      </w:r>
      <w:r>
        <w:rPr>
          <w:rFonts w:ascii="Arial" w:cs="Arial" w:eastAsia="Arial" w:hAnsi="Arial"/>
          <w:sz w:val="18"/>
          <w:szCs w:val="18"/>
          <w:i w:val="1"/>
          <w:iCs w:val="1"/>
          <w:color w:val="auto"/>
        </w:rPr>
        <w:t>Fmr1</w:t>
      </w:r>
      <w:r>
        <w:rPr>
          <w:rFonts w:ascii="Arial" w:cs="Arial" w:eastAsia="Arial" w:hAnsi="Arial"/>
          <w:sz w:val="18"/>
          <w:szCs w:val="18"/>
          <w:color w:val="auto"/>
        </w:rPr>
        <w:t xml:space="preserve"> KO mice. The Akt and ERK pathways are thought to play a critical role in impaired synaptic plasticity underlying learning and memory in Fragile X Syndrome patients. Further evaluation of the effect of metadoxine on these biomarkers in several subregions of the brain implicated in cognition revealed that metadoxine reversed the hyperactivation of Akt and ERK in the hippocampus, prefrontal cortex, and striatum of </w:t>
      </w:r>
      <w:r>
        <w:rPr>
          <w:rFonts w:ascii="Arial" w:cs="Arial" w:eastAsia="Arial" w:hAnsi="Arial"/>
          <w:sz w:val="18"/>
          <w:szCs w:val="18"/>
          <w:i w:val="1"/>
          <w:iCs w:val="1"/>
          <w:color w:val="auto"/>
        </w:rPr>
        <w:t>Fmr1</w:t>
      </w:r>
      <w:r>
        <w:rPr>
          <w:rFonts w:ascii="Arial" w:cs="Arial" w:eastAsia="Arial" w:hAnsi="Arial"/>
          <w:sz w:val="18"/>
          <w:szCs w:val="18"/>
          <w:color w:val="auto"/>
        </w:rPr>
        <w:t xml:space="preserve"> KO mice. Normalization of Akt and ERK hyperactivity in both brain subregions and in peripheral blood by metadoxine suggests a possible mechanism for the therapeutic potential of metadoxine in disorders associated with cognitive impairment. Akt and ERK activity in peripheral blood appear to be reliable biomarkers of metadoxine treatment effects on behavior, and could potentially be used in clinical trials to identify patients who are more likely to respond to metadoxine treatment and as a tool to monitor clinical response over time.</w:t>
      </w:r>
    </w:p>
    <w:p>
      <w:pPr>
        <w:spacing w:after="0" w:line="195" w:lineRule="exact"/>
        <w:rPr>
          <w:sz w:val="20"/>
          <w:szCs w:val="20"/>
          <w:color w:val="auto"/>
        </w:rPr>
      </w:pPr>
    </w:p>
    <w:p>
      <w:pPr>
        <w:jc w:val="both"/>
        <w:ind w:firstLine="389"/>
        <w:spacing w:after="0" w:line="312" w:lineRule="auto"/>
        <w:rPr>
          <w:sz w:val="20"/>
          <w:szCs w:val="20"/>
          <w:color w:val="auto"/>
        </w:rPr>
      </w:pPr>
      <w:r>
        <w:rPr>
          <w:rFonts w:ascii="Arial" w:cs="Arial" w:eastAsia="Arial" w:hAnsi="Arial"/>
          <w:sz w:val="16"/>
          <w:szCs w:val="16"/>
          <w:color w:val="auto"/>
        </w:rPr>
        <w:t>Additional findings from this study showed that metadoxine treatment prevented the overabundance of poorly shaped, immature neurons in the hippocampal region of the brain and reduced exaggerated new protein synthesis in the same brain region. Overabundance of immature neurons and increased protein synthesis have been implicated in the pathophysiology of Fragile X Syndrome and are presumed to be responsible for impaired learning and memory.</w:t>
      </w:r>
    </w:p>
    <w:p>
      <w:pPr>
        <w:spacing w:after="0" w:line="147" w:lineRule="exact"/>
        <w:rPr>
          <w:sz w:val="20"/>
          <w:szCs w:val="20"/>
          <w:color w:val="auto"/>
        </w:rPr>
      </w:pPr>
    </w:p>
    <w:p>
      <w:pPr>
        <w:jc w:val="both"/>
        <w:ind w:firstLine="389"/>
        <w:spacing w:after="0" w:line="308" w:lineRule="auto"/>
        <w:rPr>
          <w:sz w:val="20"/>
          <w:szCs w:val="20"/>
          <w:color w:val="auto"/>
        </w:rPr>
      </w:pPr>
      <w:r>
        <w:rPr>
          <w:rFonts w:ascii="Arial" w:cs="Arial" w:eastAsia="Arial" w:hAnsi="Arial"/>
          <w:sz w:val="17"/>
          <w:szCs w:val="17"/>
          <w:color w:val="auto"/>
        </w:rPr>
        <w:t>Normalization of hippocampal abnormal neuronal morphology, exaggerated protein synthesis, hyperactivated Akt and ERK (2 signaling pathways involved in synaptic plasticity), and improvements in cognitive function deficits are consistent with a pro-cognitive effect of metadoxine.</w:t>
      </w:r>
    </w:p>
    <w:p>
      <w:pPr>
        <w:spacing w:after="0" w:line="147"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All assessments were scored blindly (raters were not aware of the treatment each mouse received). These findings suggest the potential to translate into a clinical trial of MDX in Fragile X.</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6" w:name="page47"/>
    <w:bookmarkEnd w:id="46"/>
    <w:p>
      <w:pPr>
        <w:ind w:left="400"/>
        <w:spacing w:after="0"/>
        <w:rPr>
          <w:sz w:val="20"/>
          <w:szCs w:val="20"/>
          <w:color w:val="auto"/>
        </w:rPr>
      </w:pPr>
      <w:r>
        <w:rPr>
          <w:rFonts w:ascii="Arial" w:cs="Arial" w:eastAsia="Arial" w:hAnsi="Arial"/>
          <w:sz w:val="18"/>
          <w:szCs w:val="18"/>
          <w:b w:val="1"/>
          <w:bCs w:val="1"/>
          <w:color w:val="auto"/>
        </w:rPr>
        <w:t>Phase 2 clinical trial</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currently conducting a Phase 2b 6-week, randomized, multicenter, placebo-controlled, double-blind, parallel group study of MDX once daily in approximately 60 adolescents and adults with Fragile X Syndrome. The study is being conducted at 12 clinical sites in the US and 1 clinical site in Israel. The primary assessment in the study is the inattentive subscale of the ADHD-Rating Scale IV (ADHD RS-IV). Secondary efficacy assessments include the total ADHD RS-IV score, behavior ratings, neurocognitive measures and a functional rating scale. Safety and tolerability of once-daily MDX treatment will be evaluated on the basis of adverse events, laboratory test results, ECG parameters, and vital sign measurements.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MDX Overview and Mechanism of Action</w:t>
      </w:r>
    </w:p>
    <w:p>
      <w:pPr>
        <w:spacing w:after="0" w:line="229"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MDX is a proprietary, combined rapid onset/extended release formulation of the chemical Pyridoxine Pyroglutamate, which is more commonly known as metadoxine. MDX consists of a single bi-layer oral tablet, which includes both a rapid onset release metadoxine formulation and a slow release metadoxine formulation together providing the desired dual release profile. The new extended-release formulation prolongs the human plasma levels of metadoxine for up to 12 hours, which results in enhanced efficacy benefits.</w:t>
      </w:r>
    </w:p>
    <w:p>
      <w:pPr>
        <w:spacing w:after="0" w:line="187"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issued patents and pending patent applications that may prevent the use of metadoxine by others to treat ADHD, Fragile X Syndrome and other cognitive disorders.</w:t>
      </w:r>
    </w:p>
    <w:p>
      <w:pPr>
        <w:spacing w:after="0" w:line="188" w:lineRule="exact"/>
        <w:rPr>
          <w:sz w:val="20"/>
          <w:szCs w:val="20"/>
          <w:color w:val="auto"/>
        </w:rPr>
      </w:pPr>
    </w:p>
    <w:p>
      <w:pPr>
        <w:jc w:val="both"/>
        <w:ind w:firstLine="389"/>
        <w:spacing w:after="0" w:line="285" w:lineRule="auto"/>
        <w:rPr>
          <w:sz w:val="20"/>
          <w:szCs w:val="20"/>
          <w:color w:val="auto"/>
        </w:rPr>
      </w:pPr>
      <w:r>
        <w:rPr>
          <w:rFonts w:ascii="Arial" w:cs="Arial" w:eastAsia="Arial" w:hAnsi="Arial"/>
          <w:sz w:val="16"/>
          <w:szCs w:val="16"/>
          <w:color w:val="auto"/>
        </w:rPr>
        <w:t>Normally, the levels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and reversed through enhancing the release, delivery and/or blocking the reuptake of neurotransmitters by their respective plasma transporters/receptors. All stimulants increase dopamine and norepinephrine levels. Atomoxetine (Strattera), the only non-stimulant approved for ADHD in adults, works through modulating norepinephrine. Our preclinical studies indicate that metadoxine exerts its effects through a monoamine-independent mechanism of action. A single oral administration of metadoxine was found to have no effect on dopamine, norepinephrine, or serotonin levels, as measured by dual-probe microdialysis in the frontal cortex and striatum of rats and also by in vivo proton magnetic resonance spectroscopy (1H-MRS) in the striatum of rats. In addition, and in contrast to approved ADHD pharmacotherapies, in vitro binding assays further detailed below revealed that metadoxine does not bind to any dopamine, norepinephrine, or serotonin transporters, or dopamine and norepinephrine receptors, while it binds significantly to the GABA transporter. Metadoxine was also found to have no effect on in vivo metabolites in the 1H-MRS imaging study mentioned above. Furthermore, metadoxine displays a dose-dependent, reversible reduction in the overall excitability and enhancement of GABAergic inhibitory transmission via presynaptic modulation in striatal medium spiny neurons, as measured by electrophysiologic recordings from mice corticostriatal slices. These findings were confirmed by pharmacologic magnetic resonance imaging (phMRI) of conscious rats demonstrating that single administration of metadoxine produced a significant decrease in blood-oxygen-level dependent (BOLD) signal (indicating reduced brain activity) in highly selective regions of the brain (including the prefrontal cortex, striatum, thalamus and cerebellum) related to executive function, learning and memory, motivation, information integration and processing, attention, and cognition. These neuronal circuits are known to be dysregulated in ADHD patients. In addition, none of the mesolimbic dopamine system brain regions (such as the nucleus accumbens), known to be involved in the reinforcing effects of stimulant medications, were significantly affected by metadoxine.</w:t>
      </w:r>
    </w:p>
    <w:p>
      <w:pPr>
        <w:spacing w:after="0" w:line="168"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Metadoxine was further tested in multiple animal abuse liability studies in order to assess its abuse potential. The self-administration, dependence/tolerance and drug discrimination studies revealed that (i) metadoxine does not serve as a positive reinforce in rats in comparison to methylphenidate, (ii) metadoxine does not produce either tolerance during prolonged administration nor a syndrome of behavioral and/or physical dependence on abrupt withdrawal in comparison to morphine and (ii) metadoxine does not generalize to d-amphetamine, indicating that it does not generate the stimulant discriminative effect evoked by amphetamine and methylphenidate. Altogether, these findings confirm and extend the phMRI data and further demonstrate that metadoxine is likely to be devoid of recreational abuse potential in humans.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jc w:val="both"/>
        <w:ind w:firstLine="389"/>
        <w:spacing w:after="0" w:line="226" w:lineRule="auto"/>
        <w:rPr>
          <w:sz w:val="20"/>
          <w:szCs w:val="20"/>
          <w:color w:val="auto"/>
        </w:rPr>
      </w:pPr>
      <w:r>
        <w:rPr>
          <w:rFonts w:ascii="Arial" w:cs="Arial" w:eastAsia="Arial" w:hAnsi="Arial"/>
          <w:sz w:val="17"/>
          <w:szCs w:val="17"/>
          <w:color w:val="auto"/>
        </w:rPr>
        <w:t>The neural networks operating in the brain are directed by various receptors and associated signals. One way to affect these networks is to identify a drug that binds to a specific site and inhibits the action of a specific protein or signal. In further investigating the proposed mechanism of action for MDX, over 80 different cellular targets, such as receptors and transporters, were tested in the laboratory for binding with metadoxine. Binding of metadoxine was tested on targets that are part of the muscarinic, adrenergic, dopamine, serotonin, glutamate and GABA, noradrenaline, opioid and cannabinoid networks. These networks each function to orchestrate different activities and signals in different regions of the brain using different protein agents. Metadoxine displayed extensive and highly specific receptor binding to only one of the serotonin receptors family members, named 5-HT</w:t>
      </w:r>
      <w:r>
        <w:rPr>
          <w:rFonts w:ascii="Arial" w:cs="Arial" w:eastAsia="Arial" w:hAnsi="Arial"/>
          <w:sz w:val="28"/>
          <w:szCs w:val="28"/>
          <w:color w:val="auto"/>
          <w:vertAlign w:val="subscript"/>
        </w:rPr>
        <w:t>2B.</w:t>
      </w:r>
      <w:r>
        <w:rPr>
          <w:rFonts w:ascii="Arial" w:cs="Arial" w:eastAsia="Arial" w:hAnsi="Arial"/>
          <w:sz w:val="17"/>
          <w:szCs w:val="17"/>
          <w:color w:val="auto"/>
        </w:rPr>
        <w:t xml:space="preserve"> Selectivity in binding is important because the goal is to bind only with the targeted receptor to achieve the desired therapeutic effect and not bind to other targets where it may have undesired side effects. The specific binding to 5-HT</w:t>
      </w:r>
      <w:r>
        <w:rPr>
          <w:rFonts w:ascii="Arial" w:cs="Arial" w:eastAsia="Arial" w:hAnsi="Arial"/>
          <w:sz w:val="28"/>
          <w:szCs w:val="28"/>
          <w:color w:val="auto"/>
          <w:vertAlign w:val="subscript"/>
        </w:rPr>
        <w:t>2B</w:t>
      </w:r>
      <w:r>
        <w:rPr>
          <w:rFonts w:ascii="Arial" w:cs="Arial" w:eastAsia="Arial" w:hAnsi="Arial"/>
          <w:sz w:val="17"/>
          <w:szCs w:val="17"/>
          <w:color w:val="auto"/>
        </w:rPr>
        <w:t xml:space="preserve"> was further characterized by a functional test in rat stomach fundus aimed at measuring whether metadoxine is an activator (agonist) or a deactivator (antagonist) of the 5-HT</w:t>
      </w:r>
      <w:r>
        <w:rPr>
          <w:rFonts w:ascii="Arial" w:cs="Arial" w:eastAsia="Arial" w:hAnsi="Arial"/>
          <w:sz w:val="28"/>
          <w:szCs w:val="28"/>
          <w:color w:val="auto"/>
          <w:vertAlign w:val="subscript"/>
        </w:rPr>
        <w:t>2B</w:t>
      </w:r>
      <w:r>
        <w:rPr>
          <w:rFonts w:ascii="Arial" w:cs="Arial" w:eastAsia="Arial" w:hAnsi="Arial"/>
          <w:sz w:val="17"/>
          <w:szCs w:val="17"/>
          <w:color w:val="auto"/>
        </w:rPr>
        <w:t xml:space="preserve"> receptor. This assay concluded that metadoxine shows no agonist activities on this receptor, while its entire activity is as an antagonist, thereby reducing binding of the natural molecules that normally attach this receptor. The dysregulation of serotonergic pathways has long been genetically implicated in the susceptibility of ADHD and the 5-HT</w:t>
      </w:r>
      <w:r>
        <w:rPr>
          <w:rFonts w:ascii="Arial" w:cs="Arial" w:eastAsia="Arial" w:hAnsi="Arial"/>
          <w:sz w:val="28"/>
          <w:szCs w:val="28"/>
          <w:color w:val="auto"/>
          <w:vertAlign w:val="subscript"/>
        </w:rPr>
        <w:t>2B</w:t>
      </w:r>
      <w:r>
        <w:rPr>
          <w:rFonts w:ascii="Arial" w:cs="Arial" w:eastAsia="Arial" w:hAnsi="Arial"/>
          <w:sz w:val="17"/>
          <w:szCs w:val="17"/>
          <w:color w:val="auto"/>
        </w:rPr>
        <w:t xml:space="preserve"> receptor has been associated with ADHD in studies exploring the hereditary basis of ADHD, as well as in studies that attempt to understand the molecular basis of this and other cognitive disorders.</w:t>
      </w:r>
    </w:p>
    <w:p>
      <w:pPr>
        <w:spacing w:after="0" w:line="80" w:lineRule="exact"/>
        <w:rPr>
          <w:sz w:val="20"/>
          <w:szCs w:val="20"/>
          <w:color w:val="auto"/>
        </w:rPr>
      </w:pPr>
    </w:p>
    <w:p>
      <w:pPr>
        <w:jc w:val="both"/>
        <w:ind w:firstLine="389"/>
        <w:spacing w:after="0" w:line="225" w:lineRule="auto"/>
        <w:rPr>
          <w:sz w:val="20"/>
          <w:szCs w:val="20"/>
          <w:color w:val="auto"/>
        </w:rPr>
      </w:pPr>
      <w:r>
        <w:rPr>
          <w:rFonts w:ascii="Arial" w:cs="Arial" w:eastAsia="Arial" w:hAnsi="Arial"/>
          <w:sz w:val="18"/>
          <w:szCs w:val="18"/>
          <w:color w:val="auto"/>
        </w:rPr>
        <w:t>Certain serotonin receptors, including 5-HT</w:t>
      </w:r>
      <w:r>
        <w:rPr>
          <w:rFonts w:ascii="Arial" w:cs="Arial" w:eastAsia="Arial" w:hAnsi="Arial"/>
          <w:sz w:val="30"/>
          <w:szCs w:val="30"/>
          <w:color w:val="auto"/>
          <w:vertAlign w:val="subscript"/>
        </w:rPr>
        <w:t>2B</w:t>
      </w:r>
      <w:r>
        <w:rPr>
          <w:rFonts w:ascii="Arial" w:cs="Arial" w:eastAsia="Arial" w:hAnsi="Arial"/>
          <w:sz w:val="18"/>
          <w:szCs w:val="18"/>
          <w:color w:val="auto"/>
        </w:rPr>
        <w:t xml:space="preserve">, are purportedly capable of activating the ERK and Akt pathways directly, rather than exclusively through indirect activation via the synthesis of peptide growth factors. The reduction of ERK and Akt hyperactivation observed in </w:t>
      </w:r>
      <w:r>
        <w:rPr>
          <w:rFonts w:ascii="Arial" w:cs="Arial" w:eastAsia="Arial" w:hAnsi="Arial"/>
          <w:sz w:val="18"/>
          <w:szCs w:val="18"/>
          <w:i w:val="1"/>
          <w:iCs w:val="1"/>
          <w:color w:val="auto"/>
        </w:rPr>
        <w:t>Fmr1</w:t>
      </w:r>
      <w:r>
        <w:rPr>
          <w:rFonts w:ascii="Arial" w:cs="Arial" w:eastAsia="Arial" w:hAnsi="Arial"/>
          <w:sz w:val="18"/>
          <w:szCs w:val="18"/>
          <w:color w:val="auto"/>
        </w:rPr>
        <w:t xml:space="preserve"> KO mice after metadoxine treatment may be due in part to antagonism of 5-HT</w:t>
      </w:r>
      <w:r>
        <w:rPr>
          <w:rFonts w:ascii="Arial" w:cs="Arial" w:eastAsia="Arial" w:hAnsi="Arial"/>
          <w:sz w:val="30"/>
          <w:szCs w:val="30"/>
          <w:color w:val="auto"/>
          <w:vertAlign w:val="subscript"/>
        </w:rPr>
        <w:t>2B</w:t>
      </w:r>
      <w:r>
        <w:rPr>
          <w:rFonts w:ascii="Arial" w:cs="Arial" w:eastAsia="Arial" w:hAnsi="Arial"/>
          <w:sz w:val="18"/>
          <w:szCs w:val="18"/>
          <w:color w:val="auto"/>
        </w:rPr>
        <w:t xml:space="preserve"> receptors in the central nervous system. Therefore, the pro-cognitive effects of metadoxine may result from the normalization of these pathways thought to be involved in synaptic plasticity.</w:t>
      </w:r>
    </w:p>
    <w:p>
      <w:pPr>
        <w:spacing w:after="0" w:line="73" w:lineRule="exact"/>
        <w:rPr>
          <w:sz w:val="20"/>
          <w:szCs w:val="20"/>
          <w:color w:val="auto"/>
        </w:rPr>
      </w:pPr>
    </w:p>
    <w:p>
      <w:pPr>
        <w:jc w:val="both"/>
        <w:ind w:firstLine="389"/>
        <w:spacing w:after="0" w:line="275" w:lineRule="auto"/>
        <w:rPr>
          <w:sz w:val="20"/>
          <w:szCs w:val="20"/>
          <w:color w:val="auto"/>
        </w:rPr>
      </w:pPr>
      <w:r>
        <w:rPr>
          <w:rFonts w:ascii="Arial" w:cs="Arial" w:eastAsia="Arial" w:hAnsi="Arial"/>
          <w:sz w:val="17"/>
          <w:szCs w:val="17"/>
          <w:color w:val="auto"/>
        </w:rPr>
        <w:t>Our working hypothesis is therefore that treatment of metadoxine, a selective antagonist of 5-HT</w:t>
      </w:r>
      <w:r>
        <w:rPr>
          <w:rFonts w:ascii="Arial" w:cs="Arial" w:eastAsia="Arial" w:hAnsi="Arial"/>
          <w:sz w:val="28"/>
          <w:szCs w:val="28"/>
          <w:color w:val="auto"/>
          <w:vertAlign w:val="subscript"/>
        </w:rPr>
        <w:t>2B</w:t>
      </w:r>
      <w:r>
        <w:rPr>
          <w:rFonts w:ascii="Arial" w:cs="Arial" w:eastAsia="Arial" w:hAnsi="Arial"/>
          <w:sz w:val="17"/>
          <w:szCs w:val="17"/>
          <w:color w:val="auto"/>
        </w:rPr>
        <w:t xml:space="preserve"> receptors may inhibit Akt and ERK signaling, and thus mediate a potential therapeutic benefit in neuronal impairment by facilitating synaptic plasticity underlying learning and memory. In support of this hypothesis, we observed a dose-dependent reduction of the overall synaptic excitability, enhanced GABAergic inhibitory synaptic transmission and specific phMRI profile of reduced brain activity, indicating that metadoxine may rescue neuronal hyperexcitability and neuronal circuit dysfunctions and may be beneficial in several neurodevelopmental disorders, such as FXS in whom there is excitatory/inhibitory synaptic transmission imbalance.</w:t>
      </w:r>
    </w:p>
    <w:p>
      <w:pPr>
        <w:spacing w:after="0" w:line="174" w:lineRule="exact"/>
        <w:rPr>
          <w:sz w:val="20"/>
          <w:szCs w:val="20"/>
          <w:color w:val="auto"/>
        </w:rPr>
      </w:pPr>
    </w:p>
    <w:p>
      <w:pPr>
        <w:jc w:val="both"/>
        <w:ind w:firstLine="389"/>
        <w:spacing w:after="0" w:line="221" w:lineRule="auto"/>
        <w:rPr>
          <w:sz w:val="20"/>
          <w:szCs w:val="20"/>
          <w:color w:val="auto"/>
        </w:rPr>
      </w:pPr>
      <w:r>
        <w:rPr>
          <w:rFonts w:ascii="Arial" w:cs="Arial" w:eastAsia="Arial" w:hAnsi="Arial"/>
          <w:sz w:val="18"/>
          <w:szCs w:val="18"/>
          <w:color w:val="auto"/>
        </w:rPr>
        <w:t>In summary, we believe that MDX demonstrates a novel and unique monoamine-independent mechanism of action characterized by selective antagonism of 5-HT</w:t>
      </w:r>
      <w:r>
        <w:rPr>
          <w:rFonts w:ascii="Arial" w:cs="Arial" w:eastAsia="Arial" w:hAnsi="Arial"/>
          <w:sz w:val="30"/>
          <w:szCs w:val="30"/>
          <w:color w:val="auto"/>
          <w:vertAlign w:val="subscript"/>
        </w:rPr>
        <w:t>2B</w:t>
      </w:r>
      <w:r>
        <w:rPr>
          <w:rFonts w:ascii="Arial" w:cs="Arial" w:eastAsia="Arial" w:hAnsi="Arial"/>
          <w:sz w:val="18"/>
          <w:szCs w:val="18"/>
          <w:color w:val="auto"/>
        </w:rPr>
        <w:t xml:space="preserve"> receptor and facilitation of GABAergic inhibitory transmission. These characteristics indicate that metadoxine is a potential novel pro-cognitive agent with a well-established safety profile and putatively low risk of abuse with the potential to treat neurocognitive disorders such as ADHD and FXS.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In 2014, Mr. David Baker joined Alcobra as Chief Commercial Officer to lead the pre-commercialization activity. However, we currently do not have any internal sales or distribution infrastructure. In the event we receive regulatory approval for MDX, we intend, where appropriate, to pursue commercialization relationships with pharmaceutical companies and other strategic partners providing for distribution through their sales and marketing organizations, or build an internal commercial infrastructure.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200" w:firstLine="415"/>
        <w:spacing w:after="0" w:line="264" w:lineRule="auto"/>
        <w:rPr>
          <w:sz w:val="20"/>
          <w:szCs w:val="20"/>
          <w:color w:val="auto"/>
        </w:rPr>
      </w:pPr>
      <w:r>
        <w:rPr>
          <w:rFonts w:ascii="Arial" w:cs="Arial" w:eastAsia="Arial" w:hAnsi="Arial"/>
          <w:sz w:val="18"/>
          <w:szCs w:val="18"/>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MDX will be made on a plan by plan basis.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ind w:right="20" w:firstLine="415"/>
        <w:spacing w:after="0" w:line="297" w:lineRule="auto"/>
        <w:rPr>
          <w:sz w:val="20"/>
          <w:szCs w:val="20"/>
          <w:color w:val="auto"/>
        </w:rPr>
      </w:pPr>
      <w:r>
        <w:rPr>
          <w:rFonts w:ascii="Arial" w:cs="Arial" w:eastAsia="Arial" w:hAnsi="Arial"/>
          <w:sz w:val="16"/>
          <w:szCs w:val="16"/>
          <w:color w:val="auto"/>
        </w:rPr>
        <w:t>Within the Medicare program, as a self-administered drug, MDX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58" w:lineRule="exact"/>
        <w:rPr>
          <w:sz w:val="20"/>
          <w:szCs w:val="20"/>
          <w:color w:val="auto"/>
        </w:rPr>
      </w:pPr>
    </w:p>
    <w:p>
      <w:pPr>
        <w:ind w:right="220" w:firstLine="416"/>
        <w:spacing w:after="0" w:line="255" w:lineRule="auto"/>
        <w:rPr>
          <w:sz w:val="20"/>
          <w:szCs w:val="20"/>
          <w:color w:val="auto"/>
        </w:rPr>
      </w:pPr>
      <w:r>
        <w:rPr>
          <w:rFonts w:ascii="Arial" w:cs="Arial" w:eastAsia="Arial" w:hAnsi="Arial"/>
          <w:sz w:val="18"/>
          <w:szCs w:val="18"/>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We are conducting development activities to expand the commercial potential of MDX. We sponsor and conduct clinical research activities with investigators and institutions to measure key clinical outcomes that are necessary in order for us to be able to file an NDA with the FDA and equivalent filings with other regulatory authorities. For the years ended December 31, 2014, 2013 and 2012, we incurred $25,105,000, $7,066,000 and $818,000, respectively, of research and development expense.</w:t>
      </w:r>
    </w:p>
    <w:p>
      <w:pPr>
        <w:spacing w:after="0" w:line="187"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Our recently completed Phase 3 clinical trial in adults with ADHD was conducted at 20 clinical sites: 18 in the United States and 2 in Israel. Our Phase 2 trial in pediatric ADHD is being conducted at 6 clinical sites in Israel. Our Phase 2b trial in Fragile X is being conducted at 13 active sites: 12 in the United States and 1 in Israel. In connection with such efforts we engaged third parties, including a CRO, and entered into customary clinical trials agreements with the clinical sites.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from the Office of the Israeli Chief Scientist</w:t>
      </w:r>
    </w:p>
    <w:p>
      <w:pPr>
        <w:spacing w:after="0" w:line="229"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Our research and development efforts, during the period between May 1, 2009 and April 30, 2010, were financed in part through royalty-bearing grants, in an amount of $106,494 that we received from the OCS. With respect to such grants we are committed to pay certain royalties. Regardless of any royalty payment, we are further required to comply with the requirements of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We do not believe that these requirements will materially restrict us in any way.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7" w:lineRule="exact"/>
        <w:rPr>
          <w:sz w:val="20"/>
          <w:szCs w:val="20"/>
          <w:color w:val="auto"/>
        </w:rPr>
      </w:pPr>
    </w:p>
    <w:p>
      <w:pPr>
        <w:ind w:right="20" w:firstLine="416"/>
        <w:spacing w:after="0" w:line="252" w:lineRule="auto"/>
        <w:rPr>
          <w:sz w:val="20"/>
          <w:szCs w:val="20"/>
          <w:color w:val="auto"/>
        </w:rPr>
      </w:pPr>
      <w:r>
        <w:rPr>
          <w:rFonts w:ascii="Arial" w:cs="Arial" w:eastAsia="Arial" w:hAnsi="Arial"/>
          <w:sz w:val="18"/>
          <w:szCs w:val="18"/>
          <w:color w:val="auto"/>
        </w:rPr>
        <w:t>We currently have no manufacturing facilities and no personnel with commercial-scale manufacturing experience. We currently rely on third-party manufacturers to produce bulk drug substance and drug products required for our clinical trials, respectively. We have entered into a customary clinical trial material manufacturing agreement.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194" w:lineRule="exact"/>
        <w:rPr>
          <w:sz w:val="20"/>
          <w:szCs w:val="20"/>
          <w:color w:val="auto"/>
        </w:rPr>
      </w:pPr>
    </w:p>
    <w:p>
      <w:pPr>
        <w:ind w:right="300" w:firstLine="416"/>
        <w:spacing w:after="0" w:line="264" w:lineRule="auto"/>
        <w:rPr>
          <w:sz w:val="20"/>
          <w:szCs w:val="20"/>
          <w:color w:val="auto"/>
        </w:rPr>
      </w:pPr>
      <w:r>
        <w:rPr>
          <w:rFonts w:ascii="Arial" w:cs="Arial" w:eastAsia="Arial" w:hAnsi="Arial"/>
          <w:sz w:val="18"/>
          <w:szCs w:val="18"/>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ind w:right="60" w:firstLine="416"/>
        <w:spacing w:after="0" w:line="273" w:lineRule="auto"/>
        <w:rPr>
          <w:sz w:val="20"/>
          <w:szCs w:val="20"/>
          <w:color w:val="auto"/>
        </w:rPr>
      </w:pPr>
      <w:r>
        <w:rPr>
          <w:rFonts w:ascii="Arial" w:cs="Arial" w:eastAsia="Arial" w:hAnsi="Arial"/>
          <w:sz w:val="17"/>
          <w:szCs w:val="17"/>
          <w:color w:val="auto"/>
        </w:rPr>
        <w:t>Our third-party manufacturers, their facilities and all lots of drug substance and drug products used in our clinical trials are required to be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face competition from established pharmaceutical companies that currently market a wide range of drugs to treat ADHD and symptoms of Fragile X. All of these competitors have far greater marketing and research capabilities than we do. We also face potential competition from academic institutions, government agencies and private and public research institutions, among others, which may in the future develop products to treat ADHD and Fragile X. All of these companies and institutions may have products in development that are superior to MDX. Our commercial opportunity would be reduced significantly if our competitors develop and commercialize products that are safer, more effective, more convenient, have fewer side effects or are less expensive than MDX. Public announcements regarding the development of competing drugs could adversely affect the price of our stock and the commercial potential of MDX.</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260" w:firstLine="416"/>
        <w:spacing w:after="0" w:line="279" w:lineRule="auto"/>
        <w:rPr>
          <w:sz w:val="20"/>
          <w:szCs w:val="20"/>
          <w:color w:val="auto"/>
        </w:rPr>
      </w:pPr>
      <w:r>
        <w:rPr>
          <w:rFonts w:ascii="Arial" w:cs="Arial" w:eastAsia="Arial" w:hAnsi="Arial"/>
          <w:sz w:val="17"/>
          <w:szCs w:val="17"/>
          <w:color w:val="auto"/>
        </w:rPr>
        <w:t>We seek patent protection in the United States and internationally for MDX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7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have three patents issued in the United States and three patents issued in other jurisdictions. We cannot be sure that any additional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7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intellectual property rights, and will make it more difficult to monitor and enforce any patent rights that may be issued to us.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success depends in part on our ability to:</w:t>
      </w:r>
    </w:p>
    <w:p>
      <w:pPr>
        <w:spacing w:after="0" w:line="225" w:lineRule="exact"/>
        <w:rPr>
          <w:sz w:val="20"/>
          <w:szCs w:val="20"/>
          <w:color w:val="auto"/>
        </w:rPr>
      </w:pPr>
    </w:p>
    <w:p>
      <w:pPr>
        <w:ind w:left="920" w:hanging="453"/>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preserve trade secrets;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operate our business without infringing the patents and proprietary rights of third parties, both in the United States and internationally.</w:t>
      </w:r>
    </w:p>
    <w:p>
      <w:pPr>
        <w:spacing w:after="0" w:line="23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Regulation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Clinical trials, the drug approval process, and the marketing of drugs are intensively regulated in the United States and in all major foreign countries.</w:t>
      </w:r>
    </w:p>
    <w:p>
      <w:pPr>
        <w:spacing w:after="0" w:line="248"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7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87"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or delay regulatory approval of MDX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required by the FDA before drugs may be marketed in the United States generally involves the following:</w:t>
      </w:r>
    </w:p>
    <w:p>
      <w:pPr>
        <w:spacing w:after="0" w:line="225" w:lineRule="exact"/>
        <w:rPr>
          <w:sz w:val="20"/>
          <w:szCs w:val="20"/>
          <w:color w:val="auto"/>
        </w:rPr>
      </w:pPr>
    </w:p>
    <w:p>
      <w:pPr>
        <w:ind w:left="920" w:hanging="453"/>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nonclinical laboratory and animal tests;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submission of an IND application which must become effective before clinical trials may begin;</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adequate and well-controlled human clinical trials to establish the safety and efficacy of the proposed drug for its intended use or uses;</w:t>
      </w:r>
    </w:p>
    <w:p>
      <w:pPr>
        <w:spacing w:after="0" w:line="236" w:lineRule="exact"/>
        <w:rPr>
          <w:rFonts w:ascii="Arial" w:cs="Arial" w:eastAsia="Arial" w:hAnsi="Arial"/>
          <w:sz w:val="17"/>
          <w:szCs w:val="17"/>
          <w:color w:val="auto"/>
        </w:rPr>
      </w:pPr>
    </w:p>
    <w:p>
      <w:pPr>
        <w:ind w:left="920" w:hanging="453"/>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clinical trial sites;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FDA approval of an NDA which must occur before a drug can be marketed or sold.</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testing and approval process requires substantial time and financial resources, and we cannot be certain that any approvals for MDX will be granted on a timely basis if at all.</w:t>
      </w:r>
    </w:p>
    <w:p>
      <w:pPr>
        <w:spacing w:after="0" w:line="170"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We will need to successfully complete extensive additional clinical trials in order to be in a position to submit a new drug application to the FDA. Our planned future clinical trials for MDX may not begin or be completed on schedule, if at all. Clinical trials can be delayed for a variety of reasons, including delays in:</w:t>
      </w:r>
    </w:p>
    <w:p>
      <w:pPr>
        <w:spacing w:after="0" w:line="181" w:lineRule="exact"/>
        <w:rPr>
          <w:sz w:val="20"/>
          <w:szCs w:val="20"/>
          <w:color w:val="auto"/>
        </w:rPr>
      </w:pPr>
    </w:p>
    <w:p>
      <w:pPr>
        <w:ind w:left="920" w:hanging="453"/>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regulatory approval to commence a study;</w:t>
      </w:r>
    </w:p>
    <w:p>
      <w:pPr>
        <w:spacing w:after="0" w:line="225" w:lineRule="exact"/>
        <w:rPr>
          <w:rFonts w:ascii="Arial" w:cs="Arial" w:eastAsia="Arial" w:hAnsi="Arial"/>
          <w:sz w:val="18"/>
          <w:szCs w:val="18"/>
          <w:color w:val="auto"/>
        </w:rPr>
      </w:pPr>
    </w:p>
    <w:p>
      <w:pPr>
        <w:ind w:left="920" w:right="180" w:hanging="453"/>
        <w:spacing w:after="0" w:line="277"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reaching agreement with third-party clinical trial sites and their subsequent performance in conducting accurate and reliable studies on a timely basis;</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study at a prospective site;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p>
      <w:pPr>
        <w:ind w:left="920" w:hanging="453"/>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recruiting subjects to participate in a study;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supply of the drug.</w:t>
      </w:r>
    </w:p>
    <w:p>
      <w:pPr>
        <w:spacing w:after="0" w:line="225"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73"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objective is to conduct additional clinical trials for MDX in adults and children and, if those trials are successful, seek marketing approval from the FDA and other worldwide regulatory bodies. To achieve this objective, we plan to complete at least one additional Phase 3 clinical trial of MDX for the treatment of ADHD in adults, and, if successful, proceed with two adequate and well controlled clinical trials in the pediatric ADHD population. The first NDA submission is expected to be in the United States. We completed a Phase 2b trial in 2011 and a Phase 3 study in 2014. A meeting with the FDA is planned in the first quarter of 2015. We plan to follow this process also with respect to the other cognitive disorders, such as Fragile X.</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NDA approval, human clinical trials are typically conducted in phases that may overlap.</w:t>
      </w:r>
    </w:p>
    <w:p>
      <w:pPr>
        <w:spacing w:after="0" w:line="225" w:lineRule="exact"/>
        <w:rPr>
          <w:sz w:val="20"/>
          <w:szCs w:val="20"/>
          <w:color w:val="auto"/>
        </w:rPr>
      </w:pPr>
    </w:p>
    <w:p>
      <w:pPr>
        <w:ind w:left="920" w:right="40" w:hanging="453"/>
        <w:spacing w:after="0" w:line="286" w:lineRule="auto"/>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The drug is initially introduced into healthy human subjects and tested for safety, dosage tolerance, absorption, metabolism,</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and excretion. In the case of some products for severe or life-threatening diseases, especially when the product may be too inherently toxic to ethically administer to healthy volunteers, the initial human testing is often conducted in patients.</w:t>
      </w:r>
    </w:p>
    <w:p>
      <w:pPr>
        <w:spacing w:after="0" w:line="165" w:lineRule="exact"/>
        <w:rPr>
          <w:rFonts w:ascii="Arial" w:cs="Arial" w:eastAsia="Arial" w:hAnsi="Arial"/>
          <w:sz w:val="17"/>
          <w:szCs w:val="17"/>
          <w:color w:val="auto"/>
        </w:rPr>
      </w:pPr>
    </w:p>
    <w:p>
      <w:pPr>
        <w:ind w:left="920" w:right="20" w:hanging="453"/>
        <w:spacing w:after="0" w:line="259"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This phase involves trials in a limited subject population to identify possible adverse effects and safety risks, to preliminarily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efficacy of the product for specific targeted diseases and to determine dosage tolerance and optimal dosage. Phase 2 studies may be sub-categorized to Phase 2a studies which are smaller, pilot studies to evaluate limited drug exposure and efficacy signals, and Phase 2b studies which are larger studies testing more rigorously both safety and efficacy.</w:t>
      </w:r>
    </w:p>
    <w:p>
      <w:pPr>
        <w:spacing w:after="0" w:line="186" w:lineRule="exact"/>
        <w:rPr>
          <w:rFonts w:ascii="Arial" w:cs="Arial" w:eastAsia="Arial" w:hAnsi="Arial"/>
          <w:sz w:val="18"/>
          <w:szCs w:val="18"/>
          <w:color w:val="auto"/>
        </w:rPr>
      </w:pPr>
    </w:p>
    <w:p>
      <w:pPr>
        <w:ind w:left="920" w:right="300" w:hanging="453"/>
        <w:spacing w:after="0" w:line="264"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This phase involves adequate and well controlled trials undertaken to further evaluate dosage, clinical efficacy and safety in an</w:t>
      </w:r>
      <w:r>
        <w:rPr>
          <w:rFonts w:ascii="Arial" w:cs="Arial" w:eastAsia="Arial" w:hAnsi="Arial"/>
          <w:sz w:val="18"/>
          <w:szCs w:val="18"/>
          <w:i w:val="1"/>
          <w:iCs w:val="1"/>
          <w:color w:val="auto"/>
        </w:rPr>
        <w:t xml:space="preserve"> </w:t>
      </w:r>
      <w:r>
        <w:rPr>
          <w:rFonts w:ascii="Arial" w:cs="Arial" w:eastAsia="Arial" w:hAnsi="Arial"/>
          <w:sz w:val="18"/>
          <w:szCs w:val="18"/>
          <w:color w:val="auto"/>
        </w:rPr>
        <w:t>expanded subject population, often at geographically dispersed clinical trial sites. These trials are intended to establish the overall risk/benefit ratio of the product and provide an adequate basis for product labeling.</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All of these trials must be conducted in accordance with good clinical practice requirements in order for the data to be considered reliable for regulatory purposes.</w:t>
      </w:r>
    </w:p>
    <w:p>
      <w:pPr>
        <w:spacing w:after="0" w:line="1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Typically, if a drug product is intended to treat a chronic disease, as is the case with MDX when it is intended to treat ADHD and Fragile X, safety and efficacy data must be gathered over an extended period of time, which can range from 12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MDX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NDA Approval Process</w:t>
      </w:r>
    </w:p>
    <w:p>
      <w:pPr>
        <w:spacing w:after="0" w:line="22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(such as with Orphan Drug Designation).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ind w:right="140" w:firstLine="405"/>
        <w:spacing w:after="0" w:line="271" w:lineRule="auto"/>
        <w:rPr>
          <w:sz w:val="20"/>
          <w:szCs w:val="20"/>
          <w:color w:val="auto"/>
        </w:rPr>
      </w:pPr>
      <w:r>
        <w:rPr>
          <w:rFonts w:ascii="Arial" w:cs="Arial" w:eastAsia="Arial" w:hAnsi="Arial"/>
          <w:sz w:val="17"/>
          <w:szCs w:val="17"/>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7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Based on pivotal Phase 3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8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87" w:lineRule="exact"/>
        <w:rPr>
          <w:sz w:val="20"/>
          <w:szCs w:val="20"/>
          <w:color w:val="auto"/>
        </w:rPr>
      </w:pPr>
    </w:p>
    <w:p>
      <w:pPr>
        <w:jc w:val="both"/>
        <w:ind w:right="320" w:firstLine="450"/>
        <w:spacing w:after="0" w:line="264"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Additionally, before approving an NDA, the FDA may inspect one or more clinical sites to assure compliance with good clinical practices, or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9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8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for continuing drug approval. The results of Phase 4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8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Any approvals that we may ultimately receive could be withdrawn if required post-marketing trials or analyses do not meet the FDA requirements, which could materially harm the commercial prospects for MDX.</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ind w:firstLine="405"/>
        <w:spacing w:after="0" w:line="255" w:lineRule="auto"/>
        <w:rPr>
          <w:sz w:val="20"/>
          <w:szCs w:val="20"/>
          <w:color w:val="auto"/>
        </w:rPr>
      </w:pPr>
      <w:r>
        <w:rPr>
          <w:rFonts w:ascii="Arial" w:cs="Arial" w:eastAsia="Arial" w:hAnsi="Arial"/>
          <w:sz w:val="18"/>
          <w:szCs w:val="18"/>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Prescription Drug User Fee Act review cycle, the approval date may be delayed. Once adopted, REMS are subject to periodic assessment and modification.</w:t>
      </w:r>
    </w:p>
    <w:p>
      <w:pPr>
        <w:spacing w:after="0" w:line="193"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MDX, or obtaining approval but for significantly limited use, would harm our business. In addition, we cannot predict what adverse governmental regulations may arise from future U.S. or foreign governmental action.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received Orphan Drug Designation for metadoxine, the active ingredient in MDX for the treatment of Fragile X Syndrome in the United States.</w:t>
      </w:r>
    </w:p>
    <w:p>
      <w:pPr>
        <w:spacing w:after="0" w:line="23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Drug Designation is intended to assist and encourage companies to develop safe and effective therapies for the treatment of rare diseases and disorders. In addition to providing a seven year term of market exclusivity upon final FDA approval, orphan drug designation also positions a company to be able to leverage a wide range of financial and regulatory benefits, including government grants for conducting clinical trials, waiver of expensive FDA user fees for the potential submission of a New Drug Application, and certain tax credits.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78"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or biological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 in the European Union.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4" w:name="page55"/>
    <w:bookmarkEnd w:id="54"/>
    <w:p>
      <w:pPr>
        <w:ind w:left="420"/>
        <w:spacing w:after="0"/>
        <w:rPr>
          <w:sz w:val="20"/>
          <w:szCs w:val="20"/>
          <w:color w:val="auto"/>
        </w:rPr>
      </w:pPr>
      <w:r>
        <w:rPr>
          <w:rFonts w:ascii="Arial" w:cs="Arial" w:eastAsia="Arial" w:hAnsi="Arial"/>
          <w:sz w:val="18"/>
          <w:szCs w:val="18"/>
          <w:b w:val="1"/>
          <w:bCs w:val="1"/>
          <w:i w:val="1"/>
          <w:iCs w:val="1"/>
          <w:color w:val="auto"/>
        </w:rPr>
        <w:t>Labeling, Marketing and Promotion</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The Pediatric Research Equity Act, or PREA, amended the FDCA to authorize the FDA to require certain research into drugs used in pediatric patients. The intent of the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 The FDA may decide that an NDA will be approved only following completion of additional pediatric studies.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8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8"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181"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There are also an increasing number of state laws that require manufacturers to make reports to states on pricing and marketing information. Many of these laws contain ambiguities as to what is required to comply with the laws. In addition, a similar federal requirement Section 6002 of the PPACA, commonly referred to as the “Physical Payments Sunshine Act” requires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ind w:left="420"/>
        <w:spacing w:after="0"/>
        <w:rPr>
          <w:sz w:val="20"/>
          <w:szCs w:val="20"/>
          <w:color w:val="auto"/>
        </w:rPr>
      </w:pPr>
      <w:r>
        <w:rPr>
          <w:rFonts w:ascii="Arial" w:cs="Arial" w:eastAsia="Arial" w:hAnsi="Arial"/>
          <w:sz w:val="18"/>
          <w:szCs w:val="18"/>
          <w:b w:val="1"/>
          <w:bCs w:val="1"/>
          <w:i w:val="1"/>
          <w:iCs w:val="1"/>
          <w:color w:val="auto"/>
        </w:rPr>
        <w:t>Patient Protection and Affordable Health Care Act</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mentioned, in March 2010, the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8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Many of the details regarding the implementation of PPACA are yet to be determined, and at this time, it remains unclear the full effect that PPACA would have on our business.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4.C.</w:t>
      </w:r>
      <w:r>
        <w:rPr>
          <w:sz w:val="20"/>
          <w:szCs w:val="20"/>
          <w:color w:val="auto"/>
        </w:rPr>
        <w:tab/>
      </w:r>
      <w:r>
        <w:rPr>
          <w:rFonts w:ascii="Arial" w:cs="Arial" w:eastAsia="Arial" w:hAnsi="Arial"/>
          <w:sz w:val="16"/>
          <w:szCs w:val="16"/>
          <w:b w:val="1"/>
          <w:bCs w:val="1"/>
          <w:color w:val="auto"/>
        </w:rPr>
        <w:t>Organizational structure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sole wholly-owned subsidiary is Alcobra, Inc., incorporated in the United States.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4.D.</w:t>
      </w:r>
      <w:r>
        <w:rPr>
          <w:sz w:val="20"/>
          <w:szCs w:val="20"/>
          <w:color w:val="auto"/>
        </w:rPr>
        <w:tab/>
      </w:r>
      <w:r>
        <w:rPr>
          <w:rFonts w:ascii="Arial" w:cs="Arial" w:eastAsia="Arial" w:hAnsi="Arial"/>
          <w:sz w:val="16"/>
          <w:szCs w:val="16"/>
          <w:b w:val="1"/>
          <w:bCs w:val="1"/>
          <w:color w:val="auto"/>
        </w:rPr>
        <w:t>Property, plants and equipment</w:t>
      </w:r>
    </w:p>
    <w:p>
      <w:pPr>
        <w:spacing w:after="0" w:line="229"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Our headquarters is currently located in Tel Aviv, Israel and consists of approximately 3,200 square feet of leased office space under a lease for three years, starting April 17, 2014. We have also leased an additional office in Petah Tikva, Israel of approximately 1,400 square feet. Our wholly owned subsidiary, Alcobra Inc. leases an office for our U.S. employees in the greater Philadelphia area, with approximately 500 square feet. We believe that our existing and planned facilities are adequate to meet our current needs and that suitable additional alternative spaces will be available in the future on commercially reasonable terms.</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consider that our current office space is sufficient to meet our anticipated needs for the foreseeable future and is suitable for the conduct of our business.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oral drug candidate, MDX, to treat ADHD and other cognitive dysfunctions including Fragile X Syndrome. 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Metadoxine has been available since the 1980s only in immediate release forms for the acute treatment of alcohol intoxication and the chronic treatment of alcoholic liver disease in Italy, Portugal, Hungary, Russia, India, China, Mexico and Thailand. In September 2011, we completed a 120 subject double-blind placebo-controlled Phase 2 study in adult ADHD subjects in Israel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 In December 2013, we completed an additional 36 subject double-blind placebo-controlled Phase 2 study in adult ADHD confirming our previous findings and highlighting the rapid onset of the drug, demonstrating efficacy over placebo from the first day of dosing. In October 2014, we announced the results of a 300 subject double-blind placebo-controlled Phase 3 study in adult ADHD in 20 sites (18 in the United States and 2 in Israel). The study’s primary efficacy endpoint did not reach statistical significance. A non-significant favorable trend was observed on the primary endpoint. Other secondary measures showed strong or statistically significant trends. Similar to previous studies, the drug showed a favorable safety profile.</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jc w:val="both"/>
        <w:ind w:firstLine="405"/>
        <w:spacing w:after="0" w:line="264" w:lineRule="auto"/>
        <w:rPr>
          <w:sz w:val="20"/>
          <w:szCs w:val="20"/>
          <w:color w:val="auto"/>
        </w:rPr>
      </w:pPr>
      <w:r>
        <w:rPr>
          <w:rFonts w:ascii="Arial" w:cs="Arial" w:eastAsia="Arial" w:hAnsi="Arial"/>
          <w:sz w:val="18"/>
          <w:szCs w:val="18"/>
          <w:color w:val="auto"/>
        </w:rPr>
        <w:t>Pending discussions with the FDA and with their agreement, we plan to initiate a second Phase 3 study clinical trial in the United States for the use of MDX to treat ADHD in adults. The design of this trial will incorporate lessons learned from the first Phase 3 such as improved powering assumptions, duration of treatment, frequency and duration of trial visits, and patient selection and enrichment methods.</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initiated a Phase 2 study in pediatric ADHD in Israel and expect to announce the results of the study in the first quarter of 2015. The requirements to conduct pediatric clinical trials are more stringent than those for adults.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the data from these and future clinical trials demonstrate the safety and efficacy of MDX, we will seek to obtain marketing approval from the FDA for MDX for use in ADHD. We have similar plans to seek marketing approval in the European Union, Japan and other territories.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currently conducting a Phase 2b clinical trial of MDX in approximately 60 adolescents and adults with Fragile X Syndrome. The study is being conducted at 12 clinical sites in the US and 1 clinical site in Israel. We expect to announce the results of the study in the second quarter of 2015. If the data from this and future clinical trials support it, we plan to request a marketing authorization.</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multiple claims in our issued and pending patents and patent applications that, if issued, would prevent the use by others of metadoxine and MDX to treat ADHD, Fragile X Syndrome and other cognitive disorders. In addition, the FDA has granted Orphan Drug status to metadoxine for treatment of Fragile X Syndrome.</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 date, we have not generated revenue from the sale of any product, and we do not expect to generate significant revenue unless and until we obtain marketing approval of, and commercialize, MDX. As of December 31, 2014, we had an accumulated deficit of $51.6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current operating expenses consist of three components – research and development expenses, pre-commercialization expenses and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research and development expenses consist primarily of expenses related to third party clinical consultants and expenses related to conducting clinical and preclinical trials, salaries and related personnel expenses, share-based compensation expenses, travel expenses and other research and development expenses.</w:t>
      </w:r>
    </w:p>
    <w:p>
      <w:pPr>
        <w:spacing w:after="0" w:line="18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Our research and development expenses consist primarily of expenses related to conducting clinical and preclinical trials, salaries and related personnel expenses, share-based compensation expenses, cost of third party clinical consultants and travel expenses and other research and development expenses.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ind w:left="420"/>
        <w:spacing w:after="0"/>
        <w:rPr>
          <w:sz w:val="20"/>
          <w:szCs w:val="20"/>
          <w:color w:val="auto"/>
        </w:rPr>
      </w:pPr>
      <w:r>
        <w:rPr>
          <w:rFonts w:ascii="Arial" w:cs="Arial" w:eastAsia="Arial" w:hAnsi="Arial"/>
          <w:sz w:val="18"/>
          <w:szCs w:val="18"/>
          <w:color w:val="auto"/>
        </w:rPr>
        <w:t>The following table discloses the breakdown of research and development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Cost to third party clinical consultants and expenses related to conducting clinical</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trials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21,239</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Salaries and related personnel expenses</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Represents an amount less than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 commercialization Expenses</w:t>
      </w:r>
    </w:p>
    <w:p>
      <w:pPr>
        <w:spacing w:after="0" w:line="22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Pre-commercialization expenses consist primarily salary and related expenses, share-based compensation expense and professional services fees in connection with business development and market research for the company's product.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discloses the breakdown of pre commercialization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personnel expenses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Travel expenses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2,134</w:t>
            </w:r>
          </w:p>
        </w:tc>
        <w:tc>
          <w:tcPr>
            <w:tcW w:w="80" w:type="dxa"/>
            <w:vAlign w:val="bottom"/>
          </w:tcPr>
          <w:p>
            <w:pPr>
              <w:spacing w:after="0"/>
              <w:rPr>
                <w:sz w:val="20"/>
                <w:szCs w:val="20"/>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personnel expenses, share-based compensation expense, professional service fees for accounting, legal and bookkeeping and other general and administrative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discloses the breakdown of general and administrative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7"/>
              </w:rPr>
              <w:t>December 31,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related personnel expenses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5,839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8"/>
          </w:tcPr>
          <w:p>
            <w:pPr>
              <w:jc w:val="center"/>
              <w:ind w:left="510"/>
              <w:spacing w:after="0"/>
              <w:rPr>
                <w:sz w:val="20"/>
                <w:szCs w:val="20"/>
                <w:color w:val="auto"/>
              </w:rPr>
            </w:pPr>
            <w:r>
              <w:rPr>
                <w:rFonts w:ascii="Arial" w:cs="Arial" w:eastAsia="Arial" w:hAnsi="Arial"/>
                <w:sz w:val="18"/>
                <w:szCs w:val="18"/>
                <w:b w:val="1"/>
                <w:bCs w:val="1"/>
                <w:color w:val="auto"/>
                <w:w w:val="89"/>
              </w:rPr>
              <w:t>(in thousands of U.S. dollars)</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25,105</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Pre-commercialization expenses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 (Income), net</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Tax Expenses (Benefits)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3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holders of ordinary shares</w:t>
            </w: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32,834</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2014 to the Year Ended December 31, 2013 to the Year Ended December 31,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research and development expenses for the year ended December 31, 2014, amounted to $25,105,000, representing an increase of $18,039,000, or 255%, compared to $7,066,000 for the year ended December 31, 2013. The increase is primarily due to an increase in third party clinical consultants' expenses related to conducting clinical trials in an amount of $15,398,000, and increase of $931,000 in salaries and related personnel expenses and increase of $1,343,000 in share based compensation expenses.</w:t>
      </w:r>
    </w:p>
    <w:p>
      <w:pPr>
        <w:spacing w:after="0" w:line="18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Our research and development expenses for the year ended December 31, 2013, amounted to $7,066,000, representing an increase of $6,248,000, or 764% compared to $818,000 for the year ended December 31, 2012. The increase is primarily due to an increase in third party clinical consultants expenses and expenses related to conducting clinical trials in an amount of $5,178,000, an increase of $534,000 in salaries and related personnel expenses reflecting an increase in the number of employees and salary increases and an increase of $430,000 for share based compensation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Pre-commercialization expenses</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Pre-commercialization expenses consist primarily of salary and related expenses, share-based compensation expense and professional services fees in connection with business development and market research for our product candidate.</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pre-commercialization expenses for the year ended December 31, 2014, amounted to $2,134,000 and consisted of primarily expense related to professional service in the amount of $1,067,000, expense related to share based compensation in the amount of $616,000 and salaries and related personnel expenses in the amount of $355,000. No pre-commercialization expenses incurred on previous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general and administrative expenses totaled $5,839,000 for the year ended December 31, 2014, an increase of $2,615,000, or 81%, compared to $3,224,000 for the year ended December 31, 2013. The increase resulted primarily from an increase of $1,107,000 in professional services, an increase of $590,000 in share based compensation expenses and increase of $709,000 in salaries and related personnel expenses. Our general and administrative expenses totaled $3,224,000 for the year ended December 31, 2013, an increase of $2,541,000, or 372%, compared to $683,000 for the year ended December 31, 2012. The increase resulted primarily from an increase of $1,084,000 in share-based compensation expenses, an increase of $458,000 in salaries and related personnel expenses, an increase of $854,000 in professional services and an increase of $78,000 in travel expenses.</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a result of the foregoing, our operating loss for the year ended December 31, 2014, was $33,078,000, as compared to an operating loss of $10,290,000 for the year ended December 31, 2013, an increase of $22,788,000, or 221%.</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Operating loss for the year ended December 31, 2013, was $10,290,000, as compared to an operating loss of $1,501,000 for the year ended December 31, 2012, an increase of $8,789,000, or 586%.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recognized financial income of $227,000 for the year ended December 31, 2014, representing an increase of $424,000, compared to financial expenses of $197,000 for the year ended December 31, 2013. The increase is primarily due to interest on deposits during 2014. We recognized financial expenses of $197,000 for the year ended December 31, 2013, representing an increase of $119,000, or 153%, compared to financial expenses of $78,000 for the year ended December 31, 2012. The increase is primarily due to the conversion of our convertible notes converted during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Expenses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recognized $17,000 of tax benefits for the year ended December 31, 2014, as compared to tax expenses of $61,000 for the year ended December 31, 2013, a decrease of $78,000. Our tax expenses consist of tax liabilities of our wholly owned subsidiary, Alcobra Inc., resulting from services Alcobra Inc. provides to us in accordance with an arms’ length services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a result of the foregoing, our loss for the year ended December 31, 2014 was $32,834,000, as compared to $10,548,000 for the year ended December 31, 2013, an increase of $22,286,000, or 211%.</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loss for the year ended December 31, 2013 was $10,548,000, compared to $1,579,000 for the year ended December 31, 2012, an increase of $8,969,000, or 568%.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w:t>
      </w:r>
    </w:p>
    <w:p>
      <w:pPr>
        <w:spacing w:after="0" w:line="22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We describe our significant accounting policies more fully in Note 2 to our financial statements for the year ended December 31, 2014. We believe that the accounting policies below are critical in order to fully understand and evaluate our financial condition and results of operations.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prepare our financial statements in accordance with accounting principles generally accepted in the United States, or U.S. GAAP.</w:t>
      </w:r>
    </w:p>
    <w:p>
      <w:pPr>
        <w:spacing w:after="0" w:line="225"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5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Subject to certain conditions set forth in the JOBS Act, as an “emerging growth company”, we elected to rely on other exemptions, including without limitation, (i) providing an auditor’s attestation report on our internal control over financial reporting pursuant to Section 404 of the Sarbanes-Oxley Act and</w:t>
      </w:r>
    </w:p>
    <w:p>
      <w:pPr>
        <w:jc w:val="both"/>
        <w:ind w:firstLine="8"/>
        <w:spacing w:after="0" w:line="277" w:lineRule="auto"/>
        <w:tabs>
          <w:tab w:leader="none" w:pos="284"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Stock-Based Compensation and Fair Value of Ordinary Shares</w:t>
      </w:r>
    </w:p>
    <w:p>
      <w:pPr>
        <w:spacing w:after="0" w:line="225" w:lineRule="exact"/>
        <w:rPr>
          <w:sz w:val="20"/>
          <w:szCs w:val="20"/>
          <w:color w:val="auto"/>
        </w:rPr>
      </w:pPr>
    </w:p>
    <w:p>
      <w:pPr>
        <w:ind w:right="20" w:firstLine="389"/>
        <w:spacing w:after="0" w:line="259" w:lineRule="auto"/>
        <w:rPr>
          <w:sz w:val="20"/>
          <w:szCs w:val="20"/>
          <w:color w:val="auto"/>
        </w:rPr>
      </w:pPr>
      <w:r>
        <w:rPr>
          <w:rFonts w:ascii="Arial" w:cs="Arial" w:eastAsia="Arial" w:hAnsi="Arial"/>
          <w:sz w:val="18"/>
          <w:szCs w:val="18"/>
          <w:color w:val="auto"/>
        </w:rPr>
        <w:t>We account for stock-based compensation in accordance with ASC 718, “Compensation - Stock Compensation,” or ASC 718,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accelerated method over the requisite service period of each of the awards.</w:t>
      </w:r>
    </w:p>
    <w:p>
      <w:pPr>
        <w:spacing w:after="0" w:line="187"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We selected the Black-Scholes-Merton, or Black-Scholes, option-pricing model as a fair value method for our options awards. The option-pricing model requires a number of assumptions:</w:t>
      </w:r>
    </w:p>
    <w:p>
      <w:pPr>
        <w:spacing w:after="0" w:line="170"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The expected dividend yield assumption is based on our historical experience and expectation of no future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payouts. We have historically not paid cash dividends and have no foreseeable plans to pay cash dividends in the future.</w:t>
      </w:r>
    </w:p>
    <w:p>
      <w:pPr>
        <w:spacing w:after="0" w:line="147" w:lineRule="exact"/>
        <w:rPr>
          <w:sz w:val="20"/>
          <w:szCs w:val="20"/>
          <w:color w:val="auto"/>
        </w:rPr>
      </w:pPr>
    </w:p>
    <w:p>
      <w:pPr>
        <w:ind w:left="640" w:right="120"/>
        <w:spacing w:after="0" w:line="264" w:lineRule="auto"/>
        <w:rPr>
          <w:sz w:val="20"/>
          <w:szCs w:val="20"/>
          <w:color w:val="auto"/>
        </w:rPr>
      </w:pPr>
      <w:r>
        <w:rPr>
          <w:rFonts w:ascii="Arial" w:cs="Arial" w:eastAsia="Arial" w:hAnsi="Arial"/>
          <w:sz w:val="18"/>
          <w:szCs w:val="18"/>
          <w:i w:val="1"/>
          <w:iCs w:val="1"/>
          <w:color w:val="auto"/>
        </w:rPr>
        <w:t xml:space="preserve">Volatility - </w:t>
      </w:r>
      <w:r>
        <w:rPr>
          <w:rFonts w:ascii="Arial" w:cs="Arial" w:eastAsia="Arial" w:hAnsi="Arial"/>
          <w:sz w:val="18"/>
          <w:szCs w:val="18"/>
          <w:color w:val="auto"/>
        </w:rPr>
        <w:t>Since the Company’s shares started trading on a stock exchange market only in May 2013, quoted prices data of our shares is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ASC 718-10-30-20, in case of insufficient historical data for a company, the expected volatility was based on similar companies' stock volatility.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 must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for the expected term. Accordingly, we used the "simplified" method, meaning the expected life is set as the average of the vesting period for each vested tranche of options and the contractual term for those options.</w:t>
      </w:r>
    </w:p>
    <w:p>
      <w:pPr>
        <w:spacing w:after="0" w:line="193"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i w:val="1"/>
          <w:iCs w:val="1"/>
          <w:color w:val="auto"/>
        </w:rPr>
        <w:t xml:space="preserve">Share price </w:t>
      </w:r>
      <w:r>
        <w:rPr>
          <w:rFonts w:ascii="Arial" w:cs="Arial" w:eastAsia="Arial" w:hAnsi="Arial"/>
          <w:sz w:val="17"/>
          <w:szCs w:val="17"/>
          <w:color w:val="auto"/>
        </w:rPr>
        <w:t>– Up until our initial public offering, because there had been no public market for our ordinary shares, the fair value of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underlying the options had been determined by our management, using the assistance of an independent valuation firm. Following our initial public offering, fair market value has been determined by NASDAQ Capital Market and NASDAQ Global Market quotes.</w:t>
      </w:r>
    </w:p>
    <w:p>
      <w:pPr>
        <w:spacing w:after="0" w:line="16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During 2014, our Board of approved the grant by us of options to purchase 1,154,345 of our Ordinary Shares, or the 2014 Grant, subject to the terms and condition of our 2010 Incentive Option Plan and other certain performance conditions.</w:t>
      </w:r>
    </w:p>
    <w:p>
      <w:pPr>
        <w:spacing w:after="0" w:line="170" w:lineRule="exact"/>
        <w:rPr>
          <w:sz w:val="20"/>
          <w:szCs w:val="20"/>
          <w:color w:val="auto"/>
        </w:rPr>
      </w:pPr>
    </w:p>
    <w:p>
      <w:pPr>
        <w:ind w:left="660" w:right="100"/>
        <w:spacing w:after="0" w:line="302" w:lineRule="auto"/>
        <w:rPr>
          <w:sz w:val="20"/>
          <w:szCs w:val="20"/>
          <w:color w:val="auto"/>
        </w:rPr>
      </w:pPr>
      <w:r>
        <w:rPr>
          <w:rFonts w:ascii="Arial" w:cs="Arial" w:eastAsia="Arial" w:hAnsi="Arial"/>
          <w:sz w:val="16"/>
          <w:szCs w:val="16"/>
          <w:color w:val="auto"/>
        </w:rPr>
        <w:t>On December 16, 2014, and as part of the 2014 Grant, we granted to certain employees and officers options to purchase 604,845 of the Company's Ordinary Shares, subject to the cancellation of 372,345 unvested options to certain officers. The Company accounted for the cancellation of options, accompanied by the concurrent grant of options in accordance with ASC 718-20-35-8 and calculated the incremental compensation cost as the excess of the fair value of the replacement award over the fair value of the cancelled award at the cancellation date.</w:t>
      </w:r>
    </w:p>
    <w:p>
      <w:pPr>
        <w:spacing w:after="0" w:line="15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Options granted during 2013 were mostly granted at the initial public offering price or the applicable closing price of our ordinary shares at the grant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through December 31, 2014, we have funded our operations principally with $63.2 million from the sale of ordinary shares, preferred shares and convertible notes. As of December 31, 2014, we had $2,176 million in cash and cash equivalents and an additional amount of $19,522 million in a short-term deposit. This amount does not include approximately $27.9 million of net proceeds from a public offering that we completed in January, 2015.</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579755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jc w:val="center"/>
        <w:ind w:right="236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1437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1520" w:val="left"/>
          <w:tab w:leader="none" w:pos="268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1437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437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wp:posOffset>
            </wp:positionV>
            <wp:extent cx="21437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(28,326)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(7,353)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432"/>
        </w:trPr>
        <w:tc>
          <w:tcPr>
            <w:tcW w:w="2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8,407</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(28,047)</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1,024</w:t>
            </w:r>
          </w:p>
        </w:tc>
      </w:tr>
      <w:tr>
        <w:trPr>
          <w:trHeight w:val="432"/>
        </w:trPr>
        <w:tc>
          <w:tcPr>
            <w:tcW w:w="2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57,398</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432"/>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(19,919)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21,998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608" w:lineRule="exact"/>
        <w:rPr>
          <w:sz w:val="20"/>
          <w:szCs w:val="20"/>
          <w:color w:val="auto"/>
        </w:rPr>
      </w:pPr>
    </w:p>
    <w:p>
      <w:pPr>
        <w:sectPr>
          <w:pgSz w:w="11900" w:h="16838" w:orient="portrait"/>
          <w:cols w:equalWidth="0" w:num="2">
            <w:col w:w="4960" w:space="720"/>
            <w:col w:w="5740"/>
          </w:cols>
          <w:pgMar w:left="240" w:top="891" w:right="239" w:bottom="1440" w:gutter="0" w:footer="0" w:header="0"/>
        </w:sectPr>
      </w:pPr>
    </w:p>
    <w:p>
      <w:pPr>
        <w:spacing w:after="0" w:line="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operating activities of $28.3 million during the year ended December 31, 2014 was primarily used for payment of $24.2 million for clinical trials and other third party related expenses and for professional services, $0.5 million for travel expenses and an aggregate of $3.3 million in salary payments. The remaining amount of $0.3 million was for other miscellaneous expenses.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operating activities of $7.4 million during the year ended December 31, 2013 was primarily used for payment of $5.7 million for clinical trials and other third party related expenses and for professional services, $0.2 million for travel expenses and an aggregate of $1.3 million in salary payments. The remaining amount of $0.2 million was for other miscellaneous expenses.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Net cash provided by investing activities of $8.4 million during 2014 reflected the withdrawal of short term deposits into cash in the amount of $8.5 million and the purchase of property and equipment purchase of $0.1 million.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used in investing activities of $28 million during 2013 reflected our use of cash to invest in short term deposits.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2012, we withdrew $517 of short-term bank deposits and $506 of restricted bank deposits into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financing activities in the year ended December 31, 2014.</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financing activities of $57.4 million in the year ended December 31, 2013, consisted of a $21.9 million of proceeds from our initial public offering, $0.1 million of proceeds from issuance of convertible notes (that were converted into our ordinary shares at the time of our initial public offering), and $35.4 million of proceeds from a follow on public offering of our ordinary shares.</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cash provided by financing activities in the year ended December 31, 2012 consisted of $0.6 million of net proceeds from the issuance of convertible notes (that were converted into our ordinary shares at the time of our initial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have financed our operations to date primarily through proceeds from sales of our ordinary shares, loans and issuances of convertible notes. We have incurred losses and generated negative cash flows from operations since inception. To date, we have not generated any revenue from the sale of products and we do not expect to generate revenues from sale of our products in the next three years. Even if we are able to raise funds in the offering contemplated herein, we believe that we will need to raise additional funds before we have any cash flow from operations.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type w:val="continuous"/>
        </w:sectPr>
      </w:pPr>
    </w:p>
    <w:bookmarkStart w:id="62" w:name="page63"/>
    <w:bookmarkEnd w:id="62"/>
    <w:p>
      <w:pPr>
        <w:jc w:val="both"/>
        <w:ind w:firstLine="405"/>
        <w:spacing w:after="0" w:line="259" w:lineRule="auto"/>
        <w:rPr>
          <w:sz w:val="20"/>
          <w:szCs w:val="20"/>
          <w:color w:val="auto"/>
        </w:rPr>
      </w:pPr>
      <w:r>
        <w:rPr>
          <w:rFonts w:ascii="Arial" w:cs="Arial" w:eastAsia="Arial" w:hAnsi="Arial"/>
          <w:sz w:val="18"/>
          <w:szCs w:val="18"/>
          <w:color w:val="auto"/>
        </w:rPr>
        <w:t>As of December 31, 2014, our cash, cash equivalents and short term deposits totaled $21.7 million. On January 14, 2015, we completed a public offering of 7,475,000 ordinary shares. The offering price was $4.00 per share, and the net proceeds to the Company from the sale of the shares were approximately $27.9 million. Our current investment policy is to invest available cash in bank deposits with banks that have a credit rating of at least A-minus.</w:t>
      </w:r>
    </w:p>
    <w:p>
      <w:pPr>
        <w:spacing w:after="0" w:line="18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believe that our existing cash resources will be sufficient to fund our projected cash requirements approximately through 2016 (such activities do not include conducting clinical trials in the EU or Japan). Nevertheless, we will require significant additional financing in the future to fund our operations if and when we obtain regulatory approval of MDX and commercialize the drug. Our future capital requirements will depend on many factors, including:</w:t>
      </w:r>
    </w:p>
    <w:p>
      <w:pPr>
        <w:spacing w:after="0" w:line="147" w:lineRule="exact"/>
        <w:rPr>
          <w:sz w:val="20"/>
          <w:szCs w:val="20"/>
          <w:color w:val="auto"/>
        </w:rPr>
      </w:pP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920" w:hanging="453"/>
        <w:spacing w:after="0" w:line="277"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cost that we may incur under in- and out-licensing arrangements relating to our drug candidate that we may enter into in the future; the costs and timing of obtaining regulatory approval for our drug candidate;</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920" w:hanging="453"/>
        <w:spacing w:after="0" w:line="277"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and timing for, strengthening our manufacturing agreements for production of sufficient clinical and commercial quantities of our drug candidate;</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potential costs of contracting with third parties to provide marketing and distribution services for us or for building such capacities internally;</w:t>
      </w:r>
    </w:p>
    <w:p>
      <w:pPr>
        <w:spacing w:after="0" w:line="248" w:lineRule="exact"/>
        <w:rPr>
          <w:rFonts w:ascii="Arial" w:cs="Arial" w:eastAsia="Arial" w:hAnsi="Arial"/>
          <w:sz w:val="16"/>
          <w:szCs w:val="16"/>
          <w:color w:val="auto"/>
        </w:rPr>
      </w:pPr>
    </w:p>
    <w:p>
      <w:pPr>
        <w:ind w:left="920" w:right="20" w:hanging="453"/>
        <w:spacing w:after="0" w:line="258"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acquiring or undertaking the development and commercialization efforts for additional, future therapeutic applications of our drug candidate;</w:t>
      </w:r>
    </w:p>
    <w:p>
      <w:pPr>
        <w:spacing w:after="0" w:line="1" w:lineRule="exact"/>
        <w:rPr>
          <w:rFonts w:ascii="Arial" w:cs="Arial" w:eastAsia="Arial" w:hAnsi="Arial"/>
          <w:sz w:val="18"/>
          <w:szCs w:val="18"/>
          <w:color w:val="auto"/>
        </w:rPr>
      </w:pPr>
    </w:p>
    <w:p>
      <w:pPr>
        <w:ind w:left="1520" w:hanging="269"/>
        <w:spacing w:after="0"/>
        <w:tabs>
          <w:tab w:leader="none" w:pos="15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magnitude of our general and administrative expenses;</w:t>
      </w:r>
    </w:p>
    <w:p>
      <w:pPr>
        <w:spacing w:after="0" w:line="9" w:lineRule="exact"/>
        <w:rPr>
          <w:rFonts w:ascii="Arial" w:cs="Arial" w:eastAsia="Arial" w:hAnsi="Arial"/>
          <w:sz w:val="18"/>
          <w:szCs w:val="18"/>
          <w:color w:val="auto"/>
        </w:rPr>
      </w:pPr>
    </w:p>
    <w:p>
      <w:pPr>
        <w:ind w:left="1520" w:hanging="269"/>
        <w:spacing w:after="0"/>
        <w:tabs>
          <w:tab w:leader="none" w:pos="15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and payments to the OCS.</w:t>
      </w:r>
    </w:p>
    <w:p>
      <w:pPr>
        <w:spacing w:after="0" w:line="211" w:lineRule="exact"/>
        <w:rPr>
          <w:sz w:val="20"/>
          <w:szCs w:val="20"/>
          <w:color w:val="auto"/>
        </w:rPr>
      </w:pPr>
    </w:p>
    <w:p>
      <w:pPr>
        <w:jc w:val="both"/>
        <w:ind w:left="920"/>
        <w:spacing w:after="0" w:line="257" w:lineRule="auto"/>
        <w:rPr>
          <w:sz w:val="20"/>
          <w:szCs w:val="20"/>
          <w:color w:val="auto"/>
        </w:rPr>
      </w:pPr>
      <w:r>
        <w:rPr>
          <w:rFonts w:ascii="Arial" w:cs="Arial" w:eastAsia="Arial" w:hAnsi="Arial"/>
          <w:sz w:val="18"/>
          <w:szCs w:val="18"/>
          <w:color w:val="auto"/>
        </w:rPr>
        <w:t>Until we can generate significant recurring revenues, we expect to satisfy our future cash needs through our existing cash, cash equivalents and short term deposits,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5.E</w:t>
      </w:r>
      <w:r>
        <w:rPr>
          <w:sz w:val="20"/>
          <w:szCs w:val="20"/>
          <w:color w:val="auto"/>
        </w:rPr>
        <w:tab/>
      </w:r>
      <w:r>
        <w:rPr>
          <w:rFonts w:ascii="Arial" w:cs="Arial" w:eastAsia="Arial" w:hAnsi="Arial"/>
          <w:sz w:val="16"/>
          <w:szCs w:val="16"/>
          <w:b w:val="1"/>
          <w:bCs w:val="1"/>
          <w:color w:val="auto"/>
        </w:rPr>
        <w:t>Off-Balance Sheet Arrangements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do not have any off-balance sheet arrangements.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5.F</w:t>
      </w:r>
      <w:r>
        <w:rPr>
          <w:sz w:val="20"/>
          <w:szCs w:val="20"/>
          <w:color w:val="auto"/>
        </w:rPr>
        <w:tab/>
      </w:r>
      <w:r>
        <w:rPr>
          <w:rFonts w:ascii="Arial" w:cs="Arial" w:eastAsia="Arial" w:hAnsi="Arial"/>
          <w:sz w:val="16"/>
          <w:szCs w:val="16"/>
          <w:b w:val="1"/>
          <w:bCs w:val="1"/>
          <w:color w:val="auto"/>
        </w:rPr>
        <w:t>Contractual Obligations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obligations at December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Less than 1</w:t>
            </w: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1"/>
              </w:rPr>
              <w:t>More than 5</w:t>
            </w:r>
          </w:p>
        </w:tc>
      </w:tr>
      <w:tr>
        <w:trPr>
          <w:trHeight w:val="230"/>
        </w:trPr>
        <w:tc>
          <w:tcPr>
            <w:tcW w:w="4120" w:type="dxa"/>
            <w:vAlign w:val="bottom"/>
          </w:tcPr>
          <w:p>
            <w:pPr>
              <w:spacing w:after="0"/>
              <w:rPr>
                <w:sz w:val="20"/>
                <w:szCs w:val="20"/>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20"/>
                <w:szCs w:val="20"/>
                <w:color w:val="auto"/>
              </w:rPr>
            </w:pPr>
          </w:p>
        </w:tc>
        <w:tc>
          <w:tcPr>
            <w:tcW w:w="1560" w:type="dxa"/>
            <w:vAlign w:val="bottom"/>
          </w:tcPr>
          <w:p>
            <w:pPr>
              <w:jc w:val="right"/>
              <w:ind w:right="670"/>
              <w:spacing w:after="0"/>
              <w:rPr>
                <w:sz w:val="20"/>
                <w:szCs w:val="20"/>
                <w:color w:val="auto"/>
              </w:rPr>
            </w:pPr>
            <w:r>
              <w:rPr>
                <w:rFonts w:ascii="Arial" w:cs="Arial" w:eastAsia="Arial" w:hAnsi="Arial"/>
                <w:sz w:val="18"/>
                <w:szCs w:val="18"/>
                <w:color w:val="auto"/>
              </w:rPr>
              <w:t>year</w:t>
            </w:r>
          </w:p>
        </w:tc>
        <w:tc>
          <w:tcPr>
            <w:tcW w:w="1680" w:type="dxa"/>
            <w:vAlign w:val="bottom"/>
          </w:tcPr>
          <w:p>
            <w:pPr>
              <w:jc w:val="right"/>
              <w:ind w:right="670"/>
              <w:spacing w:after="0"/>
              <w:rPr>
                <w:sz w:val="20"/>
                <w:szCs w:val="20"/>
                <w:color w:val="auto"/>
              </w:rPr>
            </w:pPr>
            <w:r>
              <w:rPr>
                <w:rFonts w:ascii="Arial" w:cs="Arial" w:eastAsia="Arial" w:hAnsi="Arial"/>
                <w:sz w:val="18"/>
                <w:szCs w:val="18"/>
                <w:color w:val="auto"/>
              </w:rPr>
              <w:t>1-3 years</w:t>
            </w:r>
          </w:p>
        </w:tc>
        <w:tc>
          <w:tcPr>
            <w:tcW w:w="1040" w:type="dxa"/>
            <w:vAlign w:val="bottom"/>
          </w:tcPr>
          <w:p>
            <w:pPr>
              <w:ind w:left="40"/>
              <w:spacing w:after="0"/>
              <w:rPr>
                <w:sz w:val="20"/>
                <w:szCs w:val="20"/>
                <w:color w:val="auto"/>
              </w:rPr>
            </w:pPr>
            <w:r>
              <w:rPr>
                <w:rFonts w:ascii="Arial" w:cs="Arial" w:eastAsia="Arial" w:hAnsi="Arial"/>
                <w:sz w:val="18"/>
                <w:szCs w:val="18"/>
                <w:color w:val="auto"/>
              </w:rPr>
              <w:t>4-5 years</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years</w:t>
            </w:r>
          </w:p>
        </w:tc>
      </w:tr>
      <w:tr>
        <w:trPr>
          <w:trHeight w:val="210"/>
        </w:trPr>
        <w:tc>
          <w:tcPr>
            <w:tcW w:w="4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 thousands of U.S. dollars)</w:t>
            </w:r>
          </w:p>
        </w:tc>
        <w:tc>
          <w:tcPr>
            <w:tcW w:w="10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356</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157</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199</w:t>
            </w: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c>
          <w:tcPr>
            <w:tcW w:w="1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3" w:name="page64"/>
    <w:bookmarkEnd w:id="63"/>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6.A.</w:t>
      </w:r>
      <w:r>
        <w:rPr>
          <w:sz w:val="20"/>
          <w:szCs w:val="20"/>
          <w:color w:val="auto"/>
        </w:rPr>
        <w:tab/>
      </w:r>
      <w:r>
        <w:rPr>
          <w:rFonts w:ascii="Arial" w:cs="Arial" w:eastAsia="Arial" w:hAnsi="Arial"/>
          <w:sz w:val="16"/>
          <w:szCs w:val="16"/>
          <w:b w:val="1"/>
          <w:bCs w:val="1"/>
          <w:color w:val="auto"/>
        </w:rPr>
        <w:t>Directors and senior management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February 24, 2015:</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100" w:type="dxa"/>
            <w:vAlign w:val="bottom"/>
            <w:gridSpan w:val="3"/>
          </w:tcPr>
          <w:p>
            <w:pPr>
              <w:ind w:left="240"/>
              <w:spacing w:after="0"/>
              <w:rPr>
                <w:sz w:val="20"/>
                <w:szCs w:val="20"/>
                <w:color w:val="auto"/>
              </w:rPr>
            </w:pPr>
            <w:r>
              <w:rPr>
                <w:rFonts w:ascii="Arial" w:cs="Arial" w:eastAsia="Arial" w:hAnsi="Arial"/>
                <w:sz w:val="18"/>
                <w:szCs w:val="18"/>
                <w:b w:val="1"/>
                <w:bCs w:val="1"/>
                <w:color w:val="auto"/>
              </w:rPr>
              <w:t>Age</w:t>
            </w:r>
          </w:p>
        </w:tc>
        <w:tc>
          <w:tcPr>
            <w:tcW w:w="65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0"/>
        </w:trPr>
        <w:tc>
          <w:tcPr>
            <w:tcW w:w="3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60" w:type="dxa"/>
            <w:vAlign w:val="bottom"/>
            <w:shd w:val="clear" w:color="auto" w:fill="000000"/>
          </w:tcPr>
          <w:p>
            <w:pPr>
              <w:spacing w:after="0" w:line="20" w:lineRule="exact"/>
              <w:rPr>
                <w:sz w:val="1"/>
                <w:szCs w:val="1"/>
                <w:color w:val="auto"/>
              </w:rPr>
            </w:pPr>
          </w:p>
        </w:tc>
      </w:tr>
      <w:tr>
        <w:trPr>
          <w:trHeight w:val="426"/>
        </w:trPr>
        <w:tc>
          <w:tcPr>
            <w:tcW w:w="3280" w:type="dxa"/>
            <w:vAlign w:val="bottom"/>
          </w:tcPr>
          <w:p>
            <w:pPr>
              <w:spacing w:after="0"/>
              <w:rPr>
                <w:sz w:val="20"/>
                <w:szCs w:val="20"/>
                <w:color w:val="auto"/>
              </w:rPr>
            </w:pPr>
            <w:r>
              <w:rPr>
                <w:rFonts w:ascii="Arial" w:cs="Arial" w:eastAsia="Arial" w:hAnsi="Arial"/>
                <w:sz w:val="18"/>
                <w:szCs w:val="18"/>
                <w:color w:val="auto"/>
              </w:rPr>
              <w:t>Howard B. Rosen</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Dr. Yaron Daniely</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Arieh Ben Yosef (1) (2)</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Daniel E. Geffken</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Dr. Hadas Gelander (1) (2)</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Ehud (Udi) Gilboa</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Ori Mor (1) (2)</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Dr. Aharon Schwartz</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Dr. Tomer Berkovitz</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Dr. Jonathan Rubin</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David Baker</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Hanna Ron</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SVP Chemistry, Manufacturing and Control</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Dr. Johanna Schumann</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VP Preclinical Development</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Oded Edri</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VP Finance</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Dr. Hagit Marchaim</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SVP Regulatory Affairs</w:t>
            </w:r>
          </w:p>
        </w:tc>
      </w:tr>
    </w:tbl>
    <w:p>
      <w:pPr>
        <w:spacing w:after="0" w:line="202" w:lineRule="exact"/>
        <w:rPr>
          <w:sz w:val="20"/>
          <w:szCs w:val="20"/>
          <w:color w:val="auto"/>
        </w:rPr>
      </w:pPr>
    </w:p>
    <w:p>
      <w:pPr>
        <w:ind w:left="920" w:hanging="453"/>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p>
      <w:pPr>
        <w:ind w:right="20" w:firstLine="405"/>
        <w:spacing w:after="0" w:line="286" w:lineRule="auto"/>
        <w:rPr>
          <w:sz w:val="20"/>
          <w:szCs w:val="20"/>
          <w:color w:val="auto"/>
        </w:rPr>
      </w:pPr>
      <w:r>
        <w:rPr>
          <w:rFonts w:ascii="Arial" w:cs="Arial" w:eastAsia="Arial" w:hAnsi="Arial"/>
          <w:sz w:val="16"/>
          <w:szCs w:val="16"/>
          <w:i w:val="1"/>
          <w:iCs w:val="1"/>
          <w:color w:val="auto"/>
        </w:rPr>
        <w:t xml:space="preserve">Howard B. Rosen </w:t>
      </w:r>
      <w:r>
        <w:rPr>
          <w:rFonts w:ascii="Arial" w:cs="Arial" w:eastAsia="Arial" w:hAnsi="Arial"/>
          <w:sz w:val="16"/>
          <w:szCs w:val="16"/>
          <w:color w:val="auto"/>
        </w:rPr>
        <w:t>has served on our Board since the closing of our initial public offering in May 2013 and as our Chairman since February 2014. Since</w:t>
      </w:r>
      <w:r>
        <w:rPr>
          <w:rFonts w:ascii="Arial" w:cs="Arial" w:eastAsia="Arial" w:hAnsi="Arial"/>
          <w:sz w:val="16"/>
          <w:szCs w:val="16"/>
          <w:i w:val="1"/>
          <w:iCs w:val="1"/>
          <w:color w:val="auto"/>
        </w:rPr>
        <w:t xml:space="preserve"> </w:t>
      </w:r>
      <w:r>
        <w:rPr>
          <w:rFonts w:ascii="Arial" w:cs="Arial" w:eastAsia="Arial" w:hAnsi="Arial"/>
          <w:sz w:val="16"/>
          <w:szCs w:val="16"/>
          <w:color w:val="auto"/>
        </w:rPr>
        <w:t>2008, Mr. Rosen has served as a consultant 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From 2003 until 2004, Mr. Rosen was President of ALZA Corporation, a pharmaceutical and medical systems company that merged with Johnson &amp; Johnson, a global healthcare company, in 2001. Prior to that, from 1994 until 2003, Mr. Rosen held various positions at ALZA Corporation. Mr. Rosen is also a member of the board of directors of AcelRx Pharmaceuticals, Inc. (Nasdaq: ACRX), a company developing products for pain relief, and a number of private biotechnology companies as follows: PaxVax, Inc., Entrega, Inc., Kala Pharmaceuticals,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7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i w:val="1"/>
          <w:iCs w:val="1"/>
          <w:color w:val="auto"/>
        </w:rPr>
        <w:t xml:space="preserve">Dr. Yaron Daniely </w:t>
      </w:r>
      <w:r>
        <w:rPr>
          <w:rFonts w:ascii="Arial" w:cs="Arial" w:eastAsia="Arial" w:hAnsi="Arial"/>
          <w:sz w:val="17"/>
          <w:szCs w:val="17"/>
          <w:color w:val="auto"/>
        </w:rPr>
        <w:t>became our President and Chief Executive Officer and a Director in March 2010. Immediately prior to joining us and since 2007, Dr.</w:t>
      </w:r>
      <w:r>
        <w:rPr>
          <w:rFonts w:ascii="Arial" w:cs="Arial" w:eastAsia="Arial" w:hAnsi="Arial"/>
          <w:sz w:val="17"/>
          <w:szCs w:val="17"/>
          <w:i w:val="1"/>
          <w:iCs w:val="1"/>
          <w:color w:val="auto"/>
        </w:rPr>
        <w:t xml:space="preserve"> </w:t>
      </w:r>
      <w:r>
        <w:rPr>
          <w:rFonts w:ascii="Arial" w:cs="Arial" w:eastAsia="Arial" w:hAnsi="Arial"/>
          <w:sz w:val="17"/>
          <w:szCs w:val="17"/>
          <w:color w:val="auto"/>
        </w:rPr>
        <w:t>Daniely was the President and Chief Executive Officer of NanoCyte, Inc., a company that develops transdermal delivery technologies based in Caesarea, Israel. Before NanoCyte and from 2004, Dr. Daniely was the General Manager of Gamida Cell—Teva Joint Venture Ltd., a joint venture company that acquired an exclusive license to develop and commercialize a Phase 3-stage cell therapy product for treatment of Leukemia and Lymphoma based in Jerusalem, Israel. From 2003-2007, Dr. Daniely also served as the Vice President of Business Development of Gamida Cell Ltd., and engaged in several licensing and financial transactions for the Company. In addition, he is a director of Bioblast Ltd, a private company incorporated in Israel.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7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Arieh Ben Yosef </w:t>
      </w:r>
      <w:r>
        <w:rPr>
          <w:rFonts w:ascii="Arial" w:cs="Arial" w:eastAsia="Arial" w:hAnsi="Arial"/>
          <w:sz w:val="18"/>
          <w:szCs w:val="18"/>
          <w:color w:val="auto"/>
        </w:rPr>
        <w:t>joined the Alcobra Board in May 2014. Mr. Ben Yosef has served as a director of Insuline Medical Ltd. (TASE: INSL) since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2010, which is focused on improving the performance of current insulin treatment methods. From August 2000 to July 2014, Mr. Ben Yosef served as a director of Microwave Networks Inc., a provider of microwave communications products and services. From 2006 to 2012, Mr. Ben Yosef was employed by Teledata Networks Ltd., a global provider of access network products and solutions for Telecom Service Providers, in the positions of Chief Financial Officer, Executive Vice President for Finance &amp; Operations and later on as the General Manager of the company. From 2000 to 2004, Mr. Ben Yosef served as the President of Elisra Inc. and from 1998 to 2000 as the CFO of Tadiran Electronic Industries Inc. Mr. Ben Yosef holds a M.B.A. from the Hebrew University of Jerusalem.</w:t>
      </w:r>
    </w:p>
    <w:p>
      <w:pPr>
        <w:spacing w:after="0" w:line="18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i w:val="1"/>
          <w:iCs w:val="1"/>
          <w:color w:val="auto"/>
        </w:rPr>
        <w:t xml:space="preserve">Daniel E. Geffken </w:t>
      </w:r>
      <w:r>
        <w:rPr>
          <w:rFonts w:ascii="Arial" w:cs="Arial" w:eastAsia="Arial" w:hAnsi="Arial"/>
          <w:sz w:val="18"/>
          <w:szCs w:val="18"/>
          <w:color w:val="auto"/>
        </w:rPr>
        <w:t>has served on our Board of Directors since our initial public offering in May 2013. Since October 2011, he has been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188"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i w:val="1"/>
          <w:iCs w:val="1"/>
          <w:color w:val="auto"/>
        </w:rPr>
        <w:t xml:space="preserve">Dr. Hadas Gelander </w:t>
      </w:r>
      <w:r>
        <w:rPr>
          <w:rFonts w:ascii="Arial" w:cs="Arial" w:eastAsia="Arial" w:hAnsi="Arial"/>
          <w:sz w:val="18"/>
          <w:szCs w:val="18"/>
          <w:color w:val="auto"/>
        </w:rPr>
        <w:t>serves as one of our external directors, a member of our Audit Committee and the Chairperson of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Dr. Gelander currently serves as the Head of the Accounting Department at the College of Management, Academic Studies, School of Business Administration where she is also a professor. Dr. Gelander serves as an Independent Director on the Boards of EZ Energy (TASE: EZ), Eldav (TASE: ELDAV), Gindi Investments, Direct Capital, Usertrand, Hilan and Leumi Partners Underwriters, arm of Leumi Partners (merchant and investment banking arm of Leumi and Direct Capital). Dr. Gelander is a certified public accountant and since 2000 has served on the Israeli Council of Public Accountants, or CPA, where she is the Coordinator of Examinations of the Israeli CPA. Dr. Gelander earned her Ph.D. summa cum laude from Ben Gurion University, an MBA in Accounting and Finance from the Hebrew University of Jerusalem, and a Bachelor of Business degree from the College of Management Academic Studies.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5" w:name="page66"/>
    <w:bookmarkEnd w:id="65"/>
    <w:p>
      <w:pPr>
        <w:ind w:right="40" w:firstLine="405"/>
        <w:spacing w:after="0" w:line="291" w:lineRule="auto"/>
        <w:rPr>
          <w:sz w:val="20"/>
          <w:szCs w:val="20"/>
          <w:color w:val="auto"/>
        </w:rPr>
      </w:pPr>
      <w:r>
        <w:rPr>
          <w:rFonts w:ascii="Arial" w:cs="Arial" w:eastAsia="Arial" w:hAnsi="Arial"/>
          <w:sz w:val="16"/>
          <w:szCs w:val="16"/>
          <w:i w:val="1"/>
          <w:iCs w:val="1"/>
          <w:color w:val="auto"/>
        </w:rPr>
        <w:t xml:space="preserve">Udi Gilboa </w:t>
      </w:r>
      <w:r>
        <w:rPr>
          <w:rFonts w:ascii="Arial" w:cs="Arial" w:eastAsia="Arial" w:hAnsi="Arial"/>
          <w:sz w:val="16"/>
          <w:szCs w:val="16"/>
          <w:color w:val="auto"/>
        </w:rPr>
        <w:t>co-founded the Company in February 2008, and became a director at that time. He served as our Chief Financial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Officer from our inception until May 2014. Since January 2012, Mr. Gilboa has been serving as a director, Senior Vice President of Operations and the Chief Financial Officer of Bio Blast Pharma Ltd. (NASDAQ: ORPN). Mr. Gilboa is the founder and managing partner of Top-Notch Capital, a prominent Israeli life sciences investment bank. He is also the founder of a number of medical device and pharmaceutical companies. Mr. Gilboa is Chairman of the Board of Samson Neurosciences Ltd. Mr. Gilboa has served as a director of Insuline Medical Ltd. until 2014 and served, until 2010 as a director and chairman of the board of directors of Topspin Medical Inc., two public companies whose shares are listed for trading on the Tel Aviv Stock Exchange. In addition, he is a director of Samson Neurosciences Ltd. Mr. Gilboa holds a Bachelor’s degree and M.B.A. from Tel Aviv University.</w:t>
      </w:r>
    </w:p>
    <w:p>
      <w:pPr>
        <w:spacing w:after="0" w:line="16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i w:val="1"/>
          <w:iCs w:val="1"/>
          <w:color w:val="auto"/>
        </w:rPr>
        <w:t xml:space="preserve">Ori Mor </w:t>
      </w:r>
      <w:r>
        <w:rPr>
          <w:rFonts w:ascii="Arial" w:cs="Arial" w:eastAsia="Arial" w:hAnsi="Arial"/>
          <w:sz w:val="16"/>
          <w:szCs w:val="16"/>
          <w:color w:val="auto"/>
        </w:rPr>
        <w:t>serves as one of our external directors, a member of our Compensation Committee and the Chairperson of our Audit Committee. Mr. Mor</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the CFO of Medical Compression Systems Ltd. (TASE: MDCL), a leader in innovative, non-invasive solutions for the prevention of venous thromboembolism (VTE), from 2009 to 2014, and is now CEO’s advisor for corporate finance. Mr. Mor also serves as an External Director on the Boards of Birman Wood &amp; Hardware Ltd. (TASE: BIRM), Angel Ltd, and as an external director and a chairperson of the investment committee of Excellence Nessuah Gemel &amp; Pension Ltd. and as an Independent Director on the Board of Mordechai Aviv Taasiot Beniy Ltd. (TASE: AVIV). Mr. Mor previously served as CIO at Halman Aldubi and FIBI Provident Fund and has worked as a macro analyst at the provident funds of Bank Leumi and Mizrahi Bank. Mr. Mor is also a member of the Board of the Israeli Association of Publicly Traded Companies. He holds an M.A. in Economics from Ben Gurion University.</w:t>
      </w:r>
    </w:p>
    <w:p>
      <w:pPr>
        <w:spacing w:after="0" w:line="16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auto"/>
        </w:rPr>
        <w:t xml:space="preserve">Dr. Aharon Schwartz </w:t>
      </w:r>
      <w:r>
        <w:rPr>
          <w:rFonts w:ascii="Arial" w:cs="Arial" w:eastAsia="Arial" w:hAnsi="Arial"/>
          <w:sz w:val="18"/>
          <w:szCs w:val="18"/>
          <w:color w:val="auto"/>
        </w:rPr>
        <w:t>joined our Board as Chairman in January 2013, serving as our chairman until February 2014. He retired from Teva 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Ltd where he served in a number of positions from 1957 through 2011, the most recent being Vice President, Head of Teva Innovative Ventures from 2008. He is also the chairman of the board of directors of BioLineRx Ltd., BioCancell Therapeutics Inc., CureTech Ltd. and several other biotechnology companies. Dr. Schwartz received his Ph.D. in organic chemistry from the Weizmann Institute, his M.Sc. in organic chemistry from the Technion Institute of Technology and a B.Sc. in chemistry and physics from the Hebrew University of Jerusalem. He has received a second Ph.D in the History and Philosophy of Science from the Hebrew University.</w:t>
      </w:r>
    </w:p>
    <w:p>
      <w:pPr>
        <w:spacing w:after="0" w:line="193"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i w:val="1"/>
          <w:iCs w:val="1"/>
          <w:color w:val="auto"/>
        </w:rPr>
        <w:t xml:space="preserve">Dr. Tomer Berkovitz </w:t>
      </w:r>
      <w:r>
        <w:rPr>
          <w:rFonts w:ascii="Arial" w:cs="Arial" w:eastAsia="Arial" w:hAnsi="Arial"/>
          <w:sz w:val="17"/>
          <w:szCs w:val="17"/>
          <w:color w:val="auto"/>
        </w:rPr>
        <w:t>joined Alcobra in May 2014 as the Chief Financial Officer. Immediately prior to joining Alcobra, and from 2008, he was an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Director in J.P. Morgan’s Investment Banking Division in New York, where he played a leading role in numerous capital market and M&amp;A transactions. In this capacity, he advised senior management and boards of directors of J.P. Morgan's key U.S. clients, including several S&amp;P 500 healthcare firms. Prior to joining J.P. Morgan, Dr. Berkovitz worked in Citigroup's Investment Bank in New York</w:t>
      </w:r>
      <w:r>
        <w:rPr>
          <w:rFonts w:ascii="Arial" w:cs="Arial" w:eastAsia="Arial" w:hAnsi="Arial"/>
          <w:sz w:val="17"/>
          <w:szCs w:val="17"/>
          <w:color w:val="676767"/>
        </w:rPr>
        <w:t>.</w:t>
      </w:r>
      <w:r>
        <w:rPr>
          <w:rFonts w:ascii="Arial" w:cs="Arial" w:eastAsia="Arial" w:hAnsi="Arial"/>
          <w:sz w:val="17"/>
          <w:szCs w:val="17"/>
          <w:color w:val="auto"/>
        </w:rPr>
        <w:t xml:space="preserve"> From 2000 to 2003, he served as an Economist in the Financial Advisory Unit to the Chief of Staff of the Israel Defense Forces. Dr. Berkovitz holds a Ph.D. in Finance and Economics from Columbia Business School and has published a number of corporate finance articles in leading academic and practitioner journals. He also holds an M.Sc. in Finance and Accounting and a B.A. in Economics and Management, both from Tel-Aviv University.</w:t>
      </w:r>
    </w:p>
    <w:p>
      <w:pPr>
        <w:spacing w:after="0" w:line="17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Dr. Jonathan Rubin</w:t>
      </w:r>
      <w:r>
        <w:rPr>
          <w:rFonts w:ascii="Arial" w:cs="Arial" w:eastAsia="Arial" w:hAnsi="Arial"/>
          <w:sz w:val="17"/>
          <w:szCs w:val="17"/>
          <w:color w:val="auto"/>
        </w:rPr>
        <w:t>, M.D., M.B.A., serves as our Chief Medical Officer. He joined us in August 2013 after working at Shire Pharmaceuticals for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six years, from 2007 through 2013, serving as a Medical Director in Global Medical Affairs supporting multiple products within the ADHD portfolio. As a Medical Director in Global Medical Affairs at Shire Pharmaceuticals, Dr. Rubin developed and implemented Global Medical Affairs strategic plans, planned and supervised medical launch activities in the United States and assisted with the design, execution and interpretation of Phase 2, 3 and Phase 4 studies. Dr. Rubin also served as the Director of Scientific Licensing Assessment at Shire Pharmaceuticals in 2011 where he identified and evaluated new opportunities for business development. Dr. Rubin began his pharmaceutical industry career as a medical consultant for Noven Pharmaceuticals in 2002. Until 2007 Dr. Rubin cared for children and adolescents with ADHD for 15 years at his General and Developmental-Behavioral Pediatric practice in Margate and Coconut Creek, Florida. He graduated with a B.S. from Yale University and an M.D. from the University of Connecticut, completed a pediatric residency at Albert Einstein/Montefiore, completed an Ambulatory Pediatric Fellowship at Boston Children’s Hospital and received an M.B.A. from Columbia Business School.</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6" w:name="page67"/>
    <w:bookmarkEnd w:id="66"/>
    <w:p>
      <w:pPr>
        <w:ind w:right="20" w:firstLine="405"/>
        <w:spacing w:after="0" w:line="288" w:lineRule="auto"/>
        <w:rPr>
          <w:sz w:val="20"/>
          <w:szCs w:val="20"/>
          <w:color w:val="auto"/>
        </w:rPr>
      </w:pPr>
      <w:r>
        <w:rPr>
          <w:rFonts w:ascii="Arial" w:cs="Arial" w:eastAsia="Arial" w:hAnsi="Arial"/>
          <w:sz w:val="16"/>
          <w:szCs w:val="16"/>
          <w:i w:val="1"/>
          <w:iCs w:val="1"/>
          <w:color w:val="auto"/>
        </w:rPr>
        <w:t xml:space="preserve">David Baker </w:t>
      </w:r>
      <w:r>
        <w:rPr>
          <w:rFonts w:ascii="Arial" w:cs="Arial" w:eastAsia="Arial" w:hAnsi="Arial"/>
          <w:sz w:val="16"/>
          <w:szCs w:val="16"/>
          <w:color w:val="auto"/>
        </w:rPr>
        <w:t>serves as our Chief Commercial Officer. He joined us in January 2014 after working at Shire Pharmaceuticals for ten years, most recently</w:t>
      </w:r>
      <w:r>
        <w:rPr>
          <w:rFonts w:ascii="Arial" w:cs="Arial" w:eastAsia="Arial" w:hAnsi="Arial"/>
          <w:sz w:val="16"/>
          <w:szCs w:val="16"/>
          <w:i w:val="1"/>
          <w:iCs w:val="1"/>
          <w:color w:val="auto"/>
        </w:rPr>
        <w:t xml:space="preserve"> </w:t>
      </w:r>
      <w:r>
        <w:rPr>
          <w:rFonts w:ascii="Arial" w:cs="Arial" w:eastAsia="Arial" w:hAnsi="Arial"/>
          <w:sz w:val="16"/>
          <w:szCs w:val="16"/>
          <w:color w:val="auto"/>
        </w:rPr>
        <w:t>as Vice President of Commercial Strategy and New Business in the Neuroscience Business Unit. In this role he led the commercial assessment of neuroscience licensing opportunities, managed commercial efforts on pipeline CNS products, and led the long term strategic planning process. Previously, he served as Global General Manager for Vyvanse® where he led the launch of Vyvanse in 2007, oversaw the launch of the adult indication for Vyvanse in 2008, and led global expansion efforts to take Shire's ADHD portfolio beyond North America including successful establishment of a partnership in Japan and launches in Canada and Brazil. Prior to that, Mr. Baker served as Vice President of Marketing for all of Shire's ADHD products. Under his leadership, Adderall XR became the number one selling ADHD brand in the US. From 1990 - 2004, Mr. Baker worked at Merck where he held positions of increasing responsibility in marketing, sales, market research, and business development. In addition to his knowledge and experience with CNS medications, Mr. Baker's therapeutic expertise includes osteoporosis, migraine, and hyperlipidemia. He has been directly involved with the marketing of five leading prescription drugs with annual sales in excess of $1 billion each: Mevacor®, Zocor®, Fosamax®, Adderall XR, and Vyvanse.</w:t>
      </w:r>
    </w:p>
    <w:p>
      <w:pPr>
        <w:spacing w:after="0" w:line="169"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i w:val="1"/>
          <w:iCs w:val="1"/>
          <w:color w:val="auto"/>
        </w:rPr>
        <w:t xml:space="preserve">Hanna Ron </w:t>
      </w:r>
      <w:r>
        <w:rPr>
          <w:rFonts w:ascii="Arial" w:cs="Arial" w:eastAsia="Arial" w:hAnsi="Arial"/>
          <w:sz w:val="16"/>
          <w:szCs w:val="16"/>
          <w:color w:val="auto"/>
        </w:rPr>
        <w:t>serves as our Senior Vice President for Chemistry, Manufacturing and Control. She has over 28 years of experience in the pharmaceutical</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and is an expert in chemistry, manufacturing and controls and pre-clinical studies. She has been providing full-time services to the Company since 2011 and has been a consultant to the pharmaceutical industry since 2009. From 2004 to 2009, she was the Vice President of Chemistry, Manufacturing and Controls at Bioline Innovations, an Israeli biotechnology company. She has held other positions in biotechnology and pharmaceutical companies, including being a chief research and development manager and a pharmaceutical product development manager at Teva Pharmaceuticals. Ms. Ron holds a B.Sc. in Pharmacy from Hebrew University in Jerusalem, an M.Sc. in Pharmaceutical Sciences (Clinical Pharmacy) from the Hebrew University and M.Sc. in Chemical Engineer from School of Engineering Tel Aviv University. She is licensed as a pharmacist, the Ministry of Health, Israel.</w:t>
      </w:r>
    </w:p>
    <w:p>
      <w:pPr>
        <w:spacing w:after="0" w:line="167"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i w:val="1"/>
          <w:iCs w:val="1"/>
          <w:color w:val="auto"/>
        </w:rPr>
        <w:t xml:space="preserve">Dr. Johanna Schumann </w:t>
      </w:r>
      <w:r>
        <w:rPr>
          <w:rFonts w:ascii="Arial" w:cs="Arial" w:eastAsia="Arial" w:hAnsi="Arial"/>
          <w:sz w:val="17"/>
          <w:szCs w:val="17"/>
          <w:color w:val="auto"/>
        </w:rPr>
        <w:t>serves as our Vice President for Preclinical Development. She joined us in August 2013 after working at BioLineRx, an Israeli</w:t>
      </w:r>
      <w:r>
        <w:rPr>
          <w:rFonts w:ascii="Arial" w:cs="Arial" w:eastAsia="Arial" w:hAnsi="Arial"/>
          <w:sz w:val="17"/>
          <w:szCs w:val="17"/>
          <w:i w:val="1"/>
          <w:iCs w:val="1"/>
          <w:color w:val="auto"/>
        </w:rPr>
        <w:t xml:space="preserve"> </w:t>
      </w:r>
      <w:r>
        <w:rPr>
          <w:rFonts w:ascii="Arial" w:cs="Arial" w:eastAsia="Arial" w:hAnsi="Arial"/>
          <w:sz w:val="17"/>
          <w:szCs w:val="17"/>
          <w:color w:val="auto"/>
        </w:rPr>
        <w:t>drug development company, from 2010 through 2013, serving as Preclinical Development Manager. In this role, she designed, managed and executed preclinical activities, including toxicology, pharmacokinetics and pharmacodynamics studies, in accordance with the relevant regulatory authorities' guidelines, for multiple preclinical phase drug development projects and medical indications. Dr Schumann holds a B.Sc. in Life Sciences from the Hebrew University of Jerusalem, and M.Sc. and Ph.D. in Pharmacology from the School of Pharmacy, The Hebrew University of Jerusalem.</w:t>
      </w:r>
    </w:p>
    <w:p>
      <w:pPr>
        <w:spacing w:after="0" w:line="173"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i w:val="1"/>
          <w:iCs w:val="1"/>
          <w:color w:val="auto"/>
        </w:rPr>
        <w:t xml:space="preserve">Oded Edri, </w:t>
      </w:r>
      <w:r>
        <w:rPr>
          <w:rFonts w:ascii="Arial" w:cs="Arial" w:eastAsia="Arial" w:hAnsi="Arial"/>
          <w:sz w:val="16"/>
          <w:szCs w:val="16"/>
          <w:color w:val="auto"/>
        </w:rPr>
        <w:t>our Vice President for Finance, joined Alcobra in September 2014. Immediately prior to joining Alcobra and since 2013, Mr. Edri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Director of Omrix Biopharmaceuticals, a Johnson &amp; Johnson company. Before Omrix and from 2007 to 2013, Mr. Edri was the corporate controller of Stratasys Ltd. (NASDAQ: SSYS; formerly Objet Ltd.) and CFO of its Asian Pacific Subsidiary. Mr. Edri has been a lecturer at the MBA program of Tel Aviv University since 2008, and from 2013 to 2014, he served as an external director of WideMed Ltd. (TASE: WDMD), a bio medical signal diagnostic company. Mr. Edri is a certified public accountant and holds a B.A. in Economics and Accounting and an M.B.A., both from Tel Aviv University.</w:t>
      </w:r>
    </w:p>
    <w:p>
      <w:pPr>
        <w:spacing w:after="0" w:line="158" w:lineRule="exact"/>
        <w:rPr>
          <w:sz w:val="20"/>
          <w:szCs w:val="20"/>
          <w:color w:val="auto"/>
        </w:rPr>
      </w:pPr>
    </w:p>
    <w:p>
      <w:pPr>
        <w:ind w:right="60" w:firstLine="401"/>
        <w:spacing w:after="0" w:line="253" w:lineRule="auto"/>
        <w:rPr>
          <w:sz w:val="20"/>
          <w:szCs w:val="20"/>
          <w:color w:val="auto"/>
        </w:rPr>
      </w:pPr>
      <w:r>
        <w:rPr>
          <w:rFonts w:ascii="Arial" w:cs="Arial" w:eastAsia="Arial" w:hAnsi="Arial"/>
          <w:sz w:val="18"/>
          <w:szCs w:val="18"/>
          <w:i w:val="1"/>
          <w:iCs w:val="1"/>
          <w:color w:val="auto"/>
        </w:rPr>
        <w:t xml:space="preserve">Dr Hagit Marchaim, </w:t>
      </w:r>
      <w:r>
        <w:rPr>
          <w:rFonts w:ascii="Arial" w:cs="Arial" w:eastAsia="Arial" w:hAnsi="Arial"/>
          <w:sz w:val="18"/>
          <w:szCs w:val="18"/>
          <w:color w:val="auto"/>
        </w:rPr>
        <w:t>PhD, MBA, serves as our Senior Senior Vice President for Regulatory Affairs. She joined us in May 2014 and brings 10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affairs experience to Alcobra. Prior to joining Alcobra, and from 2011 to 2013, Dr. Marchaim was the VP Regulatory Affairs at CureTech Ltd. Before that, and from 2009 to 2011, she was the Regulatory Affairs Department Head at Omrix Biopharmaceuticals, a Johnson &amp; Johnson company. Her first regulatory affairs positions were at Makhteshim Agan Industries Ltd., from 2004 to 2007, and at Kamada Ltd., from 2007 to 2009, where she was also responsible for management of non-clinical studies. Dr. Marchaim has a broad experience as a Regulatory Affairs Consultant, working with companies ranging from startups at early development stages to global companies at post approval stages worldwide. Dr. Marchaim holds a B.Sc. degree in Biological Sciences from The Hebrew University of Jerusalem, a M.Sc. degree in Microbiology from The Hebrew University of Jerusalem, a Ph.D. from The Hebrew University of Jerusalem and a M.B.A. from the College of Management. In addition, Dr. Marchaim was a postdoctoral fellow at The Weizmann Institute for Science in Israel.</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7" w:name="page68"/>
    <w:bookmarkEnd w:id="67"/>
    <w:p>
      <w:pPr>
        <w:spacing w:after="0"/>
        <w:tabs>
          <w:tab w:leader="none" w:pos="640" w:val="left"/>
        </w:tabs>
        <w:rPr>
          <w:sz w:val="20"/>
          <w:szCs w:val="20"/>
          <w:color w:val="auto"/>
        </w:rPr>
      </w:pPr>
      <w:r>
        <w:rPr>
          <w:rFonts w:ascii="Arial" w:cs="Arial" w:eastAsia="Arial" w:hAnsi="Arial"/>
          <w:sz w:val="18"/>
          <w:szCs w:val="18"/>
          <w:b w:val="1"/>
          <w:bCs w:val="1"/>
          <w:color w:val="auto"/>
        </w:rPr>
        <w:t>6.B.</w:t>
      </w:r>
      <w:r>
        <w:rPr>
          <w:sz w:val="20"/>
          <w:szCs w:val="20"/>
          <w:color w:val="auto"/>
        </w:rPr>
        <w:tab/>
      </w:r>
      <w:r>
        <w:rPr>
          <w:rFonts w:ascii="Arial" w:cs="Arial" w:eastAsia="Arial" w:hAnsi="Arial"/>
          <w:sz w:val="15"/>
          <w:szCs w:val="15"/>
          <w:b w:val="1"/>
          <w:bCs w:val="1"/>
          <w:color w:val="auto"/>
        </w:rPr>
        <w:t>Compensation</w:t>
      </w:r>
    </w:p>
    <w:p>
      <w:pPr>
        <w:spacing w:after="0" w:line="229" w:lineRule="exact"/>
        <w:rPr>
          <w:sz w:val="20"/>
          <w:szCs w:val="20"/>
          <w:color w:val="auto"/>
        </w:rPr>
      </w:pPr>
    </w:p>
    <w:p>
      <w:pPr>
        <w:ind w:right="140" w:firstLine="401"/>
        <w:spacing w:after="0" w:line="257" w:lineRule="auto"/>
        <w:rPr>
          <w:sz w:val="20"/>
          <w:szCs w:val="20"/>
          <w:color w:val="auto"/>
        </w:rPr>
      </w:pPr>
      <w:r>
        <w:rPr>
          <w:rFonts w:ascii="Arial" w:cs="Arial" w:eastAsia="Arial" w:hAnsi="Arial"/>
          <w:sz w:val="18"/>
          <w:szCs w:val="18"/>
          <w:color w:val="auto"/>
        </w:rPr>
        <w:t>The aggregate amount of compensation paid or accrued to all of our directors and executive officers as a group with respect to the year ended December 31, 2014 was approximately $2.6 million. This amount includes salaries, consulting fees, directors' fees, car expenses and vacation, pension, severance, retirement or similar benefits or expenses, employer’s taxes, and bonuses expenses in an amount of $0.3 million. The amount does not include business travel, relocation, professional and business association due and expenses reimbursed to office holders, and other benefits commonly reimbursed or paid by companies in our industry.</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stock based compensation in the amount of $4 million was accrued in 2014.</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Yaron Daniely</w:t>
      </w:r>
    </w:p>
    <w:p>
      <w:pPr>
        <w:spacing w:after="0" w:line="22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We entered into an employment agreement, dated March 4, 2010, with our Chief Executive Officer, Dr. Yaron Daniely. This employment agreement was amended several times, with the latest amendment approved by our shareholders on February 17, 2014. Under the terms of his employment, Dr. Daniely is entitled to a gross annual salary of $360,000. In addition, Dr. Daniely will be eligible to receive an annual bonus in an amount of two to six months’ salary, to be determined based on the achievement of certain milestones set by our Board of Directors. In addition, Dr. Daniely receives under the agreement other benefits that are provided for by Israeli law or that are customary for senior executives in Israel, including the right to use (and all related fixed and variable costs in respect of) a leased car and cellular telephone, and contributions towards certain pension, severance, disability and tax-advantaged savings funds. Dr. Daniely’s employment engagement is terminable by either party upon sixty days prior written notice, and contains customary provisions regarding noncompetition, confidentiality of information and assignment of inventions.</w:t>
      </w:r>
    </w:p>
    <w:p>
      <w:pPr>
        <w:spacing w:after="0" w:line="179" w:lineRule="exact"/>
        <w:rPr>
          <w:sz w:val="20"/>
          <w:szCs w:val="20"/>
          <w:color w:val="auto"/>
        </w:rPr>
      </w:pPr>
    </w:p>
    <w:p>
      <w:pPr>
        <w:jc w:val="both"/>
        <w:ind w:right="140" w:firstLine="405"/>
        <w:spacing w:after="0" w:line="297" w:lineRule="auto"/>
        <w:rPr>
          <w:sz w:val="20"/>
          <w:szCs w:val="20"/>
          <w:color w:val="auto"/>
        </w:rPr>
      </w:pPr>
      <w:r>
        <w:rPr>
          <w:rFonts w:ascii="Arial" w:cs="Arial" w:eastAsia="Arial" w:hAnsi="Arial"/>
          <w:sz w:val="16"/>
          <w:szCs w:val="16"/>
          <w:color w:val="auto"/>
        </w:rPr>
        <w:t>As of February 19, 2015, Dr. Daniely held options to purchase 580,013 ordinary shares under our 2010 Incentive Option Plan, of which 467,514 were vested. During the fiscal year ended December 31, 2014, the amount of (i) salary and social benefits and (ii) other perquisites received by Dr. Daniely from the Company with respect to said fiscal year were (i) $445,000 and (ii) $14,000, respectively. Additionally, during the fiscal year ended December 31, 2014, the expense recorded in our financial statements with respect to equity-based compensation to Dr. Daniely was $1,196,000. Accordingly, the total amount of compensation received by Dr. Daniely from the Company during the fiscal year ended December 31, 2014, was $1,655,000.</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Tomer Berkovitz</w:t>
      </w:r>
    </w:p>
    <w:p>
      <w:pPr>
        <w:spacing w:after="0" w:line="225"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We entered into an employment agreement, dated February 19, 2014, with our Chief Financial Officer, Dr. Tomer Berkovitz. Under the terms of his employment agreement, Dr. Berkovitz is entitled to a gross annual salary of $275,000 in 2015. In addition, Dr. Berkovitz will be eligible to receive an annual bonus in an amount of up to six months’ salary, to be determined based on the achievement of certain milestones set by our CEO. In addition, Dr. Berkovitz receives under the agreement other benefits that are provided for by Israeli law or that are customary for senior executives in Israel, including the right to use (and all related fixed and variable costs in respect of) a leased car and cellular telephone, and contributions towards certain pension, severance, disability and tax-advantaged savings funds. Dr. Berkovitz’s employment engagement is terminable by either party upon sixty days prior written notice, and contains customary provisions regarding noncompetition, confidentiality of information and assignment of inventions.</w:t>
      </w:r>
    </w:p>
    <w:p>
      <w:pPr>
        <w:spacing w:after="0" w:line="167" w:lineRule="exact"/>
        <w:rPr>
          <w:sz w:val="20"/>
          <w:szCs w:val="20"/>
          <w:color w:val="auto"/>
        </w:rPr>
      </w:pPr>
    </w:p>
    <w:p>
      <w:pPr>
        <w:ind w:right="260" w:firstLine="405"/>
        <w:spacing w:after="0" w:line="273" w:lineRule="auto"/>
        <w:rPr>
          <w:sz w:val="20"/>
          <w:szCs w:val="20"/>
          <w:color w:val="auto"/>
        </w:rPr>
      </w:pPr>
      <w:r>
        <w:rPr>
          <w:rFonts w:ascii="Arial" w:cs="Arial" w:eastAsia="Arial" w:hAnsi="Arial"/>
          <w:sz w:val="17"/>
          <w:szCs w:val="17"/>
          <w:color w:val="auto"/>
        </w:rPr>
        <w:t>As of February 19, 2015, Dr. Berkovitz held options to purchase 200,000 ordinary shares under our 2010 Incentive Option Plan, none of which were vested. During the fiscal year ended December 31, 2014, and since his commencement with the Company in May 2014, the amount of (i) salary and social benefits, (ii) bonus payments and (iii) other perquisites received by Dr. Berkovitz from the Company with respect to said fiscal year were (i) $187,000, (ii) $62,000 and (iii) $9,000, respectively. Additionally, during the fiscal year ended December 31, 2014, the expense recorded in our financial statements with respect to equity-based compensation to Dr. Berkovitz was $230,000. Accordingly, the total amount of compensation received by Dr. Berkovitz from the Company during the fiscal year ended December 31, 2014, was $488,000.</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Jonathan Rubin</w:t>
      </w:r>
    </w:p>
    <w:p>
      <w:pPr>
        <w:spacing w:after="0" w:line="22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We entered into an employment agreement, dated July 25, 2013, with our Chief Medical Officer, Dr. Jonathan Rubin. Under the terms of his employment agreement, Dr. Rubin is entitled to a gross annual salary of $275,000. In addition, Dr. Rubin will be eligible to receive an annual bonus in an amount of up to six months’ salary, to be determined based on the achievement of certain milestones set by our CEO. Dr. Rubin is also entitled to a monthly car allowance of $500 and to a monthly reimbursement of $1,500 for health, dental and vision coverage. Dr. Rubins’s employment engagement is terminable by either party upon forty five days prior written notice, and contains customary provisions regarding noncompetition, confidentiality of information and assignment of inventions.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ind w:right="100" w:firstLine="405"/>
        <w:spacing w:after="0" w:line="297" w:lineRule="auto"/>
        <w:rPr>
          <w:sz w:val="20"/>
          <w:szCs w:val="20"/>
          <w:color w:val="auto"/>
        </w:rPr>
      </w:pPr>
      <w:r>
        <w:rPr>
          <w:rFonts w:ascii="Arial" w:cs="Arial" w:eastAsia="Arial" w:hAnsi="Arial"/>
          <w:sz w:val="16"/>
          <w:szCs w:val="16"/>
          <w:color w:val="auto"/>
        </w:rPr>
        <w:t>As of February 19, 2015, Dr. Rubin held options to purchase 157,915 ordinary shares under our 2010 Incentive Option Plan, of which 89,049 were vested. During the fiscal year ended December 31, 2014, the amount of (i) salary and social benefits and (ii) other perquisites received by Dr. Rubin from the Company with respect to said fiscal year were (i) $355,000 and (ii) $6,000, respectively. Additionally, during the fiscal year ended December 31, 2014, the expense recorded in our financial statements with respect to equity-based compensation to Dr. Rubin was $1,006,000. Accordingly, the total amount of compensation received by Dr. Rubin from the Company during the fiscal year ended December 31, 2014, was $1,347,000.</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David Baker</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entered into an employment agreement, dated January 13, 2014, with our Chief Commercial Officer, Mr. David Baker. Under the terms of his employment agreement, Mr. Baker is entitled to a gross annual salary of $305,000. In addition, Dr. Baker will be eligible to receive an annual bonus in an amount of up to six monthly salaries, to be determined based on the achievement of certain milestones set by our CEO. Mr. Baker is also entitled to a monthly car allowance of $500 and to a certain reimbursement for life insurance, dental and disability coverage. Mr. Baker's employment engagement is terminable by either party upon forty five days prior written notice, and contains customary provisions regarding noncompetition, confidentiality of information and assignment of inventions.</w:t>
      </w:r>
    </w:p>
    <w:p>
      <w:pPr>
        <w:spacing w:after="0" w:line="193"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As of February 19, 2015, Mr. Baker held options to purchase 200,000 ordinary shares under our 2010 Incentive Option Plan, none of which were vested. During the fiscal year ended December 31, 2014, the amount of (i) salary and social benefits and (ii) other perquisites received by Mr. Baker from the Company with respect to said fiscal year were (i) $332,000 and (ii) $6,000, respectively. Additionally, during the fiscal year ended December 31, 2014, the expense recorded in our financial statements with respect to equity-based compensation to Mr. Baker was $616,000. Accordingly, the total amount of compensation received by Mr. Baker from the Company during the fiscal year ended December 31, 2014, was $954,000.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Mrs. Hanna Ron</w:t>
      </w:r>
    </w:p>
    <w:p>
      <w:pPr>
        <w:spacing w:after="0" w:line="225"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entered into an employment agreement, dated June 1, 2013, with our Senior Vice President of CMC (chemistry manufacturing and controls), Mrs. Ron. Under the terms of her employment agreement, Mrs. Ron is entitled to a gross annual salary of $117,000. In addition, Mrs. Ron receives under the agreement other benefits that are provided for by Israeli law or that are customary for senior executives in Israel, including the right to use (and all related fixed and variable costs in respect of) a leased car and cellular telephone, and contributions towards certain pension, severance, disability and tax-advantaged savings funds. Mrs. Ron’s employment engagement is terminable by either party upon sixty days prior written notice, and contains customary provisions regarding noncompetition, confidentiality of information and assignment of inventions.</w:t>
      </w:r>
    </w:p>
    <w:p>
      <w:pPr>
        <w:spacing w:after="0" w:line="178"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As of February 19, 2015, Mrs. Ron held options to purchase 47,500 ordinary shares under our 2010 Incentive Option Plan, of which 9,375 were vested. During the fiscal year ended December 31, 2014, the amount of (i) salary and social benefits and (ii) other perquisites received by Mrs. Ron from the Company with respect to said fiscal year were (i) $153,000 and (ii) $12,000, respectively. Additionally, during the fiscal year ended December 31, 2014, the expense recorded in our financial statements with respect to equity-based compensation to Mrs. Ron was $161,000. Accordingly, the total amount of compensation received by Mrs. Ron from the Company during the fiscal year ended December 31, 2014, was $326,000.</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have written agreements with any director providing for benefits upon the termination of his employment with our company.</w:t>
      </w:r>
    </w:p>
    <w:p>
      <w:pPr>
        <w:spacing w:after="0" w:line="22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In December 2012, an amendment to the Companies Law, or Amendment 20, became effective, requiring companies to appoint a compensation committee. Our existing compensation committee as detailed in Item 6.C. “Board Practices. Board Committees. Compensation Committee” below meets this requirement.</w:t>
      </w:r>
    </w:p>
    <w:p>
      <w:pPr>
        <w:spacing w:after="0" w:line="181"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Amendment 20 also requires us to adopt an office holder compensation policy no later than nine months from our initial public offering that will set forth company policy, or the Compensation Policy, regarding the terms of office and employment of office holders, including compensation, equity awards, severance and other benefits, exemption from liability and indemnification, referred to as the Terms of Office and Employment. The term “office holder,” as defined in the Companies Law, includes directors, executive officers and any manager directly subordinate to the chief executive officer.</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9" w:name="page70"/>
    <w:bookmarkEnd w:id="69"/>
    <w:p>
      <w:pPr>
        <w:ind w:right="180" w:firstLine="405"/>
        <w:spacing w:after="0" w:line="288" w:lineRule="auto"/>
        <w:rPr>
          <w:sz w:val="20"/>
          <w:szCs w:val="20"/>
          <w:color w:val="auto"/>
        </w:rPr>
      </w:pPr>
      <w:r>
        <w:rPr>
          <w:rFonts w:ascii="Arial" w:cs="Arial" w:eastAsia="Arial" w:hAnsi="Arial"/>
          <w:sz w:val="16"/>
          <w:szCs w:val="16"/>
          <w:color w:val="auto"/>
        </w:rPr>
        <w:t>The Compensation Policy must be approved by the board of directors, after considering the recommendations of the compensation committee. The Compensation Policy must also be approved by a majority of the company’s shareholders, provided that (i) such majority includes at least a majority of the shareholders who are not controlling shareholders and who do not have a personal interest in the matter, present and voting (abstentions are disregarded), or</w:t>
      </w:r>
    </w:p>
    <w:p>
      <w:pPr>
        <w:ind w:right="40" w:firstLine="8"/>
        <w:spacing w:after="0" w:line="254"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non-controlling shareholders and shareholders who do not have a personal interest in the matter who were present and voted against the policy hold two percent or less of the voting power of the company. The Compensation Policy must be approved by the board of directors and the shareholders every three years. If the Compensation Policy is not approved by the shareholders, the compensation committee and the board of directors may nonetheless approve the policy, following further discussion of the matter and for specified reasons.</w:t>
      </w:r>
    </w:p>
    <w:p>
      <w:pPr>
        <w:spacing w:after="0" w:line="190"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Under Amendment 20, the Terms of Office and Employment of office holders require the approval of the compensation committee and the board of directors. The Terms of Office and Employment of directors and the chief executive officer must also be approved by shareholders.</w:t>
      </w:r>
    </w:p>
    <w:p>
      <w:pPr>
        <w:spacing w:after="0" w:line="14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Changes to existing Terms of Office and Employment of office holders (other than directors) can be made with the approval of the compensation committee only, if the committee determines that the change is not substantially different from the existing terms.</w:t>
      </w:r>
    </w:p>
    <w:p>
      <w:pPr>
        <w:spacing w:after="0" w:line="17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Under certain circumstances, the compensation committee and the board of directors may approve an arrangement that deviates from the Compensation Policy, provided that such arrangement is approved by the special majority of the company’s shareholders mentioned above. Such shareholder approval will also be required with respect to determining the Terms of Office and Employment of a director or the chief executive officer during the transition period until the company adopts a Compensation Policy. Notwithstanding the foregoing, a company may be exempted from receiving shareholder approval with respect to the Terms of Office and Employment of a candidate for chief executive officer if such candidate meets certain independence criteria, the terms are in line with the Compensation Policy and the compensation committee has determined for specified reasons that shareholder approval would prevent the engagement.</w:t>
      </w:r>
    </w:p>
    <w:p>
      <w:pPr>
        <w:spacing w:after="0" w:line="16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Under the Companies Law and related regulations, the compensation payable to statutory independent directors and independent directors is subject to certain further limitations. See Item 6.C. “Board Practices. External Directors” below.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shareholders approved a Compensation Policy in February 2014 that meets the above requirements.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6.C.</w:t>
      </w:r>
      <w:r>
        <w:rPr>
          <w:sz w:val="20"/>
          <w:szCs w:val="20"/>
          <w:color w:val="auto"/>
        </w:rPr>
        <w:tab/>
      </w:r>
      <w:r>
        <w:rPr>
          <w:rFonts w:ascii="Arial" w:cs="Arial" w:eastAsia="Arial" w:hAnsi="Arial"/>
          <w:sz w:val="16"/>
          <w:szCs w:val="16"/>
          <w:b w:val="1"/>
          <w:bCs w:val="1"/>
          <w:color w:val="auto"/>
        </w:rPr>
        <w:t>Board practices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Under the Israeli Companies Law, setting up the Company's policy and oversight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9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Under our amended and restated articles of association,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Currently, our Board of Directors consists of eight directors, including two external directors. We have only one class of directors.</w:t>
      </w:r>
    </w:p>
    <w:p>
      <w:pPr>
        <w:spacing w:after="0" w:line="18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Other than external directors, for whom special election requirements and terms of office apply under the Israeli Companies Law as detailed below, our directors are each elected at a general meeting of our shareholders and serve for a term of roughly one year. Directors may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0" w:name="page71"/>
    <w:bookmarkEnd w:id="70"/>
    <w:p>
      <w:pPr>
        <w:ind w:right="20" w:firstLine="405"/>
        <w:spacing w:after="0" w:line="257"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188"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In accordance with the exemption available to foreign private issuers under NASDAQ rules, we do not follow the requirements of the NASDAQ rules with regard to the process of nominating directors, and instead,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 Mr. Mor has such accounting and financial expertise.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Under the Israeli Companies Law, the boards of directors of companies whose shares are publicly traded, including companies with shares listed on the NASDAQ Global Market, are required to include at least two members elected to serve as external directors. Accordingly, Mr. Mor and Dr. Gelander have been elected to serve as external directors.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definitions of an external director under the Israeli Companies Law and independent director under NASDAQ listing rules are similar to such an extent that it would be generally expected that our two external directors will also comply with the independence requirement under the NASDAQ Stock Market rules. The definition of an external director includes a set of statutory criteria that must be satisfied, while the definition of an independent director also requires the board to consider any factor which would impair the ability of a director to exercise independent judgment. In addition, while external directors serve for a period of three years pursuant to the requirements of Israeli law, independent directors serve for one year pursuant to the provisions of our amended and restated articles of association. However, external directors must be elected by a special majority of shareholders while independent directors are elected by an ordinary majority.</w:t>
      </w:r>
    </w:p>
    <w:p>
      <w:pPr>
        <w:spacing w:after="0" w:line="189"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Israeli Companies Law provides that external directors must be elected by a majority vote of the shares present and voting at a shareholders meeting, provided that either:</w:t>
      </w:r>
    </w:p>
    <w:p>
      <w:pPr>
        <w:spacing w:after="0" w:line="170" w:lineRule="exact"/>
        <w:rPr>
          <w:sz w:val="20"/>
          <w:szCs w:val="20"/>
          <w:color w:val="auto"/>
        </w:rPr>
      </w:pPr>
    </w:p>
    <w:p>
      <w:pPr>
        <w:ind w:left="920" w:right="80" w:hanging="453"/>
        <w:spacing w:after="0" w:line="286" w:lineRule="auto"/>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majority voted in favor of election includes a majority of the shares held by non-controlling shareholders who do not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1" w:name="page72"/>
    <w:bookmarkEnd w:id="71"/>
    <w:p>
      <w:pPr>
        <w:ind w:left="920" w:right="340" w:hanging="453"/>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170"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 In connection with approval of certain extraordinary and interested party transactions as well as corporate approval of executive compensation, by shareholders, any shareholder (or group of shareholders having interest in the same matter being brought for approval) who hold(s) in the aggregate 25% or more of the means of control if no other shareholder holds more than 50% of the voting rights, would be deemed a controlling shareholder.</w:t>
      </w:r>
    </w:p>
    <w:p>
      <w:pPr>
        <w:spacing w:after="0" w:line="165"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After an initial term of three years, external directors may be reelected to serve in that capacity for up to two additional three year terms, provided that either (i) (1)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and (2) the external director who has been nominated in such fashion by the shareholders is not a linked or competing shareholder, and does not have or has not had, on or within the two years preceding the date of such person’s appointment to serve as another term as external director, any affiliation with a linked or competing shareholder. The term “linked or competing shareholder” means the shareholder(s) who nominated the external director for reappointment or a material shareholder of the company holding more than 5% of the shares in the company, provided that at the time of the reappointment, such shareholder(s) of the company, the controlling shareholder of such shareholder(s) of the company, or a company under such shareholder(s) of the company’s control, has a business relationship with the company or are competitors of the company; the Israeli Minister of Justice, in consultation with the Israeli Securities Authority, may determine that certain matters will not constitute a business relationship or competition with the company; or (ii) his or her service for each such additional term is recommended by the board of directors and is approved at a shareholders meeting by the same non-controlling and disinterested majority required for the initial election of an external director (as described above). The term of office for external directors for Israeli companies traded on certain foreign stock exchanges, including the NASDAQ Global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16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If the Board of Directors resolves that an external director no longer complies with the requirement of qualification as an external director, or that such external director has breached any fiduciary duty, a special general meeting shall be convened at which the termination of such external director’s service shall be included in the agenda.</w:t>
      </w:r>
    </w:p>
    <w:p>
      <w:pPr>
        <w:spacing w:after="0" w:line="181"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47"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Each committee of the board of directors that is authorized to exercise the powers of the board of directors must include at least one external director, except that the audit committee and the compensation committee must each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promulgated under the Companies Law. Compensation of an external director is determined prior to his or her appointment and may not be changed during his or her term subject to certain exceptions.</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2" w:name="page73"/>
    <w:bookmarkEnd w:id="72"/>
    <w:p>
      <w:pPr>
        <w:ind w:right="40" w:firstLine="405"/>
        <w:spacing w:after="0" w:line="254" w:lineRule="auto"/>
        <w:rPr>
          <w:sz w:val="20"/>
          <w:szCs w:val="20"/>
          <w:color w:val="auto"/>
        </w:rPr>
      </w:pPr>
      <w:r>
        <w:rPr>
          <w:rFonts w:ascii="Arial" w:cs="Arial" w:eastAsia="Arial" w:hAnsi="Arial"/>
          <w:sz w:val="18"/>
          <w:szCs w:val="18"/>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92"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The term relative is defined as a spouse, sibling, parent, grandparent or descendant; spouse's sibling, parent or descendant; and the spouse of each of the foregoing persons. The term affiliation and the similar types of prohibited relationships include (subject to certain exemptions):</w:t>
      </w:r>
    </w:p>
    <w:p>
      <w:pPr>
        <w:spacing w:after="0" w:line="147" w:lineRule="exact"/>
        <w:rPr>
          <w:sz w:val="20"/>
          <w:szCs w:val="20"/>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225" w:lineRule="exact"/>
        <w:rPr>
          <w:rFonts w:ascii="Arial" w:cs="Arial" w:eastAsia="Arial" w:hAnsi="Arial"/>
          <w:sz w:val="18"/>
          <w:szCs w:val="18"/>
          <w:color w:val="auto"/>
        </w:rPr>
      </w:pPr>
    </w:p>
    <w:p>
      <w:pPr>
        <w:ind w:left="920" w:right="180" w:hanging="453"/>
        <w:spacing w:after="0" w:line="264"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service as an office holder, excluding service as a director in a private company prior to the first offering of its shares to the public if such director was appointed as a director of the private company in order to be nominated to serve as an external director following the initial public offering.</w:t>
      </w:r>
    </w:p>
    <w:p>
      <w:pPr>
        <w:spacing w:after="0" w:line="18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81"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These restrictions extend for a period of two years with regard to the former external director and his or her spouse or child, and for one year with respect to other relatives of the former external director.</w:t>
      </w:r>
    </w:p>
    <w:p>
      <w:pPr>
        <w:spacing w:after="0" w:line="169"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According to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 (iii) has accounting and financial expertise as defined under Israeli law, then neither of our external directors is required to possess accounting and financial expertise as long as both possess other requisite professional qualifications.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3" w:name="page74"/>
    <w:bookmarkEnd w:id="73"/>
    <w:p>
      <w:pPr>
        <w:ind w:right="80" w:firstLine="405"/>
        <w:spacing w:after="0" w:line="291"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6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Our Board of Directors has determined that Mr. Mor possesses the requisite accounting and financial expertise and that Dr. Gelander possesses the requisite professional qualifications.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Mr. Howard Rosen to serve as Chairman of the Board of Directors.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Role of Board in Risk Oversight Process</w:t>
      </w:r>
    </w:p>
    <w:p>
      <w:pPr>
        <w:spacing w:after="0" w:line="225" w:lineRule="exact"/>
        <w:rPr>
          <w:sz w:val="20"/>
          <w:szCs w:val="20"/>
          <w:color w:val="auto"/>
        </w:rPr>
      </w:pPr>
    </w:p>
    <w:p>
      <w:pPr>
        <w:ind w:right="280" w:firstLine="405"/>
        <w:spacing w:after="0" w:line="273"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124" w:lineRule="exact"/>
        <w:rPr>
          <w:sz w:val="20"/>
          <w:szCs w:val="20"/>
          <w:color w:val="auto"/>
        </w:rPr>
      </w:pPr>
    </w:p>
    <w:p>
      <w:pPr>
        <w:jc w:val="both"/>
        <w:ind w:left="920" w:right="80" w:hanging="453"/>
        <w:spacing w:after="0" w:line="259"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 the audit committee of the company confirmed such qualifications; and</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4" w:name="page75"/>
    <w:bookmarkEnd w:id="74"/>
    <w:p>
      <w:pPr>
        <w:ind w:left="660" w:right="10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7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the Audit Committee consistent with the rules of the SEC and the Listing Rules of the NASDAQ Stock Market, as well as the requirements for such committee under the Israeli Companies Law, as described below.</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Audit Committee consists of Mr. Mor, who serves as the chairperson of the committee, Mr. Ben Yosef and Dr. Gelander.</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88" w:lineRule="exact"/>
        <w:rPr>
          <w:sz w:val="20"/>
          <w:szCs w:val="20"/>
          <w:color w:val="auto"/>
        </w:rPr>
      </w:pPr>
    </w:p>
    <w:p>
      <w:pPr>
        <w:ind w:right="40" w:firstLine="405"/>
        <w:spacing w:after="0" w:line="267" w:lineRule="auto"/>
        <w:rPr>
          <w:sz w:val="20"/>
          <w:szCs w:val="20"/>
          <w:color w:val="auto"/>
        </w:rPr>
      </w:pPr>
      <w:r>
        <w:rPr>
          <w:rFonts w:ascii="Arial" w:cs="Arial" w:eastAsia="Arial" w:hAnsi="Arial"/>
          <w:sz w:val="17"/>
          <w:szCs w:val="17"/>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 (ii) 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establishing procedures regarding related party transactions with a controlling shareholder, which may include, the establishment of a competitive process for such transaction, under the supervision of the audit committee or another individual or committee selected by the audit committee, in accordance with criteria determined by the audit committee; (iv) determining procedures for approving certain related party transactions with a controlling shareholder, which have been determined by the audit committee to not be extraordinary transactions, nor negligible transactions; (v) where the Board of Directors approves the working plan of the internal auditor, to examine such working plan before its submission to the Board and propose amendments thereto, (vi) examining our internal controls and internal auditor's performance, including whether the internal auditor has sufficient resources and tools to dispose of its responsibilities, (vii) examining the scope of our auditor's work and compensation and submitting a recommendation with respect thereto to our Board of Directors or shareholders, depending on which of them is considering the appointment of our auditor, and (viii)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NASDAQ requirements</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Under the Nasdaq Marketplace Rules, we are required to maintain an audit committee consisting of at least three independent directors, all of whom are financially literate and one of whom has accounting or related financial management expertise.</w:t>
      </w:r>
    </w:p>
    <w:p>
      <w:pPr>
        <w:spacing w:after="0" w:line="17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noted above, our audit committee consists of Dr. Gelander, Mr. Mor and Mr. Ben Yosef. Mr. Mor is an audit committee financial expert as defined by the SEC rules and has the requisite financial sophistication as defined by the Nasdaq Marketplace Rules. All of the members of our audit committee meet the requirements for financial literacy under the applicable rules and regulations of the SEC and the Listing Rules of the NASDAQ Stock Market.</w:t>
      </w:r>
    </w:p>
    <w:p>
      <w:pPr>
        <w:spacing w:after="0" w:line="14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Dr. Gelander, Mr. Mor and Ben Yosef are independent as such term is defined in Rule 10A-3(b)(1) under the Exchange Act and under the Listing Rules of the NASDAQ Stock Market.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5" w:name="page76"/>
    <w:bookmarkEnd w:id="75"/>
    <w:p>
      <w:pPr>
        <w:ind w:left="4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chose to rely upon the exemption available to foreign private issuers under the Listing Rules of the NASDAQ Stock Market with respect to the determination of the compensation of our Chief Executive Officer and other executive officers, and, in lieu of forming a compensation committee consisting entirely of independent directors (or the determination of such compensation solely by the independent members of our Board of Directors), we have a compensation committee in compliance with the Israeli Companies Law. See Item 16G. – “Corporate Governance." However, all of the current members of our compensation committee are independent.</w:t>
      </w:r>
    </w:p>
    <w:p>
      <w:pPr>
        <w:spacing w:after="0" w:line="18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Under the Israeli Companies Law,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applicable to the compensation of external directors, or amounts paid pursuant to indemnification and/or exculpation contracts or commitments and insurance coverage).</w:t>
      </w:r>
    </w:p>
    <w:p>
      <w:pPr>
        <w:spacing w:after="0" w:line="19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81"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Our compensation committee has adopted a compensation committee charter setting forth the responsibilities of the compensation committee consistent with the rules of the SEC and the Listing Rules of the NASDAQ Stock Market, as well as the Israeli Companies Law, as described below.</w:t>
      </w:r>
    </w:p>
    <w:p>
      <w:pPr>
        <w:spacing w:after="0" w:line="14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Our Compensation Committee consists of Dr. Gelander, who serves as the chairperson of the committee, Mr. Ben Yosef and Mr. Mor, all of whom are independent under the listing standards of the NASDAQ Global Market.</w:t>
      </w:r>
    </w:p>
    <w:p>
      <w:pPr>
        <w:spacing w:after="0" w:line="170" w:lineRule="exact"/>
        <w:rPr>
          <w:sz w:val="20"/>
          <w:szCs w:val="20"/>
          <w:color w:val="auto"/>
        </w:rPr>
      </w:pPr>
    </w:p>
    <w:p>
      <w:pPr>
        <w:jc w:val="both"/>
        <w:ind w:right="240" w:firstLine="405"/>
        <w:spacing w:after="0" w:line="279" w:lineRule="auto"/>
        <w:rPr>
          <w:sz w:val="20"/>
          <w:szCs w:val="20"/>
          <w:color w:val="auto"/>
        </w:rPr>
      </w:pPr>
      <w:r>
        <w:rPr>
          <w:rFonts w:ascii="Arial" w:cs="Arial" w:eastAsia="Arial" w:hAnsi="Arial"/>
          <w:sz w:val="17"/>
          <w:szCs w:val="17"/>
          <w:color w:val="auto"/>
        </w:rPr>
        <w:t>Under the Israeli Companies Law, our compensation committee is responsible for (i) proposing a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adopted an office holder compensation policy as required under the Israeli Companies Law.</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Our Board of Directors does not currently have a nominating committee, as director nominees are presented by our Board of Directors to our shareholders based upon the nominations made by the Board of Directors itself. We currently rely upon the exemption available to foreign private issuers under the Listing Rules of the NASDAQ Stock Market relating to independent director oversight of nominations to our Board of Directors and the adoption of a formal written charter or board resolution addressing the nominations process. See Item 16G. – “Corporate Governance."</w:t>
      </w:r>
    </w:p>
    <w:p>
      <w:pPr>
        <w:spacing w:after="0" w:line="17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do not have service contracts with any of our directors, except for Mr. Gilboa and Dr. Yaron Daniely. The service agreement with Mr. Gilboa was terminated on April 30, 2014 and the remaining directors’ compensation has been approved by our shareholders. Please see Item 6.B. – “Compensation" for a summary of these agreements.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6" w:name="page77"/>
    <w:bookmarkEnd w:id="76"/>
    <w:p>
      <w:pPr>
        <w:ind w:left="920" w:hanging="453"/>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person (or a relative of a person) who holds more than 5% of the Company's outstanding shares or voting rights;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member of the Company's independent accounting firm, or anyone on his or her behalf.</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Guy Sapir, CPA, a partner at PWC Israel, was appointed as our internal auditor. The role of the internal auditor is to examine, among other things, our compliance with applicable law and orderly business procedures.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6.D.</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As of the date hereof we have 13 employees. Our management consists of our Chief Executive Officer, Chief Financial Officer, Chief Medical Officer, Chief Commercial Officer, SVP CMC (chemistry manufacturing and controls), our VP for Finance, VP for Preclinical Development as well as our SVP for Regulatory Affairs. We further have service agreements with U.S.-based regulatory consultants as well as additional U.S.-based clinical consultants who are members of our clinical advisory board. We believe that we maintain good relations with all of them.</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6.E.</w:t>
      </w:r>
      <w:r>
        <w:rPr>
          <w:sz w:val="20"/>
          <w:szCs w:val="20"/>
          <w:color w:val="auto"/>
        </w:rPr>
        <w:tab/>
      </w:r>
      <w:r>
        <w:rPr>
          <w:rFonts w:ascii="Arial" w:cs="Arial" w:eastAsia="Arial" w:hAnsi="Arial"/>
          <w:sz w:val="15"/>
          <w:szCs w:val="15"/>
          <w:b w:val="1"/>
          <w:bCs w:val="1"/>
          <w:color w:val="auto"/>
        </w:rPr>
        <w:t>Share ownership</w:t>
      </w:r>
    </w:p>
    <w:p>
      <w:pPr>
        <w:spacing w:after="0" w:line="22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As of February 19, 2015, each of our executive officers and directors, other than Dr. Daniely and Mr. Gilboa , beneficially owned less than 1% of our Ordinary Shares. Dr. Daniely and Mr. Gilboa beneficially owned 2.1% and 12.2%, respectively.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information about the options to purchase our Ordinary Shares owned by Dr. Daniely that were outstanding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NUMBER OUTSTANDING EXERCISE PRICE</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rPr>
              <w:t>EXPIRATION DATE</w:t>
            </w:r>
          </w:p>
        </w:tc>
      </w:tr>
      <w:tr>
        <w:trPr>
          <w:trHeight w:val="210"/>
        </w:trPr>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340,460</w:t>
            </w:r>
          </w:p>
        </w:tc>
        <w:tc>
          <w:tcPr>
            <w:tcW w:w="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$0.33</w:t>
            </w:r>
          </w:p>
        </w:tc>
        <w:tc>
          <w:tcPr>
            <w:tcW w:w="12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15, 2020</w:t>
            </w: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0"/>
              </w:rPr>
              <w:t>89,553</w:t>
            </w: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$8.00</w:t>
            </w:r>
          </w:p>
        </w:tc>
        <w:tc>
          <w:tcPr>
            <w:tcW w:w="12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8"/>
              </w:rPr>
              <w:t>January 2, 2023</w:t>
            </w: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150,000</w:t>
            </w: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$23.85</w:t>
            </w:r>
          </w:p>
        </w:tc>
        <w:tc>
          <w:tcPr>
            <w:tcW w:w="120" w:type="dxa"/>
            <w:vAlign w:val="bottom"/>
            <w:shd w:val="clear" w:color="auto" w:fill="CCEEFF"/>
          </w:tcPr>
          <w:p>
            <w:pPr>
              <w:spacing w:after="0"/>
              <w:rPr>
                <w:sz w:val="18"/>
                <w:szCs w:val="18"/>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17, 2020</w:t>
            </w: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information regarding the share ownership of Mr. Gilboa see Item 7.A. “Major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Incentive Option Plan</w:t>
      </w:r>
    </w:p>
    <w:p>
      <w:pPr>
        <w:spacing w:after="0" w:line="22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maintain one equity incentive plan—our 2010 Incentive Option Plan, or our 2010 Plan. As of February 19, 2015, a total of 2,118,531 shares were reserved for issuance under our 2010 Plan, of which options to purchase 1,553,478 ordinary shares were issued and outstanding thereunder. Of such outstanding options, options to purchase 692,510 ordinary shares were vested as of February 19, 2015, with a weighted average exercise price of $7.127 per share.</w:t>
      </w:r>
    </w:p>
    <w:p>
      <w:pPr>
        <w:spacing w:after="0" w:line="18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2010 Plan, which was adopted by our Board of Directors on February 3, 2010, provides for the grant of options to our and our affiliates' respective directors, employees, office holders, service providers and consultants. The initial reserved pool under our 2010 plan has been increased by our Board of Directors a number of times, and most recently on December 16, 2014. Also, on December 16, 2014, our Board of Directors adopted an appendix to the 2010 Plan for U.S. residents.</w:t>
      </w:r>
    </w:p>
    <w:p>
      <w:pPr>
        <w:spacing w:after="0" w:line="18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2010 Plan is administered by our Board of Directors, which shall determine, subject to Israeli and U.S. law, the grantees of awards and various terms of the grant. The 2010 Plan provides for granting options in compliance with Section 102 of the Israeli Income Tax Ordinance, 1961, or the Ordinance, and under the United States Revenue Code of 1986, as amended.</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7" w:name="page78"/>
    <w:bookmarkEnd w:id="77"/>
    <w:p>
      <w:pPr>
        <w:ind w:left="420"/>
        <w:spacing w:after="0"/>
        <w:rPr>
          <w:sz w:val="20"/>
          <w:szCs w:val="20"/>
          <w:color w:val="auto"/>
        </w:rPr>
      </w:pPr>
      <w:r>
        <w:rPr>
          <w:rFonts w:ascii="Arial" w:cs="Arial" w:eastAsia="Arial" w:hAnsi="Arial"/>
          <w:sz w:val="17"/>
          <w:szCs w:val="17"/>
          <w:color w:val="auto"/>
        </w:rPr>
        <w:t>Options granted under the 2010 Plan to Israeli employees have been granted under the capital gains track of Section 102 of the Ordinance.</w:t>
      </w:r>
    </w:p>
    <w:p>
      <w:pPr>
        <w:spacing w:after="0" w:line="237"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69"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Options granted under the 2010 Plan will generally vest over four years commencing on the date of grant such that 25% vest after one year and an additional 6.25% vest at the end of each subsequent three-month period thereafter for 36 months, or pursuant to a vesting schedule that is determined according to pre-specified performance milestones in accordance with company’s objectives. Options that are not exercised within the pre-specified option term (generally five or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6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the event of a merger or consolidation of our company subsequent to which we shall no longer exist as a legal entity, or a sale of all, or substantially all, of our shares or assets or other transaction having a similar effect on us, then: (i) options granted on December 16, 2014 will become fully vested; (ii) other outstanding options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seven days, following which all outstanding options shall terminate.</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7.A.</w:t>
      </w:r>
      <w:r>
        <w:rPr>
          <w:sz w:val="20"/>
          <w:szCs w:val="20"/>
          <w:color w:val="auto"/>
        </w:rPr>
        <w:tab/>
      </w:r>
      <w:r>
        <w:rPr>
          <w:rFonts w:ascii="Arial" w:cs="Arial" w:eastAsia="Arial" w:hAnsi="Arial"/>
          <w:sz w:val="16"/>
          <w:szCs w:val="16"/>
          <w:b w:val="1"/>
          <w:bCs w:val="1"/>
          <w:color w:val="auto"/>
        </w:rPr>
        <w:t>Major shareholders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by each person or entity known to beneficially own more than 5% of our ordinary shares as of February 19, 2015, or a different date, if so provided in the table below or footnotes thereof.</w:t>
      </w:r>
    </w:p>
    <w:p>
      <w:pPr>
        <w:spacing w:after="0" w:line="170"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According to our transfer agent, as February 19, 2015, there were 20 record holders of our ordinary shares, among whom is one U.S. holder who beneficially owns less than 5% of our ordinary shares. None of our shareholders has different voting rights from other shareholders.</w:t>
      </w:r>
    </w:p>
    <w:p>
      <w:pPr>
        <w:spacing w:after="0" w:line="14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are not owned or controlled, directly or indirectly, by another corporation or by any foreign government. We are not aware of any arrangement that may, at a subsequent date, result in a change of control of our company.</w:t>
      </w:r>
    </w:p>
    <w:p>
      <w:pPr>
        <w:spacing w:after="0" w:line="170"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Alcobra Ltd., Amot Investment Building, 2 Weizman St. 9th Floor, Tel Aviv 6423902 Israel.</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Ordinary Shares</w:t>
            </w:r>
          </w:p>
        </w:tc>
      </w:tr>
      <w:tr>
        <w:trPr>
          <w:trHeight w:val="234"/>
        </w:trPr>
        <w:tc>
          <w:tcPr>
            <w:tcW w:w="7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Beneficially Owned</w:t>
            </w:r>
          </w:p>
        </w:tc>
      </w:tr>
      <w:tr>
        <w:trPr>
          <w:trHeight w:val="223"/>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Percentage</w:t>
            </w:r>
          </w:p>
        </w:tc>
        <w:tc>
          <w:tcPr>
            <w:tcW w:w="160" w:type="dxa"/>
            <w:vAlign w:val="bottom"/>
            <w:tcBorders>
              <w:bottom w:val="single" w:sz="8" w:color="CCEEFF"/>
            </w:tcBorders>
          </w:tcPr>
          <w:p>
            <w:pPr>
              <w:spacing w:after="0"/>
              <w:rPr>
                <w:sz w:val="19"/>
                <w:szCs w:val="19"/>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Udi Gilboa (1)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2,610,816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Dr. Dalia Megiddo (1)</w:t>
            </w:r>
          </w:p>
        </w:tc>
        <w:tc>
          <w:tcPr>
            <w:tcW w:w="1060" w:type="dxa"/>
            <w:vAlign w:val="bottom"/>
          </w:tcPr>
          <w:p>
            <w:pPr>
              <w:jc w:val="right"/>
              <w:spacing w:after="0"/>
              <w:rPr>
                <w:sz w:val="20"/>
                <w:szCs w:val="20"/>
                <w:color w:val="auto"/>
              </w:rPr>
            </w:pPr>
            <w:r>
              <w:rPr>
                <w:rFonts w:ascii="Arial" w:cs="Arial" w:eastAsia="Arial" w:hAnsi="Arial"/>
                <w:sz w:val="18"/>
                <w:szCs w:val="18"/>
                <w:color w:val="auto"/>
              </w:rPr>
              <w:t>2,556,359</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Knoll Capital Management (2)</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1,115,315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2"/>
        </w:trPr>
        <w:tc>
          <w:tcPr>
            <w:tcW w:w="7240" w:type="dxa"/>
            <w:vAlign w:val="bottom"/>
            <w:gridSpan w:val="2"/>
          </w:tcPr>
          <w:p>
            <w:pPr>
              <w:spacing w:after="0" w:line="201" w:lineRule="exact"/>
              <w:rPr>
                <w:sz w:val="20"/>
                <w:szCs w:val="20"/>
                <w:color w:val="auto"/>
              </w:rPr>
            </w:pPr>
            <w:r>
              <w:rPr>
                <w:rFonts w:ascii="Arial" w:cs="Arial" w:eastAsia="Arial" w:hAnsi="Arial"/>
                <w:sz w:val="18"/>
                <w:szCs w:val="18"/>
                <w:color w:val="auto"/>
              </w:rPr>
              <w:t>Venrock Healthcare Capital Partners, L.P., VHCP Co-Investment Holdings, LLC, Venrock</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w w:val="93"/>
              </w:rPr>
              <w:t>Healthcare Capital Partners II, L.P., VHCP Co-Investment Holdings II, LLC, VHCP Management,</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LLC, VHCP Management II, LLC, Bong Koh and Anders Hove (3)</w:t>
            </w:r>
          </w:p>
        </w:tc>
        <w:tc>
          <w:tcPr>
            <w:tcW w:w="1060" w:type="dxa"/>
            <w:vAlign w:val="bottom"/>
          </w:tcPr>
          <w:p>
            <w:pPr>
              <w:jc w:val="right"/>
              <w:spacing w:after="0"/>
              <w:rPr>
                <w:sz w:val="20"/>
                <w:szCs w:val="20"/>
                <w:color w:val="auto"/>
              </w:rPr>
            </w:pPr>
            <w:r>
              <w:rPr>
                <w:rFonts w:ascii="Arial" w:cs="Arial" w:eastAsia="Arial" w:hAnsi="Arial"/>
                <w:sz w:val="18"/>
                <w:szCs w:val="18"/>
                <w:color w:val="auto"/>
              </w:rPr>
              <w:t>1,500,000</w:t>
            </w:r>
          </w:p>
        </w:tc>
        <w:tc>
          <w:tcPr>
            <w:tcW w:w="1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 Point Partners, LLC, Jeffrey R. Jay and David Kroin (4)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1,132,000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Broadfin Capital, LLC, Broadfin Healthcare Master Fund, Ltd. and Kevin Kotler (5)</w:t>
            </w:r>
          </w:p>
        </w:tc>
        <w:tc>
          <w:tcPr>
            <w:tcW w:w="1060" w:type="dxa"/>
            <w:vAlign w:val="bottom"/>
          </w:tcPr>
          <w:p>
            <w:pPr>
              <w:jc w:val="right"/>
              <w:spacing w:after="0"/>
              <w:rPr>
                <w:sz w:val="20"/>
                <w:szCs w:val="20"/>
                <w:color w:val="auto"/>
              </w:rPr>
            </w:pPr>
            <w:r>
              <w:rPr>
                <w:rFonts w:ascii="Arial" w:cs="Arial" w:eastAsia="Arial" w:hAnsi="Arial"/>
                <w:sz w:val="18"/>
                <w:szCs w:val="18"/>
                <w:color w:val="auto"/>
              </w:rPr>
              <w:t>1,379,806</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02"/>
        </w:trPr>
        <w:tc>
          <w:tcPr>
            <w:tcW w:w="7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James E. Flynn, Deerfield Mgmt, L.P., Deerfield Special Situations Fund, L.P., and Deerfield</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Company, L.P. (5)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1,413,208</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bl>
    <w:p>
      <w:pPr>
        <w:spacing w:after="0" w:line="202"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Based solely on an Amendment 1 to Schedule 13G filed with the SEC on February 17, 2015, and which reflects holdings as of December 31, 2014.</w:t>
      </w:r>
    </w:p>
    <w:p>
      <w:pPr>
        <w:spacing w:after="0" w:line="46" w:lineRule="exact"/>
        <w:rPr>
          <w:rFonts w:ascii="Arial" w:cs="Arial" w:eastAsia="Arial" w:hAnsi="Arial"/>
          <w:sz w:val="16"/>
          <w:szCs w:val="16"/>
          <w:i w:val="1"/>
          <w:iCs w:val="1"/>
          <w:color w:val="auto"/>
        </w:rPr>
      </w:pPr>
    </w:p>
    <w:p>
      <w:pPr>
        <w:ind w:left="660" w:hanging="328"/>
        <w:spacing w:after="0"/>
        <w:tabs>
          <w:tab w:leader="none" w:pos="66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Based solely on an Amendment 2 to Schedule 13G filed with the SEC on February 17, 2015, and which reflects holdings as of February 17, 2015.</w:t>
      </w:r>
    </w:p>
    <w:p>
      <w:pPr>
        <w:spacing w:after="0" w:line="32" w:lineRule="exact"/>
        <w:rPr>
          <w:rFonts w:ascii="Arial" w:cs="Arial" w:eastAsia="Arial" w:hAnsi="Arial"/>
          <w:sz w:val="16"/>
          <w:szCs w:val="16"/>
          <w:i w:val="1"/>
          <w:iCs w:val="1"/>
          <w:color w:val="auto"/>
        </w:rPr>
      </w:pPr>
    </w:p>
    <w:p>
      <w:pPr>
        <w:ind w:left="660" w:hanging="328"/>
        <w:spacing w:after="0"/>
        <w:tabs>
          <w:tab w:leader="none" w:pos="6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 Schedule 13G filed with the SEC on January 26, 2015, and which reflects holdings as of January 14, 2015.</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 Schedule 13G filed with the SEC on January 20, 2015, and which reflects holdings as of January 9, 2015.</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 Schedule 13G filed with the SEC on January 16, 2015, and which reflects holdings as of January 9, 2015.</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7.B.</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6.B "Compensation" for compensation to our directors and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20" w:firstLine="389"/>
        <w:spacing w:after="0" w:line="279" w:lineRule="auto"/>
        <w:rPr>
          <w:sz w:val="20"/>
          <w:szCs w:val="20"/>
          <w:color w:val="auto"/>
        </w:rPr>
      </w:pPr>
      <w:r>
        <w:rPr>
          <w:rFonts w:ascii="Arial" w:cs="Arial" w:eastAsia="Arial" w:hAnsi="Arial"/>
          <w:sz w:val="17"/>
          <w:szCs w:val="17"/>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We have also obtained Directors &amp; Officers insurance for each of our officers and directors. For further information, see "Management—Exculpation, Insurance and Indemnification of Directors and Officers."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7.C.</w:t>
      </w:r>
      <w:r>
        <w:rPr>
          <w:sz w:val="20"/>
          <w:szCs w:val="20"/>
          <w:color w:val="auto"/>
        </w:rPr>
        <w:tab/>
      </w:r>
      <w:r>
        <w:rPr>
          <w:rFonts w:ascii="Arial" w:cs="Arial" w:eastAsia="Arial" w:hAnsi="Arial"/>
          <w:sz w:val="15"/>
          <w:szCs w:val="15"/>
          <w:b w:val="1"/>
          <w:bCs w:val="1"/>
          <w:color w:val="auto"/>
        </w:rPr>
        <w:t>Interests of experts and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8.A.</w:t>
      </w:r>
      <w:r>
        <w:rPr>
          <w:sz w:val="20"/>
          <w:szCs w:val="20"/>
          <w:color w:val="auto"/>
        </w:rPr>
        <w:tab/>
      </w:r>
      <w:r>
        <w:rPr>
          <w:rFonts w:ascii="Arial" w:cs="Arial" w:eastAsia="Arial" w:hAnsi="Arial"/>
          <w:sz w:val="16"/>
          <w:szCs w:val="16"/>
          <w:b w:val="1"/>
          <w:bCs w:val="1"/>
          <w:color w:val="auto"/>
        </w:rPr>
        <w:t>Consolidated statements and other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18 – Financial Statements.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19, 2014, a class action lawsuit was filed against us and certain of our current and former officers and directors in the United States District Court for the Southern District of New York. The case was filed on behalf of a putative class of investors who purchased or acquired our publicly traded securities between March 28, 2014 and November 14, 2014. The complaint asserted violations of Sections 10(b) and 20(a) of the Exchange Act and SEC Rule 10b-5. The complaint alleged, among other things, that our officers and directors made false or misleading statements relating to the results of our Phase III study for our MDX drug candidate. The complaint sought an unspecified amount of damages, as well as other forms of relief. On December 16, 2014, another class action lawsuit was filed against us and certain of our current and former officers and directors in the United States District Court for the Southern District of New York. This complaint is largely identical to the earlier complaint and purports to bring the same claims on behalf of the same putative class. On December 23, 2014, the first plaintiff in the first action moved to voluntarily dismiss his case which motion was granted on December 30, 2014. On February 9, 2015, the court appointed a group of investors to act as lead plaintiff for the second action. To date, we have not been served with any of the lawsuits. Unfavorable resolution of current and similar future proceedings could have a material adverse effect on our financial condition and results of operations. See Item 3.D. Risk Factors "We may be subject to any number of legal proceedings, which may be expensive and could divert management attention.”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Israeli Companies Law imposes further restrictions on our ability to declare and pay dividends. See “Description of Share Capital—Dividend and Liquidation Rights” for additional information.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 of dividends may be subject to Israeli withholding taxes. See Item 10E below, “Taxation”, for additional information.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8.B.</w:t>
      </w:r>
      <w:r>
        <w:rPr>
          <w:sz w:val="20"/>
          <w:szCs w:val="20"/>
          <w:color w:val="auto"/>
        </w:rPr>
        <w:tab/>
      </w:r>
      <w:r>
        <w:rPr>
          <w:rFonts w:ascii="Arial" w:cs="Arial" w:eastAsia="Arial" w:hAnsi="Arial"/>
          <w:sz w:val="15"/>
          <w:szCs w:val="15"/>
          <w:b w:val="1"/>
          <w:bCs w:val="1"/>
          <w:color w:val="auto"/>
        </w:rPr>
        <w:t>Significant changes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Except as disclosed elsewhere in this annual report, there have been no other significant changes from December 31, 2014, until the date of the filing of this annual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9.A.</w:t>
      </w:r>
      <w:r>
        <w:rPr>
          <w:sz w:val="20"/>
          <w:szCs w:val="20"/>
          <w:color w:val="auto"/>
        </w:rPr>
        <w:tab/>
      </w:r>
      <w:r>
        <w:rPr>
          <w:rFonts w:ascii="Arial" w:cs="Arial" w:eastAsia="Arial" w:hAnsi="Arial"/>
          <w:sz w:val="16"/>
          <w:szCs w:val="16"/>
          <w:b w:val="1"/>
          <w:bCs w:val="1"/>
          <w:color w:val="auto"/>
        </w:rPr>
        <w:t>Offer and listing details</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ordinary shares have been listed on the NASDAQ Capital Market under the symbol “ADHD” since May 22, 2013. Starting from March 28, 2014, our ordinary shares have been be listed on the NASDAQ Global Market. Prior to that date, there was no public trading market for our ordinary shares. Our initial public offering was priced at $8.00 per share on May 21, 2013. The following table sets forth for the periods indicated the high and low sales prices per ordinary share as reported on the NASDAQ Capital Market and the NASDAQ Global Market: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Annual Information:</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r>
      <w:tr>
        <w:trPr>
          <w:trHeight w:val="210"/>
        </w:trPr>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25.44</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 Information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Second Quarter 2013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Fourth Quarter 2013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26.96</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Second Quarter 2014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21.33</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22.19</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Fourth Quarter 2014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Monthly Information: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September 2014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21.53</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October 2014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November 2014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December 2014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January 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February 2015 (through February 25, 2015)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0" w:name="page81"/>
    <w:bookmarkEnd w:id="80"/>
    <w:p>
      <w:pPr>
        <w:spacing w:after="0"/>
        <w:tabs>
          <w:tab w:leader="none" w:pos="640" w:val="left"/>
        </w:tabs>
        <w:rPr>
          <w:sz w:val="20"/>
          <w:szCs w:val="20"/>
          <w:color w:val="auto"/>
        </w:rPr>
      </w:pPr>
      <w:r>
        <w:rPr>
          <w:rFonts w:ascii="Arial" w:cs="Arial" w:eastAsia="Arial" w:hAnsi="Arial"/>
          <w:sz w:val="18"/>
          <w:szCs w:val="18"/>
          <w:b w:val="1"/>
          <w:bCs w:val="1"/>
          <w:color w:val="auto"/>
        </w:rPr>
        <w:t>9.B.</w:t>
      </w:r>
      <w:r>
        <w:rPr>
          <w:sz w:val="20"/>
          <w:szCs w:val="20"/>
          <w:color w:val="auto"/>
        </w:rPr>
        <w:tab/>
      </w:r>
      <w:r>
        <w:rPr>
          <w:rFonts w:ascii="Arial" w:cs="Arial" w:eastAsia="Arial" w:hAnsi="Arial"/>
          <w:sz w:val="16"/>
          <w:szCs w:val="16"/>
          <w:b w:val="1"/>
          <w:bCs w:val="1"/>
          <w:color w:val="auto"/>
        </w:rPr>
        <w:t>Plan of distribution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9.C.</w:t>
      </w:r>
      <w:r>
        <w:rPr>
          <w:sz w:val="20"/>
          <w:szCs w:val="20"/>
          <w:color w:val="auto"/>
        </w:rPr>
        <w:tab/>
      </w:r>
      <w:r>
        <w:rPr>
          <w:rFonts w:ascii="Arial" w:cs="Arial" w:eastAsia="Arial" w:hAnsi="Arial"/>
          <w:sz w:val="16"/>
          <w:szCs w:val="16"/>
          <w:b w:val="1"/>
          <w:bCs w:val="1"/>
          <w:color w:val="auto"/>
        </w:rPr>
        <w:t>Market for Ordinary Shares</w:t>
      </w:r>
    </w:p>
    <w:p>
      <w:pPr>
        <w:spacing w:after="0" w:line="22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Ordinary Shares have been quoted on the NASDAQ Capital Market since May 22, 2013 under the symbol ADHD. Starting from March 28, 2014, our Shares have been quoted on the NASDAQ Global Market.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9.D.</w:t>
      </w:r>
      <w:r>
        <w:rPr>
          <w:sz w:val="20"/>
          <w:szCs w:val="20"/>
          <w:color w:val="auto"/>
        </w:rPr>
        <w:tab/>
      </w:r>
      <w:r>
        <w:rPr>
          <w:rFonts w:ascii="Arial" w:cs="Arial" w:eastAsia="Arial" w:hAnsi="Arial"/>
          <w:sz w:val="15"/>
          <w:szCs w:val="15"/>
          <w:b w:val="1"/>
          <w:bCs w:val="1"/>
          <w:color w:val="auto"/>
        </w:rPr>
        <w:t>Selling shareholders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r>
        <w:rPr>
          <w:rFonts w:ascii="Arial" w:cs="Arial" w:eastAsia="Arial" w:hAnsi="Arial"/>
          <w:sz w:val="18"/>
          <w:szCs w:val="18"/>
          <w:b w:val="1"/>
          <w:bCs w:val="1"/>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9.E.</w:t>
      </w:r>
      <w:r>
        <w:rPr>
          <w:sz w:val="20"/>
          <w:szCs w:val="20"/>
          <w:color w:val="auto"/>
        </w:rPr>
        <w:tab/>
      </w:r>
      <w:r>
        <w:rPr>
          <w:rFonts w:ascii="Arial" w:cs="Arial" w:eastAsia="Arial" w:hAnsi="Arial"/>
          <w:sz w:val="16"/>
          <w:szCs w:val="16"/>
          <w:b w:val="1"/>
          <w:bCs w:val="1"/>
          <w:color w:val="auto"/>
        </w:rPr>
        <w:t>Dilution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r>
        <w:rPr>
          <w:rFonts w:ascii="Arial" w:cs="Arial" w:eastAsia="Arial" w:hAnsi="Arial"/>
          <w:sz w:val="18"/>
          <w:szCs w:val="18"/>
          <w:b w:val="1"/>
          <w:bCs w:val="1"/>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9.F.</w:t>
      </w:r>
      <w:r>
        <w:rPr>
          <w:sz w:val="20"/>
          <w:szCs w:val="20"/>
          <w:color w:val="auto"/>
        </w:rPr>
        <w:tab/>
      </w:r>
      <w:r>
        <w:rPr>
          <w:rFonts w:ascii="Arial" w:cs="Arial" w:eastAsia="Arial" w:hAnsi="Arial"/>
          <w:sz w:val="15"/>
          <w:szCs w:val="15"/>
          <w:b w:val="1"/>
          <w:bCs w:val="1"/>
          <w:color w:val="auto"/>
        </w:rPr>
        <w:t>Expenses of the issue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10.A.</w:t>
      </w:r>
      <w:r>
        <w:rPr>
          <w:sz w:val="20"/>
          <w:szCs w:val="20"/>
          <w:color w:val="auto"/>
        </w:rPr>
        <w:tab/>
      </w:r>
      <w:r>
        <w:rPr>
          <w:rFonts w:ascii="Arial" w:cs="Arial" w:eastAsia="Arial" w:hAnsi="Arial"/>
          <w:sz w:val="16"/>
          <w:szCs w:val="16"/>
          <w:b w:val="1"/>
          <w:bCs w:val="1"/>
          <w:color w:val="auto"/>
        </w:rPr>
        <w:t>Share capital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10.B.</w:t>
      </w:r>
      <w:r>
        <w:rPr>
          <w:sz w:val="20"/>
          <w:szCs w:val="20"/>
          <w:color w:val="auto"/>
        </w:rPr>
        <w:tab/>
      </w:r>
      <w:r>
        <w:rPr>
          <w:rFonts w:ascii="Arial" w:cs="Arial" w:eastAsia="Arial" w:hAnsi="Arial"/>
          <w:sz w:val="15"/>
          <w:szCs w:val="15"/>
          <w:b w:val="1"/>
          <w:bCs w:val="1"/>
          <w:color w:val="auto"/>
        </w:rPr>
        <w:t>Articles of Association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Register</w:t>
      </w:r>
    </w:p>
    <w:p>
      <w:pPr>
        <w:spacing w:after="0" w:line="225" w:lineRule="exact"/>
        <w:rPr>
          <w:sz w:val="20"/>
          <w:szCs w:val="20"/>
          <w:color w:val="auto"/>
        </w:rPr>
      </w:pPr>
    </w:p>
    <w:p>
      <w:pPr>
        <w:ind w:right="280" w:firstLine="383"/>
        <w:spacing w:after="0" w:line="277" w:lineRule="auto"/>
        <w:rPr>
          <w:sz w:val="20"/>
          <w:szCs w:val="20"/>
          <w:color w:val="auto"/>
        </w:rPr>
      </w:pPr>
      <w:r>
        <w:rPr>
          <w:rFonts w:ascii="Arial" w:cs="Arial" w:eastAsia="Arial" w:hAnsi="Arial"/>
          <w:sz w:val="18"/>
          <w:szCs w:val="18"/>
          <w:color w:val="auto"/>
        </w:rPr>
        <w:t>We are registered with the Israeli Registrar of Companies. Our registration number is 51-409899-5. Section 1.2 of our articles of association provides that we may engage in any type of lawful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right="140" w:firstLine="383"/>
        <w:spacing w:after="0" w:line="297" w:lineRule="auto"/>
        <w:rPr>
          <w:sz w:val="20"/>
          <w:szCs w:val="20"/>
          <w:color w:val="auto"/>
        </w:rPr>
      </w:pPr>
      <w:r>
        <w:rPr>
          <w:rFonts w:ascii="Arial" w:cs="Arial" w:eastAsia="Arial" w:hAnsi="Arial"/>
          <w:sz w:val="16"/>
          <w:szCs w:val="16"/>
          <w:color w:val="auto"/>
        </w:rPr>
        <w:t>The Companies Law requires that certain transactions, actions and arrangements be approved as provided for in a company's articles of association and in certain circumstances by the audit committee, the compensation committee, by the board of directors itself and by the shareholders. The vote required by the audit committee and the board of directors for approval of such matters, in each case, is a majority of the disinterested directors participating in a duly convened meeting. If, however, a majority of the members participating in such meeting have a personal interest in the approval of such matter, then all directors may participate in the discussions and the voting on approval thereof and in such case the matter shall be subject to further shareholder approval.</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1" w:name="page82"/>
    <w:bookmarkEnd w:id="81"/>
    <w:p>
      <w:pPr>
        <w:ind w:firstLine="401"/>
        <w:spacing w:after="0" w:line="269"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183" w:lineRule="exact"/>
        <w:rPr>
          <w:sz w:val="20"/>
          <w:szCs w:val="20"/>
          <w:color w:val="auto"/>
        </w:rPr>
      </w:pPr>
    </w:p>
    <w:p>
      <w:pPr>
        <w:ind w:left="920" w:hanging="453"/>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w:t>
      </w:r>
    </w:p>
    <w:p>
      <w:pPr>
        <w:spacing w:after="0" w:line="17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66" w:lineRule="exact"/>
        <w:rPr>
          <w:sz w:val="20"/>
          <w:szCs w:val="20"/>
          <w:color w:val="auto"/>
        </w:rPr>
      </w:pPr>
    </w:p>
    <w:p>
      <w:pPr>
        <w:ind w:left="920" w:hanging="453"/>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disinterested majority; or</w:t>
      </w:r>
    </w:p>
    <w:p>
      <w:pPr>
        <w:spacing w:after="0" w:line="225" w:lineRule="exact"/>
        <w:rPr>
          <w:rFonts w:ascii="Arial" w:cs="Arial" w:eastAsia="Arial" w:hAnsi="Arial"/>
          <w:sz w:val="18"/>
          <w:szCs w:val="18"/>
          <w:color w:val="auto"/>
        </w:rPr>
      </w:pPr>
    </w:p>
    <w:p>
      <w:pPr>
        <w:ind w:left="920" w:right="120" w:hanging="453"/>
        <w:spacing w:after="0" w:line="342" w:lineRule="auto"/>
        <w:tabs>
          <w:tab w:leader="none" w:pos="9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124"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47"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generally, the shareholders, in that order.</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articles of association provide that, all actions done bona fide at any meeting of the board of directors or by a committee thereof or by any person(s) acting as director(s) will, notwithstanding that it may afterwards be discovered that there was some defect in the appointment of the participants in such meeting or any of them or any person(s) acting as aforesaid, or that they or any of them were disqualified, be as valid as if there were no such defector disqualification.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2" w:name="page83"/>
    <w:bookmarkEnd w:id="82"/>
    <w:p>
      <w:pPr>
        <w:ind w:right="180" w:firstLine="405"/>
        <w:spacing w:after="0" w:line="264" w:lineRule="auto"/>
        <w:rPr>
          <w:sz w:val="20"/>
          <w:szCs w:val="20"/>
          <w:color w:val="auto"/>
        </w:rPr>
      </w:pPr>
      <w:r>
        <w:rPr>
          <w:rFonts w:ascii="Arial" w:cs="Arial" w:eastAsia="Arial" w:hAnsi="Arial"/>
          <w:sz w:val="18"/>
          <w:szCs w:val="18"/>
          <w:color w:val="auto"/>
        </w:rPr>
        <w:t>Pursuant to the Companies Law, generally a director who has a personal interest in an extraordinary transaction which is brought for discussion before our board of directors or its committees shall neither vote in nor attend discussions concerning the approval of such transaction. If the director did vote or attend as aforesaid, the approval given to the aforesaid activity or arrangement will generally be invalid.</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articles of association provide that, subject to the Companies Law, our board of directors may delegate its authority, in whole or in part, to such committees of the board of directors as it deems appropriate, and it may from time to time revoke such delegation. To the extent permitted by the Companies Law, our board of directors may from time to time confer upon and delegate to a President, Chief Executive Officer, Chief Operating Officer or other executive officer then holding office, such authorities and duties of the board of directors as it deems fit, and they may delegate such authorities and duties for such period and for such purposes and subject to such conditions and restrictions which they consider in our best interests, without waiving the authorities of the board of directors with respect thereto.</w:t>
      </w:r>
    </w:p>
    <w:p>
      <w:pPr>
        <w:spacing w:after="0" w:line="19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Arrangements regarding compensation of directors require the approval of the compensation committee, audit committee, our board of directors and the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Preferences and Restrictions of Shares</w:t>
      </w:r>
    </w:p>
    <w:p>
      <w:pPr>
        <w:spacing w:after="0" w:line="22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Our share capital is NIS 500,000, divided into 50,000,000 Ordinary shares NIS 0.01 par value per share.</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Ordinary Shares do not have cumulative voting rights in the election of directors. As a result, the holders of Ordinary Shares that represent more than 50% of the voting power have the power to elect all the Directors.</w:t>
      </w:r>
    </w:p>
    <w:p>
      <w:pPr>
        <w:spacing w:after="0" w:line="170" w:lineRule="exact"/>
        <w:rPr>
          <w:rFonts w:ascii="Arial" w:cs="Arial" w:eastAsia="Arial" w:hAnsi="Arial"/>
          <w:sz w:val="18"/>
          <w:szCs w:val="18"/>
          <w:color w:val="auto"/>
        </w:rPr>
      </w:pPr>
    </w:p>
    <w:p>
      <w:pPr>
        <w:ind w:left="660" w:right="80" w:hanging="328"/>
        <w:spacing w:after="0" w:line="272"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Dividend and liquidation rights.</w:t>
      </w:r>
      <w:r>
        <w:rPr>
          <w:rFonts w:ascii="Arial" w:cs="Arial" w:eastAsia="Arial" w:hAnsi="Arial"/>
          <w:sz w:val="17"/>
          <w:szCs w:val="17"/>
          <w:color w:val="auto"/>
        </w:rPr>
        <w:t xml:space="preserve"> Our board of directors may declare a dividend to be paid to the holders of our Ordinary Shares according to their rights and interests in our profits and may fix the record date for eligibility and the time for payment. The directors may from time to time pay to the shareholders on account of the next forthcoming dividend such interim dividends as, in their judgment, our position justifies. All dividends unclaimed for one year after having been declared may be invested or otherwise used by the directors for our benefit until claimed. No unpaid dividend or interest shall bear interest as against us. Our board of directors may determine that a dividend may be paid, wholly or partially, by the distribution of certain of our assets or by a distribution of paid up shares, debentures or debenture stock or any of our securities or of any other companies or in any one or more of such ways in the manner and to the extent permitted by the Companies Law.</w:t>
      </w:r>
    </w:p>
    <w:p>
      <w:pPr>
        <w:spacing w:after="0" w:line="177" w:lineRule="exact"/>
        <w:rPr>
          <w:rFonts w:ascii="Arial" w:cs="Arial" w:eastAsia="Arial" w:hAnsi="Arial"/>
          <w:sz w:val="17"/>
          <w:szCs w:val="17"/>
          <w:color w:val="auto"/>
        </w:rPr>
      </w:pPr>
    </w:p>
    <w:p>
      <w:pPr>
        <w:ind w:left="660" w:right="2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Transfer of shares; record dates.</w:t>
      </w:r>
      <w:r>
        <w:rPr>
          <w:rFonts w:ascii="Arial" w:cs="Arial" w:eastAsia="Arial" w:hAnsi="Arial"/>
          <w:sz w:val="18"/>
          <w:szCs w:val="18"/>
          <w:color w:val="auto"/>
        </w:rPr>
        <w:t xml:space="preserve"> Fully paid up Ordinary Shares may be freely transferred pursuant to our amended and restated articles of association unless such transfer is restricted or prohibited by another instrument or securities laws. Each shareholder who would be entitled to attend and vote at a General Meeting of shareholders is entitled to receive notice of any such meeting. For purposes of determining the shareholders entitled to notice and to vote at such meeting, the board of directors will fix a record date.</w:t>
      </w:r>
    </w:p>
    <w:p>
      <w:pPr>
        <w:spacing w:after="0" w:line="186" w:lineRule="exact"/>
        <w:rPr>
          <w:rFonts w:ascii="Arial" w:cs="Arial" w:eastAsia="Arial" w:hAnsi="Arial"/>
          <w:sz w:val="18"/>
          <w:szCs w:val="18"/>
          <w:color w:val="auto"/>
        </w:rPr>
      </w:pPr>
    </w:p>
    <w:p>
      <w:pPr>
        <w:ind w:left="660" w:right="120" w:hanging="328"/>
        <w:spacing w:after="0" w:line="272"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Voting; annual general and extraordinary meetings.</w:t>
      </w:r>
      <w:r>
        <w:rPr>
          <w:rFonts w:ascii="Arial" w:cs="Arial" w:eastAsia="Arial" w:hAnsi="Arial"/>
          <w:sz w:val="17"/>
          <w:szCs w:val="17"/>
          <w:color w:val="auto"/>
        </w:rPr>
        <w:t xml:space="preserve"> Subject to any rights or restrictions for the time being attached to any class or classes of shares, each shareholder shall have one vote for each share of which he or she is the holder, whether on a show of hands or on a poll. Our articles of association do not permit cumulative voting and it is not mandated by Israeli law. Votes may be given either personally or by proxy. A proxy need not be a shareholder. If any shareholder is without legal capacity, he may vote by means of a trustee or a legal custodian, who may vote either personally or by proxy. If two or more persons are jointly entitled to a share then, in voting upon any question, the vote of the senior person who tenders a vote, whether in person or by proxy, shall be accepted to the exclusion of the votes of the other registered holders of the share and, for this purpose seniority shall be determined by the order in which the names stand in the shareholder register.</w:t>
      </w:r>
    </w:p>
    <w:p>
      <w:pPr>
        <w:spacing w:after="0" w:line="177" w:lineRule="exact"/>
        <w:rPr>
          <w:rFonts w:ascii="Arial" w:cs="Arial" w:eastAsia="Arial" w:hAnsi="Arial"/>
          <w:sz w:val="17"/>
          <w:szCs w:val="17"/>
          <w:color w:val="auto"/>
        </w:rPr>
      </w:pPr>
    </w:p>
    <w:p>
      <w:pPr>
        <w:ind w:left="660" w:right="40" w:hanging="328"/>
        <w:spacing w:after="0" w:line="25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Quorum for general meetings.</w:t>
      </w:r>
      <w:r>
        <w:rPr>
          <w:rFonts w:ascii="Arial" w:cs="Arial" w:eastAsia="Arial" w:hAnsi="Arial"/>
          <w:sz w:val="18"/>
          <w:szCs w:val="18"/>
          <w:color w:val="auto"/>
        </w:rPr>
        <w:t xml:space="preserve"> The quorum required for our general meetings of shareholders consists of at least two shareholders present in person, by proxy or written ballot who holds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3" w:name="page84"/>
    <w:bookmarkEnd w:id="83"/>
    <w:p>
      <w:pPr>
        <w:ind w:left="640" w:right="40" w:hanging="375"/>
        <w:spacing w:after="0" w:line="273"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Notice of general meetings.</w:t>
      </w:r>
      <w:r>
        <w:rPr>
          <w:rFonts w:ascii="Arial" w:cs="Arial" w:eastAsia="Arial" w:hAnsi="Arial"/>
          <w:sz w:val="17"/>
          <w:szCs w:val="17"/>
          <w:color w:val="auto"/>
        </w:rPr>
        <w:t xml:space="preserve"> Unless a longer period for notice is prescribed by the Companies Law, at least 10 days and not more than 60 days’ notice of any general meeting shall be given, specifying the place, the day and the hour of the meeting and, in the case of special business, the nature of such business, shall be given in the manner hereinafter mentioned, to such shareholders as are under the provisions of our articles of association, entitled to receive notices from us. Only shareholders of record as reflected on our share register at the close of business on the date fixed by the board of directors as the record date determining the then shareholders who will be entitled to vote, shall be entitled to notice of, and to vote, in person or by proxy, at a general meeting and any postponement or adjournment thereof.</w:t>
      </w:r>
    </w:p>
    <w:p>
      <w:pPr>
        <w:spacing w:after="0" w:line="178" w:lineRule="exact"/>
        <w:rPr>
          <w:rFonts w:ascii="Arial" w:cs="Arial" w:eastAsia="Arial" w:hAnsi="Arial"/>
          <w:sz w:val="17"/>
          <w:szCs w:val="17"/>
          <w:color w:val="auto"/>
        </w:rPr>
      </w:pPr>
    </w:p>
    <w:p>
      <w:pPr>
        <w:ind w:left="640" w:right="60" w:hanging="375"/>
        <w:spacing w:after="0" w:line="255"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Annual; agenda; calling a general meeting.</w:t>
      </w:r>
      <w:r>
        <w:rPr>
          <w:rFonts w:ascii="Arial" w:cs="Arial" w:eastAsia="Arial" w:hAnsi="Arial"/>
          <w:sz w:val="18"/>
          <w:szCs w:val="18"/>
          <w:color w:val="auto"/>
        </w:rPr>
        <w:t xml:space="preserve"> General Meetings are held at least once in every calendar year at such time (within a period of 15 months after the holding of the last preceding General Meeting), and at such time and place as may be determined by the board of directors. At a General Meeting, decisions shall be adopted only on matters that were specified on the agenda. The board of directors is obligated to call extraordinary general meeting of the shareholders upon a written request in accordance with the Companies Law. The Companies Law provides that an extraordinary general meeting of shareholder may be called by the board of directors or by a request of two directors or 25% of the directors in office, or by shareholders holding at least 5% of the issued share capital of the company and at least 1% of the voting rights, or of shareholders holding at least 5% of the voting rights of the company.</w:t>
      </w:r>
    </w:p>
    <w:p>
      <w:pPr>
        <w:spacing w:after="0" w:line="189" w:lineRule="exact"/>
        <w:rPr>
          <w:rFonts w:ascii="Arial" w:cs="Arial" w:eastAsia="Arial" w:hAnsi="Arial"/>
          <w:sz w:val="18"/>
          <w:szCs w:val="18"/>
          <w:color w:val="auto"/>
        </w:rPr>
      </w:pPr>
    </w:p>
    <w:p>
      <w:pPr>
        <w:ind w:left="640" w:right="160" w:hanging="375"/>
        <w:spacing w:after="0" w:line="264"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Majority vote.</w:t>
      </w:r>
      <w:r>
        <w:rPr>
          <w:rFonts w:ascii="Arial" w:cs="Arial" w:eastAsia="Arial" w:hAnsi="Arial"/>
          <w:sz w:val="18"/>
          <w:szCs w:val="18"/>
          <w:color w:val="auto"/>
        </w:rPr>
        <w:t xml:space="preserve"> Except as otherwise provided in the articles of association, any resolution at a General Meeting shall be deemed adopted if approved by the holders of a majority of our voting rights represented at the meeting in person or by proxy and voting thereon. In the case of an equality of votes, the chairman of the meeting shall not be entitled to a further vote.</w:t>
      </w:r>
    </w:p>
    <w:p>
      <w:pPr>
        <w:spacing w:after="0" w:line="181" w:lineRule="exact"/>
        <w:rPr>
          <w:rFonts w:ascii="Arial" w:cs="Arial" w:eastAsia="Arial" w:hAnsi="Arial"/>
          <w:sz w:val="18"/>
          <w:szCs w:val="18"/>
          <w:color w:val="auto"/>
        </w:rPr>
      </w:pPr>
    </w:p>
    <w:p>
      <w:pPr>
        <w:ind w:left="640" w:right="780" w:hanging="375"/>
        <w:spacing w:after="0" w:line="277"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Discrimination against shareholders.</w:t>
      </w:r>
      <w:r>
        <w:rPr>
          <w:rFonts w:ascii="Arial" w:cs="Arial" w:eastAsia="Arial" w:hAnsi="Arial"/>
          <w:sz w:val="18"/>
          <w:szCs w:val="18"/>
          <w:color w:val="auto"/>
        </w:rPr>
        <w:t xml:space="preserve"> According to our articles of association, there are no discriminating provisions against any existing or prospective holders of our shares as a result of a shareholder holding a substantial number of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Class Rights</w:t>
      </w:r>
    </w:p>
    <w:p>
      <w:pPr>
        <w:spacing w:after="0" w:line="225"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If, at any time, the share capital is divided into different classes of shares, the rights attached to any class (unless otherwise provided by the terms of issuance of the shares of that class) may be varied with the consent in writing of the holders of all the issued shares of that class, or with the sanction of a majority vote at a meeting of the shareholders passed at a separate meeting of the holders of the shares of the class. The provisions of our articles of association relating to general meetings shall apply, mutatis mutandis, to every such separate general meeting. Any holder of shares of the class present in person or by proxy may demand a secret poll.</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Unless otherwise provided by the conditions of issuance, the enlargement of an existing class of shares, or the issuance of additional shares thereof, shall not be deemed to modify or abrogate the rights attached to the previously issued shares of such class or of any other class. These conditions provide for the minimum shareholder approvals permitted by the Companies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Shareholders Rights to Own Securities</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Our articles of association and the laws of the State of Israel do not restrict in any way the ownership or voting or our shares by non-residents of Israel, except with respect to subjects of countries which are in a state of war with Israel.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under Israeli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tender offer</w:t>
      </w:r>
    </w:p>
    <w:p>
      <w:pPr>
        <w:spacing w:after="0" w:line="229"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4" w:name="page85"/>
    <w:bookmarkEnd w:id="84"/>
    <w:p>
      <w:pPr>
        <w:jc w:val="both"/>
        <w:ind w:right="60" w:firstLine="405"/>
        <w:spacing w:after="0" w:line="264"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issued and outstanding share capital of a certain class of shares is required to make a tender offer to all of the shareholders who hold shares of the same class for the purchase of all of the issued and outstanding shares of the same class.</w:t>
      </w:r>
    </w:p>
    <w:p>
      <w:pPr>
        <w:spacing w:after="0" w:line="181"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If the shareholders who do not respond to or accept the offer hold less than 5% of the issued and outstanding share capital of the company or of the applicable class of the shares, and more than half of the shareholders who do not have a personal interest in the offer accept the offer, all of the shares that the acquirer offered to purchase will be transferred to the acquirer by operation of law. However, a tender offer will be accepted if the shareholders who do not accept it hold less than 2% of the issued and outstanding share capital of the company or of the applicable class of the shares.</w:t>
      </w:r>
    </w:p>
    <w:p>
      <w:pPr>
        <w:spacing w:after="0" w:line="154"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the Israeli court to determine whether the tender offer was for less than fair value and that the fair value should be paid as determined by the court. However, under certain conditions, the offeror may determine in the terms of the tender offer that an offeree who accepted the offer will not be entitled to petition the Israeli court as described above.</w:t>
      </w:r>
    </w:p>
    <w:p>
      <w:pPr>
        <w:spacing w:after="0" w:line="15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If the shareholders who did not respond or accept the tender offer hold at least 5% of the issued and outstanding share capital of the company or of the applicable class, the acquirer may not acquire shares of the company that will increase its holdings to more than 90% of the company’s issued and outstanding share capital or of the applicable class from shareholders who accepted the tender offer.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tender offer</w:t>
      </w:r>
    </w:p>
    <w:p>
      <w:pPr>
        <w:spacing w:after="0" w:line="2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Companies Law provides that an acquisition of shares of an Israeli public company must be made by means of a special tender offer if as a result of the acquisition the purchaser would become a holder of at least 25% of the voting rights in the company. This rule does not apply if there is already another holder of at least 25% of the voting rights in the company.</w:t>
      </w:r>
    </w:p>
    <w:p>
      <w:pPr>
        <w:spacing w:after="0" w:line="181"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w:t>
      </w:r>
    </w:p>
    <w:p>
      <w:pPr>
        <w:spacing w:after="0" w:line="18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These requirements do not apply if the acquisition (i) occurs in the context of a private offering, on the condition that the shareholders meeting approved the acquisition as a private offering whose purpose is to give the acquirer at least 25% of the voting rights in the company if there is no person who holds at least 25% of the voting rights in the company, or as a private offering whose purpose is to give the acquirer 45% of the voting rights in the company, if there is no person who holds 45% of the voting rights in the company; (ii) was from a shareholder holding at least 25% of the voting rights in the company and resulted in the acquirer becoming a holder of at least 25% of the voting rights in the company; or (iii) was from a holder of more than 45% of the voting rights in the company and resulted in the acquirer becoming a holder of more than 45% of the voting rights in the company.</w:t>
      </w:r>
    </w:p>
    <w:p>
      <w:pPr>
        <w:spacing w:after="0" w:line="17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special tender offer may be consummated only if (i) at least 5% of the voting power attached to the company’s outstanding shares will be acquired by the offeror and (ii) the special tender offer is accepted by a majority of the votes of those offerees who gave notice of their position in respect of the offer; in counting the votes of offerees, the votes of a holder of control in the offeror, a person who has personal interest in acceptance of the special tender offer, a holder of at least 25% of the voting rights in the company, or any person acting on their or on the offeror’s behalf, including their relatives or companies under their control, are not taken into account.</w:t>
      </w:r>
    </w:p>
    <w:p>
      <w:pPr>
        <w:spacing w:after="0" w:line="18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5" w:name="page86"/>
    <w:bookmarkEnd w:id="85"/>
    <w:p>
      <w:pPr>
        <w:ind w:right="40" w:firstLine="405"/>
        <w:spacing w:after="0" w:line="257" w:lineRule="auto"/>
        <w:rPr>
          <w:sz w:val="20"/>
          <w:szCs w:val="20"/>
          <w:color w:val="auto"/>
        </w:rPr>
      </w:pPr>
      <w:r>
        <w:rPr>
          <w:rFonts w:ascii="Arial" w:cs="Arial" w:eastAsia="Arial" w:hAnsi="Arial"/>
          <w:sz w:val="18"/>
          <w:szCs w:val="18"/>
          <w:color w:val="auto"/>
        </w:rPr>
        <w:t>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resulting from his acts,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188"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If a special tender offer was accepted by a majority of the shareholders who announced their stand on such offer, then shareholders who did not respond to the special offer or had objected to the special tender offer may accept the offer within four days of the last day set for the acceptance of the offer.</w:t>
      </w:r>
    </w:p>
    <w:p>
      <w:pPr>
        <w:spacing w:after="0" w:line="12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the event that a special tender offer is accepted, then the purchaser or any person or entity controlling it and any corporation controlled by them shall refrain from making a subsequent tender offer for the purchase of shares of the target company and may not execute a merger with the target company for a period of one year from the date of the offer, unless the purchaser or such person or entity undertook to effect such an offer or merger in the initial special tender offer.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2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Companies Law permits merger transactions if approved by each party’s board of directors and, unless certain requirements described under the Companies Law are met, a majority of each party’s shareholders, by a majority of each party’s shares that are voted on the proposed merger at a shareholders’ meeting.</w:t>
      </w:r>
    </w:p>
    <w:p>
      <w:pPr>
        <w:spacing w:after="0" w:line="18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taking into account the financial condition of the merging companies. If the board of directors has determined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88"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shares voting at the shareholders meeting (excluding abstentions) that are held by parties other than the other party to the merger, any person who holds 25% or more of the means of control of the other party to the merger or any one on their behalf including their relatives or corporations controlled by any of them, vote against the merger.</w:t>
      </w:r>
    </w:p>
    <w:p>
      <w:pPr>
        <w:spacing w:after="0" w:line="187"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If the transaction would have been approved but for the separate approval of each class of shares or the exclusion of the votes of certain shareholders as provided above, a court may still rule that the company has approved the merger upon the request of holders of at least 25% of the voting rights of a company, if the court holds that the merger is fair and reasonable, taking into account the appraisal of the merging companies’ value and the consideration offered to the shareholders.</w:t>
      </w:r>
    </w:p>
    <w:p>
      <w:pPr>
        <w:spacing w:after="0" w:line="18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Under the Companies Law, each merging company must send a copy of the proposed merger plan to its secured creditors. Unsecured creditors are entitled to receive notice of the merger, as provided by the regulations promulgated under the Companies Law. Upon the request of a creditor of either party to the proposed merger, the court may delay or prevent the merger if it concludes that there exists a reasonable concern that, as a result of the merger, the surviving company will be unable to satisfy the obligations of the target company. The court may also give instructions in order to secure the rights of creditors.</w:t>
      </w:r>
    </w:p>
    <w:p>
      <w:pPr>
        <w:spacing w:after="0" w:line="188"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In addition, a merger may not be completed unless at least 50 days have passed from the date that a proposal for approval of the merger was filed with the Israeli Registrar of Companies and 30 days from the date that shareholder approval of both merging companies was obtained.</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Potential Issues that Could Delay a Merger</w:t>
      </w:r>
    </w:p>
    <w:p>
      <w:pPr>
        <w:spacing w:after="0" w:line="2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Certain provisions of Israeli corporate and tax law may have the effect of delaying, preventing or making more difficult any merger or acquisition of us. For example, any merger or acquisition of us will require the prior consent of the Chief Scientist, as well as the Investment Center. See Item 3.D – Risk factors "We are subject to anti-takeover provisions that could delay or prevent our acquisition by another entity."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 of Disclosure of Shareholder Ownership</w:t>
      </w:r>
    </w:p>
    <w:p>
      <w:pPr>
        <w:spacing w:after="0" w:line="23" w:lineRule="exact"/>
        <w:rPr>
          <w:sz w:val="20"/>
          <w:szCs w:val="20"/>
          <w:color w:val="auto"/>
        </w:rPr>
      </w:pPr>
    </w:p>
    <w:p>
      <w:pPr>
        <w:ind w:right="120" w:firstLine="405"/>
        <w:spacing w:after="0" w:line="323" w:lineRule="auto"/>
        <w:rPr>
          <w:sz w:val="20"/>
          <w:szCs w:val="20"/>
          <w:color w:val="auto"/>
        </w:rPr>
      </w:pPr>
      <w:r>
        <w:rPr>
          <w:rFonts w:ascii="Arial" w:cs="Arial" w:eastAsia="Arial" w:hAnsi="Arial"/>
          <w:sz w:val="16"/>
          <w:szCs w:val="16"/>
          <w:color w:val="auto"/>
        </w:rPr>
        <w:t>There are no provisions of our articles of association governing the ownership threshold above which shareholder ownership must be disclosed. We are subject, however, to U.S. securities rules that require beneficial owners of more than 5% of our ordinary Shares to make certain filings with the SEC.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articles of association do not impose any conditions governing changes in capital that are more stringent than required by the Companies Law.</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10.C.</w:t>
      </w:r>
      <w:r>
        <w:rPr>
          <w:sz w:val="20"/>
          <w:szCs w:val="20"/>
          <w:color w:val="auto"/>
        </w:rPr>
        <w:tab/>
      </w:r>
      <w:r>
        <w:rPr>
          <w:rFonts w:ascii="Arial" w:cs="Arial" w:eastAsia="Arial" w:hAnsi="Arial"/>
          <w:sz w:val="16"/>
          <w:szCs w:val="16"/>
          <w:b w:val="1"/>
          <w:bCs w:val="1"/>
          <w:color w:val="auto"/>
        </w:rPr>
        <w:t>Material contracts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10.D.</w:t>
      </w:r>
      <w:r>
        <w:rPr>
          <w:sz w:val="20"/>
          <w:szCs w:val="20"/>
          <w:color w:val="auto"/>
        </w:rPr>
        <w:tab/>
      </w:r>
      <w:r>
        <w:rPr>
          <w:rFonts w:ascii="Arial" w:cs="Arial" w:eastAsia="Arial" w:hAnsi="Arial"/>
          <w:sz w:val="15"/>
          <w:szCs w:val="15"/>
          <w:b w:val="1"/>
          <w:bCs w:val="1"/>
          <w:color w:val="auto"/>
        </w:rPr>
        <w:t>Exchange controls</w:t>
      </w:r>
    </w:p>
    <w:p>
      <w:pPr>
        <w:spacing w:after="0" w:line="229"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There are currently no Israeli currency control restrictions on payments of dividends or other distributions with respect to our ordinary shares or the proceeds from the sale of shares, except for the obligation of Israeli residents to file reports with the Bank of Israel regarding certain transactions. However, legislation remains in effect pursuant to which currency controls can be imposed by administrative action at any time.</w:t>
      </w:r>
    </w:p>
    <w:p>
      <w:pPr>
        <w:spacing w:after="0" w:line="166"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Non-residents of Israel who purchase our securities with non-Israeli currency will be able to repatriate dividends (if any), liquidation distributions and the proceeds of any sale of such securities, into non-Israeli currencies at the rate of exchange prevailing at the time of repatriation, provided that any applicable Israeli taxes have been paid (or withheld) on such amounts.</w:t>
      </w:r>
    </w:p>
    <w:p>
      <w:pPr>
        <w:spacing w:after="0" w:line="18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Neither our articles of association nor the laws of the State of Israel restrict in any way the ownership or voting of ordinary shares by non-residents of Israel, except with respect to citizens of countries that are in a state of war with Israel.</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10.E.</w:t>
      </w:r>
      <w:r>
        <w:rPr>
          <w:sz w:val="20"/>
          <w:szCs w:val="20"/>
          <w:color w:val="auto"/>
        </w:rPr>
        <w:tab/>
      </w:r>
      <w:r>
        <w:rPr>
          <w:rFonts w:ascii="Arial" w:cs="Arial" w:eastAsia="Arial" w:hAnsi="Arial"/>
          <w:sz w:val="16"/>
          <w:szCs w:val="16"/>
          <w:b w:val="1"/>
          <w:bCs w:val="1"/>
          <w:color w:val="auto"/>
        </w:rPr>
        <w:t>Taxation</w:t>
      </w:r>
    </w:p>
    <w:p>
      <w:pPr>
        <w:spacing w:after="0" w:line="22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following is a summary of the current tax structure, which is applicable to companies in Israel, with special reference to its effect on us. The following also contains a discussion of material Israeli and U.S. tax consequences to persons purchasing our Ordinary Shares and government programs from which we and some of our group companies benefit. To the extent that the discussion is based on new tax legislation, which has yet to be subject to judicial or administrative interpretation, there can be no assurance that the views expressed in the discussion will accord with any such interpretation in the future. The discussion is not intended and should not be construed as legal or professional tax advice and is not exhaustive of all possible tax considerations. An Israeli company that is subject to Israeli taxes on the income of its non-Israeli subsidiaries will receive a credit for income taxes paid/withheld or that will be paid/withheld by the subsidiary in its country of residence, according to the terms and conditions determined in the Israeli Tax Ordinance.</w:t>
      </w:r>
    </w:p>
    <w:p>
      <w:pPr>
        <w:spacing w:after="0" w:line="167" w:lineRule="exact"/>
        <w:rPr>
          <w:sz w:val="20"/>
          <w:szCs w:val="20"/>
          <w:color w:val="auto"/>
        </w:rPr>
      </w:pPr>
    </w:p>
    <w:p>
      <w:pPr>
        <w:jc w:val="both"/>
        <w:ind w:right="320" w:firstLine="405"/>
        <w:spacing w:after="0" w:line="286" w:lineRule="auto"/>
        <w:rPr>
          <w:sz w:val="20"/>
          <w:szCs w:val="20"/>
          <w:color w:val="auto"/>
        </w:rPr>
      </w:pPr>
      <w:r>
        <w:rPr>
          <w:rFonts w:ascii="Arial" w:cs="Arial" w:eastAsia="Arial" w:hAnsi="Arial"/>
          <w:sz w:val="17"/>
          <w:szCs w:val="17"/>
          <w:color w:val="auto"/>
        </w:rPr>
        <w:t>The following summary is included herein as general information only and is not intended as a substitute for careful tax planning. Accordingly, each investor should consult his or her own tax advisor as to the particular tax consequences to such investor of the purchase, ownership or sale of an ordinary share, including the effect of applicable state, local, foreign or other tax laws and possible changes in tax laws.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auto"/>
        </w:rPr>
        <w:t>Israeli Taxation Considerations</w:t>
      </w:r>
    </w:p>
    <w:p>
      <w:pPr>
        <w:spacing w:after="0" w:line="22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annual report and does not take into account possible future amendments which may be under consideration.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resident companies, such as the Company, are generally subject to corporate tax at the rate of 26.5%.</w:t>
      </w:r>
    </w:p>
    <w:p>
      <w:pPr>
        <w:spacing w:after="0" w:line="225"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our Israeli individual shareholders on receipt of dividends</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January 1, 2015, an additional income tax at a rate of 2% will be imposed on high earners whose annual income or gain exceeds NIS 810,720.</w:t>
      </w:r>
    </w:p>
    <w:p>
      <w:pPr>
        <w:spacing w:after="0" w:line="248" w:lineRule="exact"/>
        <w:rPr>
          <w:sz w:val="20"/>
          <w:szCs w:val="20"/>
          <w:color w:val="auto"/>
        </w:rPr>
      </w:pPr>
    </w:p>
    <w:p>
      <w:pPr>
        <w:ind w:right="340" w:firstLine="405"/>
        <w:spacing w:after="0" w:line="279" w:lineRule="auto"/>
        <w:rPr>
          <w:sz w:val="20"/>
          <w:szCs w:val="20"/>
          <w:color w:val="auto"/>
        </w:rPr>
      </w:pPr>
      <w:r>
        <w:rPr>
          <w:rFonts w:ascii="Arial" w:cs="Arial" w:eastAsia="Arial" w:hAnsi="Arial"/>
          <w:sz w:val="17"/>
          <w:szCs w:val="17"/>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71"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The term “Israeli Resident” is generally defined under Israeli tax legislation with respect to individuals as a person whose center of life is in Israel. The Israeli Tax Ordinance New Version, 1961 (as amended by Amendment Law No. 132 of 2002) (the “Israeli Tax Ordinance”) determines that in order to determine the center of life of an individual, account will be taken of the individual’s family, economic and social connections, including: (a) 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Israeli Resident Corporations on Receipt of Dividends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resident corporations are generally exempt from Israeli corporate income tax with respect to dividends paid on our ordinary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Taxes Applicable to Israeli Resident Shareholders</w:t>
      </w:r>
    </w:p>
    <w:p>
      <w:pPr>
        <w:spacing w:after="0" w:line="229"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As of January 1, 2015, an additional tax at a rate of 2% will be imposed on high earners whose annual income or gains exceed NIS 810,720.</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88" w:name="page89"/>
    <w:bookmarkEnd w:id="88"/>
    <w:p>
      <w:pPr>
        <w:ind w:right="600" w:firstLine="405"/>
        <w:spacing w:after="0" w:line="308" w:lineRule="auto"/>
        <w:rPr>
          <w:sz w:val="20"/>
          <w:szCs w:val="20"/>
          <w:color w:val="auto"/>
        </w:rPr>
      </w:pPr>
      <w:r>
        <w:rPr>
          <w:rFonts w:ascii="Arial" w:cs="Arial" w:eastAsia="Arial" w:hAnsi="Arial"/>
          <w:sz w:val="17"/>
          <w:szCs w:val="17"/>
          <w:color w:val="auto"/>
        </w:rPr>
        <w:t>Moreover, capital gains derived by a shareholder who is a dealer or trader in securities, or to whom such income is otherwise taxable as ordinary business income, are taxed in Israel at ordinary income rates (currently, 26.5% for corporations and up to 50% for individuals).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Non-Israeli Shareholders on Receipt of Dividends</w:t>
      </w:r>
    </w:p>
    <w:p>
      <w:pPr>
        <w:spacing w:after="0" w:line="229"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Non-Israeli residents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source, unless a lower tax rate is provided in a tax treaty between Israel and the shareholder’s country of residence.</w:t>
      </w:r>
    </w:p>
    <w:p>
      <w:pPr>
        <w:spacing w:after="0" w:line="166"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income taxes applicable to non-Israeli shareholders.</w:t>
      </w:r>
    </w:p>
    <w:p>
      <w:pPr>
        <w:spacing w:after="0" w:line="22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Non-Israeli resident shareholders are generally exempt from Israeli capital gains tax on any gains derived from the sale, exchange or disposition of our ordinary shares, provided that such gains were not derived from a permanent establishment or business activity of such shareholders in Israel. However, non-Israeli corporations will not be entitled to the foregoing exemptions if an Israeli resident (i) has a controlling interest of more than 25% in such non-Israeli corporation or (ii) is the beneficiary of or is entitled to 25% or more of the revenues or profits of such non-Israeli corporation, whether directly or indirectly.</w:t>
      </w:r>
    </w:p>
    <w:p>
      <w:pPr>
        <w:spacing w:after="0" w:line="154"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Estate and gift tax</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 Federal Income Tax Consequences</w:t>
      </w:r>
    </w:p>
    <w:p>
      <w:pPr>
        <w:spacing w:after="0" w:line="22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ORDINARY SHARES, INCLUDING THE EFFECTS OF APPLICABLE STATE, LOCAL, FOREIGN OR OTHER TAX LAWS AND POSSIBLE CHANGES IN THE TAX LAWS.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U.S. Federal Income Taxation</w:t>
      </w:r>
    </w:p>
    <w:p>
      <w:pPr>
        <w:spacing w:after="0" w:line="229" w:lineRule="exact"/>
        <w:rPr>
          <w:sz w:val="20"/>
          <w:szCs w:val="20"/>
          <w:color w:val="auto"/>
        </w:rPr>
      </w:pPr>
    </w:p>
    <w:p>
      <w:pPr>
        <w:jc w:val="both"/>
        <w:ind w:right="140" w:firstLine="405"/>
        <w:spacing w:after="0" w:line="291" w:lineRule="auto"/>
        <w:rPr>
          <w:sz w:val="20"/>
          <w:szCs w:val="20"/>
          <w:color w:val="auto"/>
        </w:rPr>
      </w:pPr>
      <w:r>
        <w:rPr>
          <w:rFonts w:ascii="Arial" w:cs="Arial" w:eastAsia="Arial" w:hAnsi="Arial"/>
          <w:sz w:val="16"/>
          <w:szCs w:val="16"/>
          <w:color w:val="auto"/>
        </w:rPr>
        <w:t>Subject to the limitations described in the next paragraph, the following discussion summarizes the material U.S. federal income tax consequences to a "U.S. Holder" arising from the purchase, ownership and sale of the Ordinary Shares. For this purpose, a "U.S. Holder" is a holder of Ordinary Shares that is:</w:t>
      </w:r>
    </w:p>
    <w:p>
      <w:pPr>
        <w:ind w:right="80" w:firstLine="8"/>
        <w:spacing w:after="0" w:line="287" w:lineRule="auto"/>
        <w:tabs>
          <w:tab w:leader="none" w:pos="2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 individual citizen or resident of the United States, including an alien individual who is a lawful permanent resident of the United States or meets the substantial presence residency test under U.S. federal income tax laws; (2) a corporation (or other entity treated as a corporation for U.S. federal income tax purposes) or a partnership (other than a partnership that is not treated as a U.S. person under any applicable U.S. Treasury Regulations) created or organized in or under the laws of the United States or the District of Columbia or any political subdivision thereof; (3) an estate, the income of which is subject to U.S. federal income tax regardless of source; (4) a trust if a court within the United States is able to exercise primary supervision over the administration of the trust and one or more U.S. persons have authority to control all substantial decisions of the trust; (5) a trust that has a valid election in effect to be treated as a U.S. person to the extent provided in U.S. Treasury regulations; or (6) any person otherwise subject to U.S. federal income tax on a net income basis in respect of the Ordinary Shares, if such status as a U.S. Holder is not overridden pursuant to the provisions of an applicable tax treaty.</w:t>
      </w:r>
    </w:p>
    <w:p>
      <w:pPr>
        <w:spacing w:after="0" w:line="17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This summary is for general information purposes only and does not purport to be a comprehensive description of all of the U.S. federal income tax considerations that may be relevant to a decision to purchase or hold our Ordinary Shares. This summary generally considers only U.S. Holders that will own our Ordinary Shares as capital assets. Except to the limited extent discussed below,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U.S./Israel Income Tax Treaty, all as in effect as of the date hereof and all of which are subject to change, possibly on a retroactive basis, and all of which are open to differing interpretations. The Company will not seek a ruling from the U.S. Internal Revenue Service, or the IRS, with regard to the U.S. federal income tax treatment of an investment in our Ordinary Shares by U.S. Holders and, therefore, can provide no assurances that the IRS will agree with the conclusions set forth below.</w:t>
      </w:r>
    </w:p>
    <w:p>
      <w:pPr>
        <w:spacing w:after="0" w:line="18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This discussion does not address all of the aspects of U.S. federal income taxation that may be relevant to a particular shareholder based on such shareholder's particular circumstances and in particular does not discuss any estate, gift, generation-skipping, transfer, state, local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 (3) a person who acquired our Ordinary Shares in connection with employment or other performance of services; (4) a U.S. Holder that is subject to the U.S. alternative minimum tax; (5) a U.S. Holder that holds our Ordinary Shares as a hedge or as part of a hedging, straddle, conversion or constructive sale transaction or other risk-reduction transaction for U.S. federal income tax purposes; (6) a tax-exempt entity; (7) real estate investment trusts; (8) a U.S. Holder that expatriates out of the United States or a former long-term resident of the United States; or (9) a person having a functional currency other than the U.S. dollar. This discussion does not address the U.S. federal income tax treatment of a U.S. Holder that owns, directly or constructively, at any time, Ordinary Shares representing 10% or more of our voting power. Additionally, the U.S. federal income tax treatment of persons who hold Ordinary Shares through a partnership or other pass-through entity are not considered.</w:t>
      </w:r>
    </w:p>
    <w:p>
      <w:pPr>
        <w:spacing w:after="0" w:line="183"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You are encouraged to consult your own tax advisor with respect to the specific U.S. federal and state income tax consequences to you of purchasing, holding or disposing of our Ordinary Shares, including the effects of applicable state, local, foreign or other tax laws and possible changes in the tax laws.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Ordinary Shares</w:t>
      </w:r>
    </w:p>
    <w:p>
      <w:pPr>
        <w:spacing w:after="0" w:line="229"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 xml:space="preserve">Subject to the discussion under the heading "Passive Foreign Investment Companies" below, a U.S. Holder will be required to include in gross income as ordinary income the amount of any distribution paid on Ordinary Shares (including the amount of any Israeli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Corporate holders generally will not be allowed a deduction for dividends received. For noncorporate U.S. Holders, to the extent that their total adjusted income does not exceed applicable thresholds, the maximum federal income tax rate for "qualified dividend income" and long-term capital gains is generally 15%. For those noncorporate U.S. Holders whose total adjusted income exceeds such income thresholds, the maximum federal income tax rate for "qualified dividend income" and long-term capital gains is generally 20%. For this purpose, "qualified dividend income" means, </w:t>
      </w:r>
      <w:r>
        <w:rPr>
          <w:rFonts w:ascii="Arial" w:cs="Arial" w:eastAsia="Arial" w:hAnsi="Arial"/>
          <w:sz w:val="16"/>
          <w:szCs w:val="16"/>
          <w:i w:val="1"/>
          <w:iCs w:val="1"/>
          <w:color w:val="auto"/>
        </w:rPr>
        <w:t>inter alia</w:t>
      </w:r>
      <w:r>
        <w:rPr>
          <w:rFonts w:ascii="Arial" w:cs="Arial" w:eastAsia="Arial" w:hAnsi="Arial"/>
          <w:sz w:val="16"/>
          <w:szCs w:val="16"/>
          <w:color w:val="auto"/>
        </w:rPr>
        <w:t>, dividends received from a "qualified foreign corporation." A "qualified foreign corporation" is a corporation that is entitled to the benefits of a comprehensive tax treaty with the United States which includes an exchange of information program. The IRS has stated that the Israel/U.S. Tax Treaty satisfies this requirement and we believe we are eligible for the benefits of that treaty.</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0" w:name="page91"/>
    <w:bookmarkEnd w:id="90"/>
    <w:p>
      <w:pPr>
        <w:ind w:right="200" w:firstLine="405"/>
        <w:spacing w:after="0" w:line="272" w:lineRule="auto"/>
        <w:rPr>
          <w:sz w:val="20"/>
          <w:szCs w:val="20"/>
          <w:color w:val="auto"/>
        </w:rPr>
      </w:pPr>
      <w:r>
        <w:rPr>
          <w:rFonts w:ascii="Arial" w:cs="Arial" w:eastAsia="Arial" w:hAnsi="Arial"/>
          <w:sz w:val="17"/>
          <w:szCs w:val="17"/>
          <w:color w:val="auto"/>
        </w:rPr>
        <w:t>In addition, our dividends will be qualified dividend income if our Ordinary Shares are readily tradable on NASDAQ or another established securities market in the United States. Dividends will not qualify for the preferential rate if we are treated, in the year the dividend is paid or in the prior year, as a passive foreign investment company, or PFIC. A U.S. Holder will not be entitled to the preferential rate: (1) if the U.S. Holder has not held our Ordinary Shares or ADRs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7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amount of a distribution with respect to our Ordinary Shares will be measured by the amount of the fair market value of any property distributed, and for U.S. federal income tax purposes, the amount of any Israeli taxes withheld therefrom. (See discussion above under "Israeli Taxation Considerations - Taxation of Our Shareholders – Dividends.") Cash distributions paid by us in NIS will be included in the income of U.S. Holders at a U.S. dollar amount based upon the spot rate of exchange in effect on the date the dividend is includible in the income of the U.S. Holder, and U.S. Holders will have a tax basis in such NIS for U.S. federal income tax purposes equal to such U.S. dollar value. If the U.S. Holder subsequently converts the NIS, any subsequent gain or loss in respect of such NIS arising from exchange rate fluctuations will be U.S. source ordinary exchange gain or loss.</w:t>
      </w:r>
    </w:p>
    <w:p>
      <w:pPr>
        <w:spacing w:after="0" w:line="178"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Distributions paid by us will generally be foreign source income for U.S. foreign tax credit purposes. Subject to the limitations set forth in the Code, U.S. Holders may elect to claim a foreign tax credit against their U.S. income tax liability for Israeli income tax withheld from distributions received in respect of the Ordinary Shares. In general, these rules limit the amount allowable as a foreign tax credit in any year to the amount of regular U.S. tax for the year attributable to foreign source taxable income. This limitation on the use of foreign tax credits generally will not apply to an electing individual U.S. Holder whose creditable foreign taxes during the year do not exceed $300, or $600 for joint filers, if such individual's gross income for the taxable year from non-U.S. sources consists solely of certain passive income. A U.S. Holder will be denied a foreign tax credit with respect to Israeli income tax withheld from dividends received with respect to the Ordinary Shares if such U.S. Holder has not held the Ordinary Shares for at least 16 days out of the 31-day period beginning on the date that is 15 days before the ex-dividend date or to the extent that such U.S. Holder is under an obligation to make certain related payments with respect to substantially similar or related property. Any day during which a U.S. Holder has substantially diminished his or her risk of loss with respect to the Ordinary Shares will not count toward meeting the 16-day holding period. A U.S. Holder will also be denied a foreign tax credit if the U.S. Holder holds the Ordinary Shares in an arrangement in which the U.S. Holder's reasonably expected economic profit is insubstantial compared to the foreign taxes expected to be paid or accrued. The rules relating to the determination of the U.S. foreign tax credit are complex, and U.S. Holders should consult with their own tax advisors to determine whether, and to what extent, they are entitled to such credit. U.S. Holders that do not elect to claim a foreign tax credit may instead claim a deduction for Israeli income taxes withheld, provided such U.S. Holders itemize their deductions.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Shares</w:t>
      </w:r>
    </w:p>
    <w:p>
      <w:pPr>
        <w:spacing w:after="0" w:line="229"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Except as provided under the PFIC rules described below, upon the sale, exchange or other disposition of our Ordinary Shares, a U.S. Holder will recognize capital gain or loss in an amount equal to the difference between such U.S. Holder's tax basis in the sold Ordinary Shares and the amount realized on the disposition of such Ordinary Shares (or its U.S. dollar equivalent determined by reference to the spot rate of exchange on the date of disposition, if the amount realized is denominated in a foreign currency). The gain or loss realized on the sale or exchange or other disposition of Ordinary Shares will be long-term capital gain or loss if the U.S. Holder has a holding period of more than one year at the time of the disposition.</w:t>
      </w:r>
    </w:p>
    <w:p>
      <w:pPr>
        <w:spacing w:after="0" w:line="17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general, gain realized by a U.S. Holder on a sale, exchange or other disposition of Ordinary Shares will generally be treated as U.S. source income for U.S. foreign tax credit purposes. A loss realized by a U.S. Holder on the sale, exchange or other disposition of Ordinary Shares is generally allocated to U.S. source income. However, U.S. Treasury Regulations require such loss to be allocated to foreign source income to the extent specified dividends were received by the taxpayer within the 24-month period preceding the date on which the taxpayer recognized the loss. The deductibility of a loss realized on the sale, exchange or other disposition of Ordinary Shares is subject to limitations.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Tax on Net Investment Income</w:t>
      </w:r>
    </w:p>
    <w:p>
      <w:pPr>
        <w:spacing w:after="0" w:line="229" w:lineRule="exact"/>
        <w:rPr>
          <w:sz w:val="20"/>
          <w:szCs w:val="20"/>
          <w:color w:val="auto"/>
        </w:rPr>
      </w:pPr>
    </w:p>
    <w:p>
      <w:pPr>
        <w:jc w:val="both"/>
        <w:ind w:right="140" w:firstLine="405"/>
        <w:spacing w:after="0" w:line="312" w:lineRule="auto"/>
        <w:rPr>
          <w:sz w:val="20"/>
          <w:szCs w:val="20"/>
          <w:color w:val="auto"/>
        </w:rPr>
      </w:pPr>
      <w:r>
        <w:rPr>
          <w:rFonts w:ascii="Arial" w:cs="Arial" w:eastAsia="Arial" w:hAnsi="Arial"/>
          <w:sz w:val="16"/>
          <w:szCs w:val="16"/>
          <w:color w:val="auto"/>
        </w:rPr>
        <w:t>U.S. Holders who are individuals, estates or trusts will generally be required to pay a 3.8%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Companies</w:t>
      </w:r>
    </w:p>
    <w:p>
      <w:pPr>
        <w:spacing w:after="0" w:line="229"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Special U.S. federal income tax laws apply to a U.S. Holder who owns shares of a corporation that was (at any time during the U.S. Holder's holding period) a PFIC. We would be treated as a PFIC for U.S. federal income tax purposes for any tax year if, in such tax year, either:</w:t>
      </w:r>
    </w:p>
    <w:p>
      <w:pPr>
        <w:spacing w:after="0" w:line="147" w:lineRule="exact"/>
        <w:rPr>
          <w:sz w:val="20"/>
          <w:szCs w:val="20"/>
          <w:color w:val="auto"/>
        </w:rPr>
      </w:pPr>
    </w:p>
    <w:p>
      <w:pPr>
        <w:ind w:left="660" w:right="40" w:hanging="328"/>
        <w:spacing w:after="0" w:line="25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75% or more of our gross income (including our pro rata share of gross income for any company, U.S. or foreign, in which we are considered to own 25% or more of the shares by value), in a taxable year is passive (the "Income Test"); or</w:t>
      </w:r>
    </w:p>
    <w:p>
      <w:pPr>
        <w:spacing w:after="0" w:line="1" w:lineRule="exact"/>
        <w:rPr>
          <w:rFonts w:ascii="Arial" w:cs="Arial" w:eastAsia="Arial" w:hAnsi="Arial"/>
          <w:sz w:val="18"/>
          <w:szCs w:val="18"/>
          <w:color w:val="auto"/>
        </w:rPr>
      </w:pPr>
    </w:p>
    <w:p>
      <w:pPr>
        <w:ind w:left="660" w:right="480" w:hanging="328"/>
        <w:spacing w:after="0" w:line="255"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least 50% of our assets, averaged over the year and generally determined based upon value (including our pro rata share of the assets of any company in which we are considered to own 25% or more of the shares by value), in a taxable year are held for the production of, or produce, passive income (the "Asset Test").</w:t>
      </w:r>
    </w:p>
    <w:p>
      <w:pPr>
        <w:spacing w:after="0" w:line="19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7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If we are or become a PFIC, each U.S. Holder who has not elected to treat us as a qualified electing fund by making a "QEF election", or who has not elected to mark the shares to market (as discussed below), would, upon receipt of certain distributions by us and upon disposition of our Ordinary Shares at a gain, be liable to pay U.S. federal income tax at the then prevailing highest tax rates on ordinary income plus interest on such tax, as if the distribution or gain had been recognized ratably over the taxpayer's holding period for the Ordinary Shares.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special U.S. federal income tax rules.</w:t>
      </w:r>
    </w:p>
    <w:p>
      <w:pPr>
        <w:spacing w:after="0" w:line="18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The PFIC rules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our ordinary earnings as ordinary income and such U.S. 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 U.S. Holders should consult with their own tax advisors regarding eligibility, manner and advisability of making a QEF election if we are treated as a PFIC.</w:t>
      </w:r>
    </w:p>
    <w:p>
      <w:pPr>
        <w:spacing w:after="0" w:line="18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 U.S. Holder of PFIC shares which are traded on qualifying public markets, including the NASDAQ, can elect to mark the shares to market annually, recognizing as ordinary income or loss each year an amount equal to the difference as of the close of the taxable year between the fair market value of the PFIC shares and the U.S. Holder's adjusted tax basis in the PFIC shares. Losses are allowed only to the extent of net mark-to-market gain previously included income by the U.S. Holder under the election for prior taxable years.</w:t>
      </w:r>
    </w:p>
    <w:p>
      <w:pPr>
        <w:spacing w:after="0" w:line="18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Based on the nature of our business, the projected composition of our income and the projected composition and estimated fair market values of our assets, we can not rule out a PFIC designation. In particular, in light of the complexity of PFIC rules, we cannot assure you that we have not been a PFIC in prior years or are not a PFIC or will avoid becoming a PFIC in the future. U.S. Holders who hold Ordinary Shares during a period when we are a PFIC will be subject to the foregoing rules, even if we cease to be a PFIC, subject to specified exceptions for U.S. Holders who made a QEF or mark-to-market election. U.S. Holders are strongly urged to consult their tax advisors about the PFIC rules, including tax return filing requirements and the eligibility, manner, and consequences to them of making a QEF or mark-to-market election with respect to our Ordinary Shares in the event we that qualify as a PFIC.</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Information Reporting and Withholding</w:t>
      </w:r>
    </w:p>
    <w:p>
      <w:pPr>
        <w:spacing w:after="0" w:line="22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 U.S. Holder may be subject to backup withholding (at a rate of 28%)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188"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Under the Hiring Incentives to Restore Employment Act of 2010 (the "HIRE Act"), some payments made to "foreign financial institutions" in respect of accounts of U.S. stockholders at such financial institutions may be subject to withholding at a rate of 30%. U.S. Treasury Regulations provide that such withholding will only apply to distributions paid on or after January 1, 2014, and to other "withholdable payments" (including payments of gross proceeds from a sale or other disposition of our Ordinary Shares) made on or after January 1, 2017. U.S. Holders should consult their tax advisors regarding the effect, if any, of the HIRE Act on their ownership and disposition of our Ordinary Shares. See "Non-U.S. Holders of Ordinary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 of Ordinary Shares</w:t>
      </w:r>
    </w:p>
    <w:p>
      <w:pPr>
        <w:spacing w:after="0" w:line="229"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Except as provided below, an individual, corporation, estate or trust that is not a U.S. Holder generally will not be subject to U.S. federal income or withholding tax on the payment of dividends on, and the proceeds from the disposition of, our Ordinary Shares.</w:t>
      </w:r>
    </w:p>
    <w:p>
      <w:pPr>
        <w:spacing w:after="0" w:line="170"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A non-U.S. Holder may be subject to U.S. federal income or withholding tax on a dividend paid on our Ordinary Shares or the proceeds from the disposition of our Ordinary Shares if: (1) such item is effectively connected with the conduct by the non-U.S. Holder of a trade or business in the United States or, in the case of a non-U.S. Holder that is a resident of a country which has an income tax treaty with the United States, such item is attributable to a permanent establishment or, in the case of gain realized by an individual non-U.S. Holder, a fixed place of business in the United States; (2) in the case of a disposition of our Ordinary Shares, the individual non-U.S. Holder is present in the United States for 183 days or more in the taxable year of the sale and other specified conditions are met; (3) the non-U.S. Holder is subject to U.S. federal income tax pursuant to the provisions of the U.S. tax law applicable to U.S. expatriates.</w:t>
      </w:r>
    </w:p>
    <w:p>
      <w:pPr>
        <w:spacing w:after="0" w:line="189"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In general, non-U.S. Holders will not be subject to backup withholding with respect to the payment of dividends on our Ordinary Shares if payment is made through a paying agent, or office of a foreign broker outside the United States. However, if payment is made in the United States or by a U.S. related person, non-U.S. Holders may be subject to backup withholding, unless the non-U.S. Holder provides on an applicable Form W-8 (or a substantially similar form) a taxpayer identification number, certifies to its foreign status, or otherwise establishes an exemption. A U.S. related person for these purposes is a person with one or more current relationships with the United States.</w:t>
      </w:r>
    </w:p>
    <w:p>
      <w:pPr>
        <w:spacing w:after="0" w:line="18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0"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The HIRE Act may impose withholding taxes on some types of payments made to "foreign financial institutions" and some other non-U.S. entities. Under the HIRE Act, the failure to comply with additional certification, information reporting and other specified requirements could result in withholding tax being imposed on payments of dividends and sales proceeds to U.S. Holders that own Ordinary Shares through foreign accounts or foreign intermediaries and specified non-U.S. Holders. The HIRE Act imposes a 30% withholding tax on dividends on, and gross proceeds from the sale or other disposition of, Ordinary Shares paid from the United States to a foreign financial institution or to a foreign nonfinancial entity, unless (1) the foreign financial institution undertakes specified diligence and reporting obligations or (2) the foreign nonfinancial entity either certifies it does not have any substantial U.S. owners or furnishes identifying information regarding each substantial U.S. owner. In addition, if the payee is a foreign financial institution, it generally must enter into an agreement with the U.S. Treasury that requires, among other things, that it undertake to identify accounts held by specified U.S. persons or U.S.-owned foreign entities, annually report certain information about such accounts, and withhold 30% on payments to other specified account holders. U.S. Treasury Regulations provide that such withholding will only apply to distributions paid on or after January 1, 2014, and to other "withholdable payments" (including payments of gross proceeds from a sale or other disposition of our Ordinary Shares) made on or after January 1, 2017. You should consult your tax advisor regarding the HIRE Act.</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3" w:name="page94"/>
    <w:bookmarkEnd w:id="93"/>
    <w:p>
      <w:pPr>
        <w:spacing w:after="0"/>
        <w:tabs>
          <w:tab w:leader="none" w:pos="640" w:val="left"/>
        </w:tabs>
        <w:rPr>
          <w:sz w:val="20"/>
          <w:szCs w:val="20"/>
          <w:color w:val="auto"/>
        </w:rPr>
      </w:pPr>
      <w:r>
        <w:rPr>
          <w:rFonts w:ascii="Arial" w:cs="Arial" w:eastAsia="Arial" w:hAnsi="Arial"/>
          <w:sz w:val="18"/>
          <w:szCs w:val="18"/>
          <w:b w:val="1"/>
          <w:bCs w:val="1"/>
          <w:color w:val="auto"/>
        </w:rPr>
        <w:t>10.F.</w:t>
      </w:r>
      <w:r>
        <w:rPr>
          <w:sz w:val="20"/>
          <w:szCs w:val="20"/>
          <w:color w:val="auto"/>
        </w:rPr>
        <w:tab/>
      </w:r>
      <w:r>
        <w:rPr>
          <w:rFonts w:ascii="Arial" w:cs="Arial" w:eastAsia="Arial" w:hAnsi="Arial"/>
          <w:sz w:val="15"/>
          <w:szCs w:val="15"/>
          <w:b w:val="1"/>
          <w:bCs w:val="1"/>
          <w:color w:val="auto"/>
        </w:rPr>
        <w:t>Dividends and paying agents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10.G.</w:t>
      </w:r>
      <w:r>
        <w:rPr>
          <w:sz w:val="20"/>
          <w:szCs w:val="20"/>
          <w:color w:val="auto"/>
        </w:rPr>
        <w:tab/>
      </w:r>
      <w:r>
        <w:rPr>
          <w:rFonts w:ascii="Arial" w:cs="Arial" w:eastAsia="Arial" w:hAnsi="Arial"/>
          <w:sz w:val="16"/>
          <w:szCs w:val="16"/>
          <w:b w:val="1"/>
          <w:bCs w:val="1"/>
          <w:color w:val="auto"/>
        </w:rPr>
        <w:t>Statement by experts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10.H.</w:t>
      </w:r>
      <w:r>
        <w:rPr>
          <w:sz w:val="20"/>
          <w:szCs w:val="20"/>
          <w:color w:val="auto"/>
        </w:rPr>
        <w:tab/>
      </w:r>
      <w:r>
        <w:rPr>
          <w:rFonts w:ascii="Arial" w:cs="Arial" w:eastAsia="Arial" w:hAnsi="Arial"/>
          <w:sz w:val="15"/>
          <w:szCs w:val="15"/>
          <w:b w:val="1"/>
          <w:bCs w:val="1"/>
          <w:color w:val="auto"/>
        </w:rPr>
        <w:t>Documents on display</w:t>
      </w:r>
    </w:p>
    <w:p>
      <w:pPr>
        <w:spacing w:after="0" w:line="229"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We are subject to certain of the information reporting requirements of the Exchange Act, or the Exchange Act. As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within four months after the end of each fiscal year, an annual report on Form 20-F containing financial statements audited by an independent accounting firm. We publish unaudited interim financial information after the end of each quarter. We furnish this quarterly financial information to the SEC under cover of a Form 6-K.</w:t>
      </w:r>
    </w:p>
    <w:p>
      <w:pPr>
        <w:spacing w:after="0" w:line="16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You may read and copy any document we file with the SEC at its public reference facilities at 100 F Street, NE, Washington, D.C. 20549. You may also obtain copies of the documents at prescribed rates by writing to the Public Reference Section of the SEC at 100 F Street, NE, Washington, D.C. 20549. The SEC also maintains a website that contains reports, proxy and information statements and other information regarding registrants that file electronically with the SEC. The address of this website is http://www.sec.gov. Please call the SEC at 1-800-SEC-0330 for further information on the operation of the public reference facilities.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10.I.</w:t>
      </w:r>
      <w:r>
        <w:rPr>
          <w:sz w:val="20"/>
          <w:szCs w:val="20"/>
          <w:color w:val="auto"/>
        </w:rPr>
        <w:tab/>
      </w:r>
      <w:r>
        <w:rPr>
          <w:rFonts w:ascii="Arial" w:cs="Arial" w:eastAsia="Arial" w:hAnsi="Arial"/>
          <w:sz w:val="16"/>
          <w:szCs w:val="16"/>
          <w:b w:val="1"/>
          <w:bCs w:val="1"/>
          <w:color w:val="auto"/>
        </w:rPr>
        <w:t>Subsidiary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the ordinary course of our operations, we are exposed to certain market risks, primarily changes in foreign currency exchange rates and interest rates.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A-minus.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results of operations and cash flow are subject to fluctuations due to changes in foreign currency exchange rates. As discussed above, the vast majority of our liquid assets is held in U.S. dollars, and a certain portion of our expenses is denominated in NIS. For instance, in 2014, approximately 13% of our expenses were denominated in NIS. Changes of 5% and 10% in the $/NIS exchange rate would have increased/decreased the operation expenses by 0.65% and 1.3%, respectively. However, these historical figures may not be indicative of future exposure, as we expect that the percentage of our NIS denominated expenses will materially decrease in the near future, therefore reducing our exposure to exchange rate fluctuations.</w:t>
      </w:r>
    </w:p>
    <w:p>
      <w:pPr>
        <w:spacing w:after="0" w:line="1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outstanding American Depositary Shares or American Depositary Receipts.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95" w:name="page96"/>
    <w:bookmarkEnd w:id="95"/>
    <w:p>
      <w:pPr>
        <w:ind w:left="5240"/>
        <w:spacing w:after="0"/>
        <w:rPr>
          <w:sz w:val="20"/>
          <w:szCs w:val="20"/>
          <w:color w:val="auto"/>
        </w:rPr>
      </w:pPr>
      <w:r>
        <w:rPr>
          <w:rFonts w:ascii="Arial" w:cs="Arial" w:eastAsia="Arial" w:hAnsi="Arial"/>
          <w:sz w:val="18"/>
          <w:szCs w:val="18"/>
          <w:b w:val="1"/>
          <w:bCs w:val="1"/>
          <w:u w:val="single" w:color="auto"/>
          <w:color w:val="auto"/>
        </w:rPr>
        <w:t>PART TWO</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tab/>
        <w:t>MATERIAL MODIFICATIONS TO THE RIGHTS OF SECURITY HOLDERS AND 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as of December 31, 2014, or the Evaluation Date. Based on such evaluation, those officers have concluded that, as of the Evaluation Date, our disclosure controls and procedures are effective in recording, processing, summarizing and reporting, on a timely basis, information required to be included in periodic filings under the Exchange Act and that such information is accumulated and communicated to management, including our principal executive and financial officers,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2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under the Exchange Act. Under the supervision and with the participation of our management, including our Chief Executive Officer and Chief Financial Officer, we conducted an evaluation of the effectiveness of our internal control over financial reporting based principally on the framework and criteria established in Internal Control - Integrated Framework (2013) issued by the Committee of Sponsoring Organizations of the Treadway Commission as of the end of the period covered by this report. Based on that evaluation, our management has concluded that our internal control over financial reporting was effective as of December 31, 2014 at providing reasonable assurance regarding the reliability of financial reporting and the preparation of financial statements for external purposes in accordance with generally accepted accounting principles.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due to an exemption for emerging growth companies provided in the JOBS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2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During the year ended December 31, 2014, there were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2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board of directors has determined that Mr. Mor, a member of our audit committee, is an audit committee financial expert, as defined under the rules under the Exchange Act, and is independent in accordance with applicable Exchange Act rules and Nasdaq rules.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16B. Code of Ethics</w:t>
      </w:r>
    </w:p>
    <w:p>
      <w:pPr>
        <w:spacing w:after="0" w:line="2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have adopted a written code of ethics that applies to our officers and employees, including our principal executive officer, principal financial officer, principal controller and persons performing similar functions as well as our directors. Our Code of Business Conduct and Ethics is posted on our website at www.alcobra-pharma.com.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Kost Forer Gabbay &amp; Kasierer (a Member of EY Global), has served as our principal independent registered public accounting firm for each of the two years ended December 31, 2014 and 2013.</w:t>
      </w:r>
    </w:p>
    <w:p>
      <w:pPr>
        <w:spacing w:after="0" w:line="17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provides information regarding fees paid by us to Kost Forer Gabbay &amp; Kasierer and/or other member firms of EY Global for all services, including audit services, for the years ended December 31, 2014 and 2013:</w:t>
      </w:r>
    </w:p>
    <w:p>
      <w:pPr>
        <w:spacing w:after="0" w:line="166"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0"/>
              </w:rPr>
              <w:t>Year Ended</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24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tcPr>
          <w:p>
            <w:pPr>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1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16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166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840" w:type="dxa"/>
            <w:vAlign w:val="bottom"/>
          </w:tcPr>
          <w:p>
            <w:pPr>
              <w:jc w:val="right"/>
              <w:ind w:right="68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ind w:left="360" w:right="820" w:hanging="352"/>
        <w:spacing w:after="0" w:line="258" w:lineRule="auto"/>
        <w:tabs>
          <w:tab w:leader="none" w:pos="3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professional services rendered in connection with the audit of our annual financial statements and the review of our interim financial statements.</w:t>
      </w:r>
    </w:p>
    <w:p>
      <w:pPr>
        <w:spacing w:after="0" w:line="1" w:lineRule="exact"/>
        <w:rPr>
          <w:rFonts w:ascii="Arial" w:cs="Arial" w:eastAsia="Arial" w:hAnsi="Arial"/>
          <w:sz w:val="18"/>
          <w:szCs w:val="18"/>
          <w:i w:val="1"/>
          <w:iCs w:val="1"/>
          <w:color w:val="auto"/>
        </w:rPr>
      </w:pPr>
    </w:p>
    <w:p>
      <w:pPr>
        <w:ind w:left="360" w:hanging="352"/>
        <w:spacing w:after="0"/>
        <w:tabs>
          <w:tab w:leader="none" w:pos="3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fees for the IPO and secondary equity offering in 2013.</w:t>
      </w:r>
    </w:p>
    <w:p>
      <w:pPr>
        <w:spacing w:after="0" w:line="9" w:lineRule="exact"/>
        <w:rPr>
          <w:rFonts w:ascii="Arial" w:cs="Arial" w:eastAsia="Arial" w:hAnsi="Arial"/>
          <w:sz w:val="18"/>
          <w:szCs w:val="18"/>
          <w:i w:val="1"/>
          <w:iCs w:val="1"/>
          <w:color w:val="auto"/>
        </w:rPr>
      </w:pPr>
    </w:p>
    <w:p>
      <w:pPr>
        <w:ind w:left="360" w:hanging="352"/>
        <w:spacing w:after="0"/>
        <w:tabs>
          <w:tab w:leader="none" w:pos="3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professional fees related to tax returns, transfer pricing and consulting on state and sales tax in the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of Auditors' Compensation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The Sarbanes-Oxley Act, as well as related rules subsequently implemented by the SEC, require foreign private issuers, such as us, to comply with various corporate governance practices. In addition, we are required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5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accordance with Israeli law and practice and subject to the exemption set forth in Rule 5615 of the Listing Rules of the NASDAQ Stock Market, we have elected to follow the provisions of the Israeli Companies Law, rather than the Listing Rules of the NASDAQ Stock Market, with respect to the following requirements:</w:t>
      </w:r>
    </w:p>
    <w:p>
      <w:pPr>
        <w:spacing w:after="0" w:line="181" w:lineRule="exact"/>
        <w:rPr>
          <w:sz w:val="20"/>
          <w:szCs w:val="20"/>
          <w:color w:val="auto"/>
        </w:rPr>
      </w:pPr>
    </w:p>
    <w:p>
      <w:pPr>
        <w:ind w:left="920" w:right="140" w:hanging="453"/>
        <w:spacing w:after="0" w:line="273" w:lineRule="auto"/>
        <w:tabs>
          <w:tab w:leader="none" w:pos="92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Distribution of periodic reports to shareholders; proxy solicitation. </w:t>
      </w:r>
      <w:r>
        <w:rPr>
          <w:rFonts w:ascii="Arial" w:cs="Arial" w:eastAsia="Arial" w:hAnsi="Arial"/>
          <w:sz w:val="17"/>
          <w:szCs w:val="17"/>
          <w:color w:val="auto"/>
        </w:rPr>
        <w:t>As opposed to the Listing Rules of the NASDAQ Stock Market,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listed issuers to 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currently make our audited financial statements available to our shareholders at our offices and will only mail such reports to shareholders upon request. As a foreign private issuer, we are generally exempt from the SEC's proxy solicitation rules.</w:t>
      </w:r>
    </w:p>
    <w:p>
      <w:pPr>
        <w:spacing w:after="0" w:line="178" w:lineRule="exact"/>
        <w:rPr>
          <w:rFonts w:ascii="Arial" w:cs="Arial" w:eastAsia="Arial" w:hAnsi="Arial"/>
          <w:sz w:val="17"/>
          <w:szCs w:val="17"/>
          <w:color w:val="auto"/>
        </w:rPr>
      </w:pPr>
    </w:p>
    <w:p>
      <w:pPr>
        <w:ind w:left="920" w:right="140" w:hanging="453"/>
        <w:spacing w:after="0" w:line="255"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Nomination of our directors. </w:t>
      </w:r>
      <w:r>
        <w:rPr>
          <w:rFonts w:ascii="Arial" w:cs="Arial" w:eastAsia="Arial" w:hAnsi="Arial"/>
          <w:sz w:val="18"/>
          <w:szCs w:val="18"/>
          <w:color w:val="auto"/>
        </w:rPr>
        <w:t>With the exception of our external directors and directors elected by our Board of Directors due to vacancy,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are elected by 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or by a majority of independent directors, as required under the Listing Rules of the NASDAQ Stock Market.</w:t>
      </w:r>
    </w:p>
    <w:p>
      <w:pPr>
        <w:spacing w:after="0" w:line="189" w:lineRule="exact"/>
        <w:rPr>
          <w:rFonts w:ascii="Arial" w:cs="Arial" w:eastAsia="Arial" w:hAnsi="Arial"/>
          <w:sz w:val="18"/>
          <w:szCs w:val="18"/>
          <w:color w:val="auto"/>
        </w:rPr>
      </w:pPr>
    </w:p>
    <w:p>
      <w:pPr>
        <w:ind w:left="920" w:right="40" w:hanging="453"/>
        <w:spacing w:after="0" w:line="255" w:lineRule="auto"/>
        <w:tabs>
          <w:tab w:leader="none" w:pos="132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of officers. </w:t>
      </w:r>
      <w:r>
        <w:rPr>
          <w:rFonts w:ascii="Arial" w:cs="Arial" w:eastAsia="Arial" w:hAnsi="Arial"/>
          <w:sz w:val="18"/>
          <w:szCs w:val="18"/>
          <w:color w:val="auto"/>
        </w:rPr>
        <w:t>Israeli law and our amended and restated articles of association do not require that the independent members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(or a 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 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8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Shareholder approval is generally required for executive officer compensation in the event (i) approval by our Board of Directors and our Compensation Committee is not consistent with our office holders compensation policy, or (ii) compensation required to be approved is that of our chief executive officer who is not a director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otherwise have a personal interest in the compensation arrangement that are voted at the meeting, excluding for such purpose any abstentions disinterested majority, or (ii) the total shares held by non-controlling and disinterested shareholders voted against the arrangement does not exceed two percent (2%) of the voting rights in our company.</w:t>
      </w:r>
    </w:p>
    <w:p>
      <w:pPr>
        <w:spacing w:after="0" w:line="178"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Additionally, approval of the compensation of an executive officer, who is also a director, shall generally require a simple majority vote of the shares present and voting at a shareholders meeting, if consistent with our office holders compensation policy. Our Compensation Committee and Board of Directors may, in special circumstances, approve the compensation of an executive officer (other than a director, a chief executive officer or a controlling shareholder) or approve the compensation policy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8" w:name="page99"/>
    <w:bookmarkEnd w:id="98"/>
    <w:p>
      <w:pPr>
        <w:ind w:right="180" w:firstLine="405"/>
        <w:spacing w:after="0" w:line="342" w:lineRule="auto"/>
        <w:rPr>
          <w:sz w:val="20"/>
          <w:szCs w:val="20"/>
          <w:color w:val="auto"/>
        </w:rPr>
      </w:pPr>
      <w:r>
        <w:rPr>
          <w:rFonts w:ascii="Arial" w:cs="Arial" w:eastAsia="Arial" w:hAnsi="Arial"/>
          <w:sz w:val="16"/>
          <w:szCs w:val="16"/>
          <w:color w:val="auto"/>
        </w:rPr>
        <w:t>A director or executive officer may not be present when the board of directors of a company discusses or votes upon the terms of his or her compensation, unless the chairman of the board of directors determines that he or she should be present to present the transaction that is subject to approval.</w:t>
      </w:r>
    </w:p>
    <w:p>
      <w:pPr>
        <w:spacing w:after="0" w:line="124" w:lineRule="exact"/>
        <w:rPr>
          <w:sz w:val="20"/>
          <w:szCs w:val="20"/>
          <w:color w:val="auto"/>
        </w:rPr>
      </w:pPr>
    </w:p>
    <w:p>
      <w:pPr>
        <w:ind w:left="920" w:right="60" w:hanging="453"/>
        <w:spacing w:after="0" w:line="271" w:lineRule="auto"/>
        <w:tabs>
          <w:tab w:leader="none" w:pos="92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Independent directors. </w:t>
      </w:r>
      <w:r>
        <w:rPr>
          <w:rFonts w:ascii="Arial" w:cs="Arial" w:eastAsia="Arial" w:hAnsi="Arial"/>
          <w:sz w:val="17"/>
          <w:szCs w:val="17"/>
          <w:color w:val="auto"/>
        </w:rPr>
        <w:t>Israeli law does not require that a majority of the directors serving on our Board of Directors be "independent,"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under NASDAQ 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178" w:lineRule="exact"/>
        <w:rPr>
          <w:rFonts w:ascii="Arial" w:cs="Arial" w:eastAsia="Arial" w:hAnsi="Arial"/>
          <w:sz w:val="17"/>
          <w:szCs w:val="17"/>
          <w:color w:val="auto"/>
        </w:rPr>
      </w:pPr>
    </w:p>
    <w:p>
      <w:pPr>
        <w:ind w:left="920" w:right="20" w:hanging="453"/>
        <w:spacing w:after="0" w:line="286" w:lineRule="auto"/>
        <w:tabs>
          <w:tab w:leader="none" w:pos="92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We will seek shareholder approval for all corporate actions requiring such approval under the requirements of the Israeli</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Companies Law, 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In addition, under the Israeli Companies Law, a merger requires approval of the shareholders of each of the merging companies.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 controlling shareholder and approval of transactions</w:t>
      </w:r>
    </w:p>
    <w:p>
      <w:pPr>
        <w:spacing w:after="0" w:line="22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The Companies Law also requires that a controlling shareholder promptly disclose to the company any personal interest that he or she may have and all related material information or documents relating to any existing or proposed transaction by the company. A controlling shareholder’s disclosure must be made promptly and in any event no later than the first meeting of the board of directors at which the transaction is considered. Extraordinary transactions with a controlling shareholder or in which a controlling shareholder has a personal interest, including a private placement in which a controlling shareholder has a personal interest, and the terms of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of the company, regarding his or her terms of employment, require the approval of each of (i) the audit committee or the compensation committee with respect to the terms of the engagement of the company, (ii) the board of directors and (iii) the shareholders, in that order. In addition, the shareholder approval must fulfill one of the following requirements:</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9" w:name="page100"/>
    <w:bookmarkEnd w:id="99"/>
    <w:p>
      <w:pPr>
        <w:ind w:left="920" w:right="420" w:hanging="453"/>
        <w:spacing w:after="0" w:line="277" w:lineRule="auto"/>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of the shares held by shareholders who have no personal interest in the transaction and are voting at the meeting must be voted in favor of approving the transaction, excluding abstentions; or</w:t>
      </w:r>
    </w:p>
    <w:p>
      <w:pPr>
        <w:spacing w:after="0" w:line="170" w:lineRule="exact"/>
        <w:rPr>
          <w:rFonts w:ascii="Arial" w:cs="Arial" w:eastAsia="Arial" w:hAnsi="Arial"/>
          <w:sz w:val="18"/>
          <w:szCs w:val="18"/>
          <w:color w:val="auto"/>
        </w:rPr>
      </w:pPr>
    </w:p>
    <w:p>
      <w:pPr>
        <w:ind w:left="920" w:right="200" w:hanging="453"/>
        <w:spacing w:after="0" w:line="277" w:lineRule="auto"/>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shares voted by shareholders who have no personal interest in the transaction who vote against the transaction represent no more than 2.0% of the voting rights in the company.</w:t>
      </w:r>
    </w:p>
    <w:p>
      <w:pPr>
        <w:spacing w:after="0" w:line="170"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In addition, any extraordinary transaction with a controlling shareholder or in which a controlling shareholder has a personal interest with a term of more than three years requires the abovementioned approval every three years, however, such transactions not involving the receipt of services or compensation can be approved for a longer term, provided that the audit committee determines that such longer term is reasonable under the circumstances.</w:t>
      </w:r>
    </w:p>
    <w:p>
      <w:pPr>
        <w:spacing w:after="0" w:line="14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Companies Law requires that every shareholder that participates, in person, by proxy or by voting instrument, in a vote regarding a transaction with a controlling shareholder, must indicate in advance or in the ballot whether or not that shareholder has a personal interest in the vote in question. Failure to so indicate will result in the invalidation of that shareholder’s vote.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THREE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tab/>
        <w:t>FINANCIAL STATEMENTS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tab/>
        <w:t>FINANCIAL STATEMENTS</w:t>
      </w:r>
    </w:p>
    <w:p>
      <w:pPr>
        <w:spacing w:after="0" w:line="22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consolidated financial statements, and the related notes thereto, and the Reports of Independent Public Accountants are filed as a part of this annual report.</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228"/>
        </w:trPr>
        <w:tc>
          <w:tcPr>
            <w:tcW w:w="7600" w:type="dxa"/>
            <w:vAlign w:val="bottom"/>
            <w:gridSpan w:val="7"/>
            <w:shd w:val="clear" w:color="auto" w:fill="CCEEFF"/>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Report of Independent Registered Public Accounting Firm</w:t>
              </w:r>
            </w:hyperlink>
          </w:p>
        </w:tc>
        <w:tc>
          <w:tcPr>
            <w:tcW w:w="3460" w:type="dxa"/>
            <w:vAlign w:val="bottom"/>
            <w:shd w:val="clear" w:color="auto" w:fill="CCEEFF"/>
          </w:tcPr>
          <w:p>
            <w:pPr>
              <w:ind w:left="3220"/>
              <w:spacing w:after="0"/>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0" w:type="dxa"/>
            <w:vAlign w:val="bottom"/>
            <w:gridSpan w:val="7"/>
            <w:shd w:val="clear" w:color="auto" w:fill="CCEEFF"/>
          </w:tcPr>
          <w:p>
            <w:pPr>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Consolidated Balance Sheets</w:t>
              </w:r>
            </w:hyperlink>
          </w:p>
        </w:tc>
        <w:tc>
          <w:tcPr>
            <w:tcW w:w="3460" w:type="dxa"/>
            <w:vAlign w:val="bottom"/>
            <w:shd w:val="clear" w:color="auto" w:fill="CCEEFF"/>
          </w:tcPr>
          <w:p>
            <w:pPr>
              <w:ind w:left="3220"/>
              <w:spacing w:after="0" w:line="176" w:lineRule="exact"/>
              <w:rPr>
                <w:sz w:val="20"/>
                <w:szCs w:val="20"/>
                <w:color w:val="auto"/>
              </w:rPr>
            </w:pPr>
            <w:r>
              <w:rPr>
                <w:rFonts w:ascii="Arial" w:cs="Arial" w:eastAsia="Arial" w:hAnsi="Arial"/>
                <w:sz w:val="18"/>
                <w:szCs w:val="18"/>
                <w:color w:val="auto"/>
                <w:w w:val="81"/>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0" w:type="dxa"/>
            <w:vAlign w:val="bottom"/>
            <w:gridSpan w:val="7"/>
            <w:shd w:val="clear" w:color="auto" w:fill="CCEEFF"/>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Consolidated Statements of Operations</w:t>
              </w:r>
            </w:hyperlink>
          </w:p>
        </w:tc>
        <w:tc>
          <w:tcPr>
            <w:tcW w:w="3460" w:type="dxa"/>
            <w:vAlign w:val="bottom"/>
            <w:shd w:val="clear" w:color="auto" w:fill="CCEEFF"/>
          </w:tcPr>
          <w:p>
            <w:pPr>
              <w:ind w:left="3220"/>
              <w:spacing w:after="0" w:line="176" w:lineRule="exact"/>
              <w:rPr>
                <w:sz w:val="20"/>
                <w:szCs w:val="20"/>
                <w:color w:val="auto"/>
              </w:rPr>
            </w:pPr>
            <w:r>
              <w:rPr>
                <w:rFonts w:ascii="Arial" w:cs="Arial" w:eastAsia="Arial" w:hAnsi="Arial"/>
                <w:sz w:val="18"/>
                <w:szCs w:val="18"/>
                <w:color w:val="auto"/>
                <w:w w:val="81"/>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0" w:type="dxa"/>
            <w:vAlign w:val="bottom"/>
            <w:gridSpan w:val="7"/>
            <w:shd w:val="clear" w:color="auto" w:fill="CCEEFF"/>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Consolidated Statements of Changes in Shareholders' Equity</w:t>
              </w:r>
            </w:hyperlink>
          </w:p>
        </w:tc>
        <w:tc>
          <w:tcPr>
            <w:tcW w:w="3460" w:type="dxa"/>
            <w:vAlign w:val="bottom"/>
            <w:shd w:val="clear" w:color="auto" w:fill="CCEEFF"/>
          </w:tcPr>
          <w:p>
            <w:pPr>
              <w:ind w:left="3220"/>
              <w:spacing w:after="0" w:line="176" w:lineRule="exact"/>
              <w:rPr>
                <w:sz w:val="20"/>
                <w:szCs w:val="20"/>
                <w:color w:val="auto"/>
              </w:rPr>
            </w:pPr>
            <w:r>
              <w:rPr>
                <w:rFonts w:ascii="Arial" w:cs="Arial" w:eastAsia="Arial" w:hAnsi="Arial"/>
                <w:sz w:val="18"/>
                <w:szCs w:val="18"/>
                <w:color w:val="auto"/>
                <w:w w:val="81"/>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0" w:type="dxa"/>
            <w:vAlign w:val="bottom"/>
            <w:gridSpan w:val="7"/>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Consolidated Statements of Cash Flows</w:t>
              </w:r>
            </w:hyperlink>
          </w:p>
        </w:tc>
        <w:tc>
          <w:tcPr>
            <w:tcW w:w="3460" w:type="dxa"/>
            <w:vAlign w:val="bottom"/>
            <w:shd w:val="clear" w:color="auto" w:fill="CCEEFF"/>
          </w:tcPr>
          <w:p>
            <w:pPr>
              <w:ind w:left="3220"/>
              <w:spacing w:after="0" w:line="176" w:lineRule="exact"/>
              <w:rPr>
                <w:sz w:val="20"/>
                <w:szCs w:val="20"/>
                <w:color w:val="auto"/>
              </w:rPr>
            </w:pPr>
            <w:r>
              <w:rPr>
                <w:rFonts w:ascii="Arial" w:cs="Arial" w:eastAsia="Arial" w:hAnsi="Arial"/>
                <w:sz w:val="18"/>
                <w:szCs w:val="18"/>
                <w:color w:val="auto"/>
                <w:w w:val="81"/>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0" w:type="dxa"/>
            <w:vAlign w:val="bottom"/>
            <w:gridSpan w:val="7"/>
            <w:shd w:val="clear" w:color="auto" w:fill="CCEEFF"/>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Notes to Consolidated Financial Statements</w:t>
              </w:r>
            </w:hyperlink>
          </w:p>
        </w:tc>
        <w:tc>
          <w:tcPr>
            <w:tcW w:w="3460" w:type="dxa"/>
            <w:vAlign w:val="bottom"/>
            <w:shd w:val="clear" w:color="auto" w:fill="CCEEFF"/>
          </w:tcPr>
          <w:p>
            <w:pPr>
              <w:ind w:left="3220"/>
              <w:spacing w:after="0" w:line="176" w:lineRule="exact"/>
              <w:rPr>
                <w:sz w:val="20"/>
                <w:szCs w:val="20"/>
                <w:color w:val="auto"/>
              </w:rPr>
            </w:pPr>
            <w:r>
              <w:rPr>
                <w:rFonts w:ascii="Arial" w:cs="Arial" w:eastAsia="Arial" w:hAnsi="Arial"/>
                <w:sz w:val="18"/>
                <w:szCs w:val="18"/>
                <w:color w:val="auto"/>
                <w:w w:val="81"/>
              </w:rPr>
              <w:t>F-7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10520" w:type="dxa"/>
            <w:vAlign w:val="bottom"/>
            <w:gridSpan w:val="5"/>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4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0" w:type="dxa"/>
            <w:vAlign w:val="bottom"/>
          </w:tcPr>
          <w:p>
            <w:pPr>
              <w:spacing w:after="0"/>
              <w:rPr>
                <w:sz w:val="24"/>
                <w:szCs w:val="24"/>
                <w:color w:val="auto"/>
              </w:rPr>
            </w:pPr>
          </w:p>
        </w:tc>
      </w:t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95"/>
        </w:trPr>
        <w:tc>
          <w:tcPr>
            <w:tcW w:w="20" w:type="dxa"/>
            <w:vAlign w:val="bottom"/>
          </w:tcPr>
          <w:p>
            <w:pPr>
              <w:spacing w:after="0"/>
              <w:rPr>
                <w:sz w:val="16"/>
                <w:szCs w:val="16"/>
                <w:color w:val="auto"/>
              </w:rPr>
            </w:pPr>
          </w:p>
        </w:tc>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1.1</w:t>
            </w:r>
          </w:p>
        </w:tc>
        <w:tc>
          <w:tcPr>
            <w:tcW w:w="2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Articles of Association of the Company, filed as Exhibit 3.2 to Form F-1/A filed on March 19, 2013 (File No. 333-186003) and</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7"/>
              </w:rPr>
              <w:t>Form of Representative’s Warrant Agreement, filed as Exhibit 4.2 to Form F-1/A filed on April 25, 2013 (File No. 333-186003) and</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Consulting Agreement between the Company and Adler Consulting LLC, dated November 2010, filed as Exhibit 10.1 to Form F-1/A filed</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on January 14, 2013 (File No. 333-186003) and incorporated herein by reference</w:t>
            </w: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Alcobra Ltd. 2010 Incentive Option Plan, as amended</w:t>
            </w: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Form of Indemnification Agreement, filed as Exhibit 10.4 to Form F-1/A filed on February 19, 2013 (File No. 333-186003) and</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8"/>
              </w:rPr>
              <w:t>Letter of Approval from the Office of Chief Scientist, filed as Exhibit 10.8 to Form F-1/A filed on February 19, 2013 (File No. 333-</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186003) and incorporated herein by reference</w:t>
            </w: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1"/>
              </w:rPr>
              <w:t>Employment agreement between the Company and Yaron Daniely, dated March 4, 2010, filed as Exhibit 10.9 to Form F-1/A filed on April</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25, 2013 (File No. 333-186003) and incorporated herein by reference</w:t>
            </w: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1"/>
              </w:rPr>
              <w:t>Employment agreement between the Company and Hanna Ron, dated June 1, 2013, filed as Exhibit 10.12 to Form F-1/A filed on October</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22, 2013 (File No. 333-191714) and incorporated herein by reference</w:t>
            </w: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4"/>
              </w:rPr>
              <w:t>Employment agreement between the Company and Jonathan Rubin, dated July 25, 2013, filed as Exhibit 10.13 to Form F-1/A filed on</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October 22, 2013 (File No. 333-191714) and incorporated herein by reference</w:t>
            </w: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Certification of the Chief Executive Officer pursuant to Rule 13a-14(a) of the Securities Exchange Act of 1934</w:t>
            </w: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Certification of the Chief Financial Officer pursuant to Rule 13a-14(a) of the Securities Exchange Act of 1934</w:t>
            </w: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Certification of the Chief Executive Officer pursuant to 18 U.S.C. 1350, furnished herewith</w:t>
            </w: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Certification of the Chief Financial Officer pursuant to 18 U.S.C. 1350, furnished herewith</w:t>
            </w: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Consent of Kost, Forer, Gabbay &amp; Kasierer, a member of Ernst &amp; Young Global</w:t>
            </w:r>
          </w:p>
        </w:tc>
      </w:tr>
    </w:tbl>
    <w:p>
      <w:pPr>
        <w:spacing w:after="0" w:line="202" w:lineRule="exact"/>
        <w:rPr>
          <w:sz w:val="20"/>
          <w:szCs w:val="20"/>
          <w:color w:val="auto"/>
        </w:rPr>
      </w:pPr>
    </w:p>
    <w:p>
      <w:pPr>
        <w:ind w:left="1380" w:right="340" w:hanging="1372"/>
        <w:spacing w:after="0" w:line="279" w:lineRule="auto"/>
        <w:tabs>
          <w:tab w:leader="none" w:pos="13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following materials from our Annual Report on Form 20-F for the year ended December 31, 2014 formatted in XBRL (eXtensible Business Reporting Language) are furnished herewith: (i) the Consolidated Balance Sheets, (ii) the Consolidated Statements of Comprehensive Loss, (iii) the Consolidated Statements of Changes in Shareholders' Equity, (iv) the Consolidated Statements of Cash Flows and (v) the Notes to Consolidated Financial Statements, tagged as blocks of text and in detail</w:t>
      </w:r>
    </w:p>
    <w:p>
      <w:pPr>
        <w:spacing w:after="0" w:line="171" w:lineRule="exact"/>
        <w:rPr>
          <w:rFonts w:ascii="Arial" w:cs="Arial" w:eastAsia="Arial" w:hAnsi="Arial"/>
          <w:sz w:val="17"/>
          <w:szCs w:val="17"/>
          <w:color w:val="auto"/>
        </w:rPr>
      </w:pPr>
    </w:p>
    <w:p>
      <w:pPr>
        <w:ind w:left="660" w:hanging="166"/>
        <w:spacing w:after="0"/>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English translation of original Hebrew document.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Alcobra Ltd. hereby certifies that it meets all of the requirements for filing on Form 20-F and that it has duly caused and authorized the undersigned to sign this annual report on its behalf.</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Yaron Daniely</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Dr. Yaron Daniely</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27, 2015</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0" w:type="dxa"/>
            <w:vAlign w:val="bottom"/>
            <w:gridSpan w:val="2"/>
          </w:tcPr>
          <w:p>
            <w:pPr>
              <w:jc w:val="center"/>
              <w:ind w:right="1930"/>
              <w:spacing w:after="0"/>
              <w:rPr>
                <w:sz w:val="20"/>
                <w:szCs w:val="20"/>
                <w:color w:val="auto"/>
              </w:rPr>
            </w:pPr>
            <w:r>
              <w:rPr>
                <w:rFonts w:ascii="Arial" w:cs="Arial" w:eastAsia="Arial" w:hAnsi="Arial"/>
                <w:sz w:val="18"/>
                <w:szCs w:val="18"/>
                <w:b w:val="1"/>
                <w:bCs w:val="1"/>
                <w:color w:val="auto"/>
                <w:w w:val="99"/>
              </w:rPr>
              <w:t>ALCOBRA LTD. AND ITS SUBSIDIARY</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0" w:type="dxa"/>
            <w:vAlign w:val="bottom"/>
            <w:gridSpan w:val="2"/>
          </w:tcPr>
          <w:p>
            <w:pPr>
              <w:jc w:val="center"/>
              <w:ind w:right="1910"/>
              <w:spacing w:after="0"/>
              <w:rPr>
                <w:sz w:val="20"/>
                <w:szCs w:val="20"/>
                <w:color w:val="auto"/>
              </w:rPr>
            </w:pPr>
            <w:r>
              <w:rPr>
                <w:rFonts w:ascii="Arial" w:cs="Arial" w:eastAsia="Arial" w:hAnsi="Arial"/>
                <w:sz w:val="18"/>
                <w:szCs w:val="18"/>
                <w:b w:val="1"/>
                <w:bCs w:val="1"/>
                <w:color w:val="auto"/>
              </w:rPr>
              <w:t>CONSOLIDATED FINANCIAL STATEMENTS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00" w:type="dxa"/>
            <w:vAlign w:val="bottom"/>
          </w:tcPr>
          <w:p>
            <w:pPr>
              <w:jc w:val="center"/>
              <w:ind w:right="2810"/>
              <w:spacing w:after="0"/>
              <w:rPr>
                <w:sz w:val="20"/>
                <w:szCs w:val="20"/>
                <w:color w:val="auto"/>
              </w:rPr>
            </w:pPr>
            <w:r>
              <w:rPr>
                <w:rFonts w:ascii="Arial" w:cs="Arial" w:eastAsia="Arial" w:hAnsi="Arial"/>
                <w:sz w:val="18"/>
                <w:szCs w:val="18"/>
                <w:b w:val="1"/>
                <w:bCs w:val="1"/>
                <w:color w:val="auto"/>
                <w:w w:val="95"/>
              </w:rPr>
              <w:t>AS OF DECEMBER 31, 2014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0" w:type="dxa"/>
            <w:vAlign w:val="bottom"/>
            <w:gridSpan w:val="2"/>
          </w:tcPr>
          <w:p>
            <w:pPr>
              <w:jc w:val="center"/>
              <w:ind w:right="1910"/>
              <w:spacing w:after="0"/>
              <w:rPr>
                <w:sz w:val="20"/>
                <w:szCs w:val="20"/>
                <w:color w:val="auto"/>
              </w:rPr>
            </w:pPr>
            <w:r>
              <w:rPr>
                <w:rFonts w:ascii="Arial" w:cs="Arial" w:eastAsia="Arial" w:hAnsi="Arial"/>
                <w:sz w:val="18"/>
                <w:szCs w:val="18"/>
                <w:b w:val="1"/>
                <w:bCs w:val="1"/>
                <w:color w:val="auto"/>
                <w:w w:val="98"/>
              </w:rPr>
              <w:t>U.S. DOLLARS IN THOUSANDS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00" w:type="dxa"/>
            <w:vAlign w:val="bottom"/>
          </w:tcPr>
          <w:p>
            <w:pPr>
              <w:jc w:val="center"/>
              <w:ind w:right="2830"/>
              <w:spacing w:after="0"/>
              <w:rPr>
                <w:sz w:val="20"/>
                <w:szCs w:val="20"/>
                <w:color w:val="auto"/>
              </w:rPr>
            </w:pPr>
            <w:r>
              <w:rPr>
                <w:rFonts w:ascii="Arial" w:cs="Arial" w:eastAsia="Arial" w:hAnsi="Arial"/>
                <w:sz w:val="18"/>
                <w:szCs w:val="18"/>
                <w:b w:val="1"/>
                <w:bCs w:val="1"/>
                <w:color w:val="auto"/>
              </w:rPr>
              <w:t>INDEX</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Report of Independent Registered Public Accounting Firm</w:t>
              </w:r>
            </w:hyperlink>
          </w:p>
        </w:tc>
        <w:tc>
          <w:tcPr>
            <w:tcW w:w="1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Consolidated Balance Sheets</w:t>
              </w:r>
            </w:hyperlink>
          </w:p>
        </w:tc>
        <w:tc>
          <w:tcPr>
            <w:tcW w:w="1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Consolidated Statements of Operations</w:t>
              </w:r>
            </w:hyperlink>
          </w:p>
        </w:tc>
        <w:tc>
          <w:tcPr>
            <w:tcW w:w="1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Statements of Changes in Shareholders' Equity</w:t>
              </w:r>
            </w:hyperlink>
          </w:p>
        </w:tc>
        <w:tc>
          <w:tcPr>
            <w:tcW w:w="1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Consolidated Statements of Cash Flows</w:t>
              </w:r>
            </w:hyperlink>
          </w:p>
        </w:tc>
        <w:tc>
          <w:tcPr>
            <w:tcW w:w="1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Notes to Consolidated Financial Statements</w:t>
              </w:r>
            </w:hyperlink>
          </w:p>
        </w:tc>
        <w:tc>
          <w:tcPr>
            <w:tcW w:w="1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4"/>
              </w:rPr>
              <w:t>F-7 - F-20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3" w:name="page104"/>
    <w:bookmarkEnd w:id="103"/>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831850" cy="9607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831850" cy="960755"/>
                    </a:xfrm>
                    <a:prstGeom prst="rect">
                      <a:avLst/>
                    </a:prstGeom>
                    <a:noFill/>
                  </pic:spPr>
                </pic:pic>
              </a:graphicData>
            </a:graphic>
          </wp:anchor>
        </w:drawing>
      </w:r>
    </w:p>
    <w:p>
      <w:pPr>
        <w:ind w:left="2520"/>
        <w:spacing w:after="0"/>
        <w:rPr>
          <w:sz w:val="20"/>
          <w:szCs w:val="20"/>
          <w:color w:val="auto"/>
        </w:rPr>
      </w:pPr>
      <w:r>
        <w:rPr>
          <w:rFonts w:ascii="Arial" w:cs="Arial" w:eastAsia="Arial" w:hAnsi="Arial"/>
          <w:sz w:val="16"/>
          <w:szCs w:val="16"/>
          <w:b w:val="1"/>
          <w:bCs w:val="1"/>
          <w:color w:val="auto"/>
        </w:rPr>
        <w:t>Kost Forer Gabbay &amp; Kasierer</w:t>
      </w:r>
    </w:p>
    <w:p>
      <w:pPr>
        <w:spacing w:after="0" w:line="50"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3 Aminadav St.</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Tel-Aviv 6706703, Israel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Tel: +972-3-6232525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Fax: +972-3-5622555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ey.com</w:t>
      </w:r>
    </w:p>
    <w:p>
      <w:pPr>
        <w:spacing w:after="0" w:line="200" w:lineRule="exact"/>
        <w:rPr>
          <w:sz w:val="20"/>
          <w:szCs w:val="20"/>
          <w:color w:val="auto"/>
        </w:rPr>
      </w:pPr>
    </w:p>
    <w:p>
      <w:pPr>
        <w:sectPr>
          <w:pgSz w:w="11900" w:h="16838" w:orient="portrait"/>
          <w:cols w:equalWidth="0" w:num="2">
            <w:col w:w="5240" w:space="720"/>
            <w:col w:w="5460"/>
          </w:cols>
          <w:pgMar w:left="240" w:top="1440"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Shareholders and Board of Directors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have audited the accompanying consolidated balance sheets of Alcobra Ltd. and its subsidiary ("the Company") as of December 31, 2014 and 2013, and the related consolidated statements of operations, changes in shareholders' equity and cash flow for each of the three years ended December 31, 2014. These financial statements are the responsibility of the Company's and management. Our responsibility is to express an opinion on these financial statements based on our audits.</w:t>
      </w:r>
    </w:p>
    <w:p>
      <w:pPr>
        <w:spacing w:after="0" w:line="18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the and management, and evaluating the overall financial statement presentation. We believe that our audits provide a reasonable basis for our opinion.</w:t>
      </w:r>
    </w:p>
    <w:p>
      <w:pPr>
        <w:spacing w:after="0" w:line="167"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Company and its subsidiary as of December 31, 2014 and 2013, and the consolidated results of their operations and their cash flows for each of the three years in ended December 31, 2014, in conformity with U.S. generally accepted accounting principles.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Tel-Aviv, Israel</w:t>
            </w:r>
          </w:p>
        </w:tc>
        <w:tc>
          <w:tcPr>
            <w:tcW w:w="3280" w:type="dxa"/>
            <w:vAlign w:val="bottom"/>
          </w:tcPr>
          <w:p>
            <w:pPr>
              <w:spacing w:after="0"/>
              <w:rPr>
                <w:sz w:val="20"/>
                <w:szCs w:val="20"/>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KOST FORER GABBAY &amp; KASIERER</w:t>
            </w:r>
          </w:p>
        </w:tc>
      </w:tr>
      <w:tr>
        <w:trPr>
          <w:trHeight w:val="224"/>
        </w:trPr>
        <w:tc>
          <w:tcPr>
            <w:tcW w:w="3460" w:type="dxa"/>
            <w:vAlign w:val="bottom"/>
          </w:tcPr>
          <w:p>
            <w:pPr>
              <w:spacing w:after="0"/>
              <w:rPr>
                <w:sz w:val="20"/>
                <w:szCs w:val="20"/>
                <w:color w:val="auto"/>
              </w:rPr>
            </w:pPr>
            <w:r>
              <w:rPr>
                <w:rFonts w:ascii="Arial" w:cs="Arial" w:eastAsia="Arial" w:hAnsi="Arial"/>
                <w:sz w:val="18"/>
                <w:szCs w:val="18"/>
                <w:color w:val="auto"/>
              </w:rPr>
              <w:t>February 26, 2015</w:t>
            </w:r>
          </w:p>
        </w:tc>
        <w:tc>
          <w:tcPr>
            <w:tcW w:w="328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A Member of EY Global</w:t>
            </w:r>
          </w:p>
        </w:tc>
      </w:tr>
      <w:tr>
        <w:trPr>
          <w:trHeight w:val="634"/>
        </w:trPr>
        <w:tc>
          <w:tcPr>
            <w:tcW w:w="3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ind w:left="2120"/>
              <w:spacing w:after="0"/>
              <w:rPr>
                <w:sz w:val="20"/>
                <w:szCs w:val="20"/>
                <w:color w:val="auto"/>
              </w:rPr>
            </w:pPr>
            <w:r>
              <w:rPr>
                <w:rFonts w:ascii="Arial" w:cs="Arial" w:eastAsia="Arial" w:hAnsi="Arial"/>
                <w:sz w:val="18"/>
                <w:szCs w:val="18"/>
                <w:color w:val="auto"/>
              </w:rPr>
              <w:t>F-2</w:t>
            </w:r>
          </w:p>
        </w:tc>
      </w:tr>
    </w:tbl>
    <w:p>
      <w:pPr>
        <w:sectPr>
          <w:pgSz w:w="11900" w:h="16838" w:orient="portrait"/>
          <w:cols w:equalWidth="0" w:num="1">
            <w:col w:w="11420"/>
          </w:cols>
          <w:pgMar w:left="240" w:top="1440" w:right="239" w:bottom="1440" w:gutter="0" w:footer="0" w:header="0"/>
          <w:type w:val="continuous"/>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2,176</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Short-term bank deposits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19,522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and prepaid expenses</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22,126</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22,318</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payables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2,070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2,375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Ordinary shares of NIS 0.01 par value -</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50,000,000 shares authorized at December 31, 2014 and 2013; 14,007,046 and 13,941,033 issued shares at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December 31, 2014 and 2013, respectively; 13,702,722 and 13,636,709 shares outstanding at December 31,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2014 and 2013, respectively</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Treasury shares - 304,324 ordinary shares at December 31, 2014 and 2013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71,472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(51,568)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19,943</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b w:val="1"/>
                <w:bCs w:val="1"/>
                <w:color w:val="auto"/>
              </w:rPr>
              <w:t>TOTAL LIABILITIES AND SHAREHOLDERS' EQUITY</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22,318</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50,324</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 Represents an amount less than $ 1.</w:t>
            </w: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32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F-3</w:t>
            </w: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25,105</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Pre commercialization expenses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10,290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Tax expenses (benefits)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32,834</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10,548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computing basic and diluted net loss per</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13,674,818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10,177,786</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7,791,932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6" w:name="page107"/>
    <w:bookmarkEnd w:id="106"/>
    <w:p>
      <w:pPr>
        <w:ind w:left="8160"/>
        <w:spacing w:after="0"/>
        <w:rPr>
          <w:sz w:val="20"/>
          <w:szCs w:val="20"/>
          <w:color w:val="auto"/>
        </w:rPr>
      </w:pPr>
      <w:r>
        <w:rPr>
          <w:rFonts w:ascii="Arial" w:cs="Arial" w:eastAsia="Arial" w:hAnsi="Arial"/>
          <w:sz w:val="17"/>
          <w:szCs w:val="17"/>
          <w:b w:val="1"/>
          <w:bCs w:val="1"/>
          <w:color w:val="auto"/>
        </w:rPr>
        <w:t>ALCOBRA LTD. AND ITS SUBSIDIARY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1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Ordinary Shares</w:t>
            </w:r>
          </w:p>
        </w:tc>
        <w:tc>
          <w:tcPr>
            <w:tcW w:w="1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paid-in</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w w:val="95"/>
              </w:rPr>
              <w:t>shareholders'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capital</w:t>
            </w:r>
          </w:p>
        </w:tc>
        <w:tc>
          <w:tcPr>
            <w:tcW w:w="1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2012</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8,096,109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Treasury shares</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(304,324)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w:t>
            </w: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7,794,256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(8,186)</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208,708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Issuance of shares upon cashless exercise of warrants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85,192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upon conversion of convertible notes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w w:val="98"/>
              </w:rPr>
              <w:t>Issuance of shares upon initial public offering ($8 per share), net of</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$3,080 issuance expenses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3,125,000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28</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21,892</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21,920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shares upon secondary public offering ($16.5 per share),</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of $2,616 issuance expenses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35,328</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1,540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(10,548)</w:t>
            </w: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13,636,709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39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67,383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(18,734)</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upon exercise of options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Issuance of shares upon cashless exercise of warrants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64,389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(32,834)</w:t>
            </w:r>
          </w:p>
        </w:tc>
        <w:tc>
          <w:tcPr>
            <w:tcW w:w="1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Balance as of December 31, 2014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13,702,722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71,472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(51,568)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19,943</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 Represents an amount less than $ 1.</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20" w:type="dxa"/>
            <w:vAlign w:val="bottom"/>
            <w:gridSpan w:val="5"/>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620" w:type="dxa"/>
            <w:vAlign w:val="bottom"/>
            <w:gridSpan w:val="5"/>
            <w:vMerge w:val="continue"/>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tcPr>
          <w:p>
            <w:pPr>
              <w:ind w:left="200"/>
              <w:spacing w:after="0"/>
              <w:rPr>
                <w:sz w:val="20"/>
                <w:szCs w:val="20"/>
                <w:color w:val="auto"/>
              </w:rPr>
            </w:pPr>
            <w:r>
              <w:rPr>
                <w:rFonts w:ascii="Arial" w:cs="Arial" w:eastAsia="Arial" w:hAnsi="Arial"/>
                <w:sz w:val="18"/>
                <w:szCs w:val="18"/>
                <w:color w:val="auto"/>
              </w:rPr>
              <w:t>Stock based compensation</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1,540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Gain from sale of property and equipment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tcPr>
          <w:p>
            <w:pPr>
              <w:ind w:left="200"/>
              <w:spacing w:after="0"/>
              <w:rPr>
                <w:sz w:val="20"/>
                <w:szCs w:val="20"/>
                <w:color w:val="auto"/>
              </w:rPr>
            </w:pPr>
            <w:r>
              <w:rPr>
                <w:rFonts w:ascii="Arial" w:cs="Arial" w:eastAsia="Arial" w:hAnsi="Arial"/>
                <w:sz w:val="18"/>
                <w:szCs w:val="18"/>
                <w:color w:val="auto"/>
              </w:rPr>
              <w:t>Decrease (increase) in receivables and prepaid expenses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Decrease (increase) in other long-term assets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tcPr>
          <w:p>
            <w:pPr>
              <w:ind w:left="200"/>
              <w:spacing w:after="0"/>
              <w:rPr>
                <w:sz w:val="20"/>
                <w:szCs w:val="20"/>
                <w:color w:val="auto"/>
              </w:rPr>
            </w:pPr>
            <w:r>
              <w:rPr>
                <w:rFonts w:ascii="Arial" w:cs="Arial" w:eastAsia="Arial" w:hAnsi="Arial"/>
                <w:sz w:val="18"/>
                <w:szCs w:val="18"/>
                <w:color w:val="auto"/>
              </w:rPr>
              <w:t>Increase (decrease) in trade payables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Increase (decrease) in accrued expenses and other liabilities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gridSpan w:val="4"/>
          </w:tcPr>
          <w:p>
            <w:pPr>
              <w:ind w:left="200"/>
              <w:spacing w:after="0"/>
              <w:rPr>
                <w:sz w:val="20"/>
                <w:szCs w:val="20"/>
                <w:color w:val="auto"/>
              </w:rPr>
            </w:pPr>
            <w:r>
              <w:rPr>
                <w:rFonts w:ascii="Arial" w:cs="Arial" w:eastAsia="Arial" w:hAnsi="Arial"/>
                <w:sz w:val="18"/>
                <w:szCs w:val="18"/>
                <w:color w:val="auto"/>
              </w:rPr>
              <w:t>Interest on convertible notes</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0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(7,353)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tcPr>
          <w:p>
            <w:pPr>
              <w:ind w:left="200"/>
              <w:spacing w:after="0"/>
              <w:rPr>
                <w:sz w:val="20"/>
                <w:szCs w:val="20"/>
                <w:color w:val="auto"/>
              </w:rPr>
            </w:pPr>
            <w:r>
              <w:rPr>
                <w:rFonts w:ascii="Arial" w:cs="Arial" w:eastAsia="Arial" w:hAnsi="Arial"/>
                <w:sz w:val="18"/>
                <w:szCs w:val="18"/>
                <w:color w:val="auto"/>
              </w:rPr>
              <w:t>Purchase of property and equipment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Proceeds from (investment in) short-term bank deposit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(28,008)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gridSpan w:val="4"/>
          </w:tcPr>
          <w:p>
            <w:pPr>
              <w:ind w:left="200"/>
              <w:spacing w:after="0"/>
              <w:rPr>
                <w:sz w:val="20"/>
                <w:szCs w:val="20"/>
                <w:color w:val="auto"/>
              </w:rPr>
            </w:pPr>
            <w:r>
              <w:rPr>
                <w:rFonts w:ascii="Arial" w:cs="Arial" w:eastAsia="Arial" w:hAnsi="Arial"/>
                <w:sz w:val="18"/>
                <w:szCs w:val="18"/>
                <w:color w:val="auto"/>
              </w:rPr>
              <w:t>Proceeds from restricted bank deposit</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00" w:type="dxa"/>
            <w:vAlign w:val="bottom"/>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8,407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(28,047)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tcPr>
          <w:p>
            <w:pPr>
              <w:ind w:left="200"/>
              <w:spacing w:after="0"/>
              <w:rPr>
                <w:sz w:val="20"/>
                <w:szCs w:val="20"/>
                <w:color w:val="auto"/>
              </w:rPr>
            </w:pPr>
            <w:r>
              <w:rPr>
                <w:rFonts w:ascii="Arial" w:cs="Arial" w:eastAsia="Arial" w:hAnsi="Arial"/>
                <w:sz w:val="18"/>
                <w:szCs w:val="18"/>
                <w:color w:val="auto"/>
              </w:rPr>
              <w:t>Proceeds from issuance of convertible notes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Issuance of share capital upon public offering</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57,254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tcPr>
          <w:p>
            <w:pPr>
              <w:ind w:left="200"/>
              <w:spacing w:after="0"/>
              <w:rPr>
                <w:sz w:val="20"/>
                <w:szCs w:val="20"/>
                <w:color w:val="auto"/>
              </w:rPr>
            </w:pPr>
            <w:r>
              <w:rPr>
                <w:rFonts w:ascii="Arial" w:cs="Arial" w:eastAsia="Arial" w:hAnsi="Arial"/>
                <w:sz w:val="18"/>
                <w:szCs w:val="18"/>
                <w:color w:val="auto"/>
              </w:rPr>
              <w:t>Exercise of options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Issuance of shares, net</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57,398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21,998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gridSpan w:val="4"/>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22,095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620" w:type="dxa"/>
            <w:vAlign w:val="bottom"/>
            <w:gridSpan w:val="5"/>
          </w:tcPr>
          <w:p>
            <w:pPr>
              <w:spacing w:after="0"/>
              <w:rPr>
                <w:sz w:val="20"/>
                <w:szCs w:val="20"/>
                <w:color w:val="auto"/>
              </w:rPr>
            </w:pPr>
            <w:r>
              <w:rPr>
                <w:rFonts w:ascii="Arial" w:cs="Arial" w:eastAsia="Arial" w:hAnsi="Arial"/>
                <w:sz w:val="18"/>
                <w:szCs w:val="18"/>
                <w:color w:val="auto"/>
              </w:rPr>
              <w:t>Cash and cash equivalents at the end of the year</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22,095</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0" w:type="dxa"/>
            <w:vAlign w:val="bottom"/>
            <w:gridSpan w:val="4"/>
          </w:tcPr>
          <w:p>
            <w:pPr>
              <w:spacing w:after="0" w:line="176" w:lineRule="exact"/>
              <w:rPr>
                <w:sz w:val="20"/>
                <w:szCs w:val="20"/>
                <w:color w:val="auto"/>
              </w:rPr>
            </w:pPr>
            <w:r>
              <w:rPr>
                <w:rFonts w:ascii="Arial" w:cs="Arial" w:eastAsia="Arial" w:hAnsi="Arial"/>
                <w:sz w:val="18"/>
                <w:szCs w:val="18"/>
                <w:color w:val="auto"/>
              </w:rPr>
              <w:t>Non-cash transactions:</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gridSpan w:val="4"/>
          </w:tcPr>
          <w:p>
            <w:pPr>
              <w:ind w:left="200"/>
              <w:spacing w:after="0"/>
              <w:rPr>
                <w:sz w:val="20"/>
                <w:szCs w:val="20"/>
                <w:color w:val="auto"/>
              </w:rPr>
            </w:pPr>
            <w:r>
              <w:rPr>
                <w:rFonts w:ascii="Arial" w:cs="Arial" w:eastAsia="Arial" w:hAnsi="Arial"/>
                <w:sz w:val="18"/>
                <w:szCs w:val="18"/>
                <w:color w:val="auto"/>
              </w:rPr>
              <w:t>Issuance of ordinary shares upon conversion of convertible notes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980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gridSpan w:val="5"/>
            <w:vMerge w:val="restart"/>
          </w:tcPr>
          <w:p>
            <w:pPr>
              <w:spacing w:after="0"/>
              <w:rPr>
                <w:sz w:val="20"/>
                <w:szCs w:val="20"/>
                <w:color w:val="auto"/>
              </w:rPr>
            </w:pPr>
            <w:r>
              <w:rPr>
                <w:rFonts w:ascii="Arial" w:cs="Arial" w:eastAsia="Arial" w:hAnsi="Arial"/>
                <w:sz w:val="18"/>
                <w:szCs w:val="18"/>
                <w:color w:val="auto"/>
                <w:w w:val="96"/>
              </w:rPr>
              <w:t>The accompanying notes are an integral part of the consolidated financial statements.</w:t>
            </w: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5"/>
            <w:vMerge w:val="continue"/>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ind w:left="2960"/>
              <w:spacing w:after="0"/>
              <w:rPr>
                <w:sz w:val="20"/>
                <w:szCs w:val="20"/>
                <w:color w:val="auto"/>
              </w:rPr>
            </w:pPr>
            <w:r>
              <w:rPr>
                <w:rFonts w:ascii="Arial" w:cs="Arial" w:eastAsia="Arial" w:hAnsi="Arial"/>
                <w:sz w:val="18"/>
                <w:szCs w:val="18"/>
                <w:color w:val="auto"/>
              </w:rPr>
              <w:t>F-6</w:t>
            </w: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w:t>
      </w:r>
    </w:p>
    <w:p>
      <w:pPr>
        <w:spacing w:after="0" w:line="229" w:lineRule="exact"/>
        <w:rPr>
          <w:sz w:val="20"/>
          <w:szCs w:val="20"/>
          <w:color w:val="auto"/>
        </w:rPr>
      </w:pPr>
    </w:p>
    <w:p>
      <w:pPr>
        <w:jc w:val="both"/>
        <w:ind w:left="1020"/>
        <w:spacing w:after="0" w:line="273" w:lineRule="auto"/>
        <w:rPr>
          <w:sz w:val="20"/>
          <w:szCs w:val="20"/>
          <w:color w:val="auto"/>
        </w:rPr>
      </w:pPr>
      <w:r>
        <w:rPr>
          <w:rFonts w:ascii="Arial" w:cs="Arial" w:eastAsia="Arial" w:hAnsi="Arial"/>
          <w:sz w:val="17"/>
          <w:szCs w:val="17"/>
          <w:color w:val="auto"/>
        </w:rPr>
        <w:t>Alcobra Ltd. was incorporated in Israel and commenced its operation on February 7, 2008. During July 2013, a wholly- owned subsidiary was established in the state of Delaware named Alcobra Inc. (the "Subsidiary"). Alcobra Ltd. and its Subsidiary (collectively "the Company") are an emerging biopharmaceutical company primarily focused on the development and commercialization of a proprietary drug candidate, to treat Attention Deficit Hyperactivity Disorder, ("ADHD"), and other cognitive dysfunctions including Fragile X. The Company's objective is to conduct additional clinical trials for its drug called MDX (the "Drug") and, if those trials are successful, seek marketing approval from the U.S. Food and Drug Administration (the "FDA") and other worldwide regulatory bodies.</w:t>
      </w:r>
    </w:p>
    <w:p>
      <w:pPr>
        <w:spacing w:after="0" w:line="178"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Company has not generated revenue from the sale of any product, and does not expect to generate significant revenue unless and until obtaining marketing approval and commercializing MDX. The Company has incurred losses in the amount of $ 32,834 during the year ended December 31, 2014.</w:t>
      </w:r>
    </w:p>
    <w:p>
      <w:pPr>
        <w:spacing w:after="0" w:line="181"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During January 2015, the company completed a public offering in the "NASDAQ Capital Market" and issued 7,475,000 ordinary shares in consideration of $27,936, net.</w:t>
      </w:r>
    </w:p>
    <w:p>
      <w:pPr>
        <w:spacing w:after="0" w:line="38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1020" w:right="20"/>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("U.S. GAAP").</w:t>
      </w:r>
    </w:p>
    <w:p>
      <w:pPr>
        <w:spacing w:after="0" w:line="170" w:lineRule="exact"/>
        <w:rPr>
          <w:sz w:val="20"/>
          <w:szCs w:val="20"/>
          <w:color w:val="auto"/>
        </w:rPr>
      </w:pPr>
    </w:p>
    <w:p>
      <w:pPr>
        <w:ind w:left="1560" w:hanging="531"/>
        <w:spacing w:after="0"/>
        <w:tabs>
          <w:tab w:leader="none" w:pos="1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54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72" w:lineRule="exact"/>
        <w:rPr>
          <w:rFonts w:ascii="Arial" w:cs="Arial" w:eastAsia="Arial" w:hAnsi="Arial"/>
          <w:sz w:val="18"/>
          <w:szCs w:val="18"/>
          <w:color w:val="auto"/>
        </w:rPr>
      </w:pPr>
    </w:p>
    <w:p>
      <w:pPr>
        <w:ind w:left="1560" w:hanging="531"/>
        <w:spacing w:after="0"/>
        <w:tabs>
          <w:tab w:leader="none" w:pos="1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225" w:lineRule="exact"/>
        <w:rPr>
          <w:sz w:val="20"/>
          <w:szCs w:val="20"/>
          <w:color w:val="auto"/>
        </w:rPr>
      </w:pPr>
    </w:p>
    <w:p>
      <w:pPr>
        <w:jc w:val="both"/>
        <w:ind w:left="1540"/>
        <w:spacing w:after="0" w:line="279" w:lineRule="auto"/>
        <w:rPr>
          <w:sz w:val="20"/>
          <w:szCs w:val="20"/>
          <w:color w:val="auto"/>
        </w:rPr>
      </w:pPr>
      <w:r>
        <w:rPr>
          <w:rFonts w:ascii="Arial" w:cs="Arial" w:eastAsia="Arial" w:hAnsi="Arial"/>
          <w:sz w:val="17"/>
          <w:szCs w:val="17"/>
          <w:color w:val="auto"/>
        </w:rPr>
        <w:t>The Company finances its operations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229" w:lineRule="exact"/>
        <w:rPr>
          <w:sz w:val="20"/>
          <w:szCs w:val="20"/>
          <w:color w:val="auto"/>
        </w:rPr>
      </w:pPr>
    </w:p>
    <w:p>
      <w:pPr>
        <w:jc w:val="both"/>
        <w:ind w:left="1540"/>
        <w:spacing w:after="0" w:line="302" w:lineRule="auto"/>
        <w:rPr>
          <w:sz w:val="20"/>
          <w:szCs w:val="20"/>
          <w:color w:val="auto"/>
        </w:rPr>
      </w:pPr>
      <w:r>
        <w:rPr>
          <w:rFonts w:ascii="Arial" w:cs="Arial" w:eastAsia="Arial" w:hAnsi="Arial"/>
          <w:sz w:val="16"/>
          <w:szCs w:val="16"/>
          <w:color w:val="auto"/>
        </w:rPr>
        <w:t>The Company's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54" w:lineRule="exact"/>
        <w:rPr>
          <w:sz w:val="20"/>
          <w:szCs w:val="20"/>
          <w:color w:val="auto"/>
        </w:rPr>
      </w:pPr>
    </w:p>
    <w:p>
      <w:pPr>
        <w:ind w:left="1560" w:hanging="531"/>
        <w:spacing w:after="0"/>
        <w:tabs>
          <w:tab w:leader="none" w:pos="1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Alcobra Ltd. and its Subsidiary. Intercompany transactions and balances have been eliminated upon consolidation.</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sz w:val="20"/>
          <w:szCs w:val="20"/>
          <w:color w:val="auto"/>
        </w:rPr>
      </w:pPr>
    </w:p>
    <w:p>
      <w:pPr>
        <w:ind w:left="1560" w:hanging="531"/>
        <w:spacing w:after="0"/>
        <w:tabs>
          <w:tab w:leader="none" w:pos="15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Short-term bank deposits:</w:t>
      </w:r>
    </w:p>
    <w:p>
      <w:pPr>
        <w:spacing w:after="0" w:line="225"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Short-term bank deposits are deposits with maturities of more than three months but less than one year. The short–term bank deposits are presented at their cost, including accrued interest, which approximates fair value. As of December 31, 2014, the Company's bank deposits were in U.S. dollars and bore interest at a weighted average interest rate of 0.68%.</w:t>
      </w:r>
    </w:p>
    <w:p>
      <w:pPr>
        <w:spacing w:after="0" w:line="181" w:lineRule="exact"/>
        <w:rPr>
          <w:rFonts w:ascii="Arial" w:cs="Arial" w:eastAsia="Arial" w:hAnsi="Arial"/>
          <w:sz w:val="18"/>
          <w:szCs w:val="18"/>
          <w:color w:val="auto"/>
        </w:rPr>
      </w:pPr>
    </w:p>
    <w:p>
      <w:pPr>
        <w:ind w:left="1580" w:hanging="551"/>
        <w:spacing w:after="0"/>
        <w:tabs>
          <w:tab w:leader="none" w:pos="1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25"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rates: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98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Computers and electronic equipment</w:t>
            </w:r>
          </w:p>
        </w:tc>
        <w:tc>
          <w:tcPr>
            <w:tcW w:w="498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1"/>
              </w:rPr>
              <w:t>15-33</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4980" w:type="dxa"/>
            <w:vAlign w:val="bottom"/>
            <w:gridSpan w:val="2"/>
          </w:tcPr>
          <w:p>
            <w:pPr>
              <w:jc w:val="center"/>
              <w:ind w:left="770"/>
              <w:spacing w:after="0"/>
              <w:rPr>
                <w:sz w:val="20"/>
                <w:szCs w:val="20"/>
                <w:color w:val="auto"/>
              </w:rPr>
            </w:pPr>
            <w:r>
              <w:rPr>
                <w:rFonts w:ascii="Arial" w:cs="Arial" w:eastAsia="Arial" w:hAnsi="Arial"/>
                <w:sz w:val="18"/>
                <w:szCs w:val="18"/>
                <w:color w:val="auto"/>
                <w:w w:val="79"/>
              </w:rPr>
              <w:t>6</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Clinical and medical equipment</w:t>
            </w:r>
          </w:p>
        </w:tc>
        <w:tc>
          <w:tcPr>
            <w:tcW w:w="498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89"/>
              </w:rPr>
              <w:t>15</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160" w:type="dxa"/>
            <w:vAlign w:val="bottom"/>
          </w:tcPr>
          <w:p>
            <w:pPr>
              <w:jc w:val="center"/>
              <w:spacing w:after="0" w:line="201" w:lineRule="exact"/>
              <w:rPr>
                <w:sz w:val="20"/>
                <w:szCs w:val="20"/>
                <w:color w:val="auto"/>
              </w:rPr>
            </w:pPr>
            <w:r>
              <w:rPr>
                <w:rFonts w:ascii="Arial" w:cs="Arial" w:eastAsia="Arial" w:hAnsi="Arial"/>
                <w:sz w:val="18"/>
                <w:szCs w:val="18"/>
                <w:color w:val="auto"/>
                <w:w w:val="90"/>
              </w:rPr>
              <w:t>The shorter of term of the lease or the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1560"/>
              <w:spacing w:after="0"/>
              <w:rPr>
                <w:sz w:val="20"/>
                <w:szCs w:val="20"/>
                <w:color w:val="auto"/>
              </w:rPr>
            </w:pPr>
            <w:r>
              <w:rPr>
                <w:rFonts w:ascii="Arial" w:cs="Arial" w:eastAsia="Arial" w:hAnsi="Arial"/>
                <w:sz w:val="18"/>
                <w:szCs w:val="18"/>
                <w:color w:val="auto"/>
              </w:rPr>
              <w:t>Leasehold improvement</w:t>
            </w:r>
          </w:p>
        </w:tc>
        <w:tc>
          <w:tcPr>
            <w:tcW w:w="8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0"/>
              </w:rPr>
              <w:t>useful life of the asset</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5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F-8</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229" w:lineRule="exact"/>
        <w:rPr>
          <w:sz w:val="20"/>
          <w:szCs w:val="20"/>
          <w:color w:val="auto"/>
        </w:rPr>
      </w:pPr>
    </w:p>
    <w:p>
      <w:pPr>
        <w:jc w:val="both"/>
        <w:ind w:left="1540"/>
        <w:spacing w:after="0" w:line="293" w:lineRule="auto"/>
        <w:rPr>
          <w:sz w:val="20"/>
          <w:szCs w:val="20"/>
          <w:color w:val="auto"/>
        </w:rPr>
      </w:pPr>
      <w:r>
        <w:rPr>
          <w:rFonts w:ascii="Arial" w:cs="Arial" w:eastAsia="Arial" w:hAnsi="Arial"/>
          <w:sz w:val="16"/>
          <w:szCs w:val="16"/>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2014 and 2013, no impairment losses have been identified.</w:t>
      </w:r>
    </w:p>
    <w:p>
      <w:pPr>
        <w:spacing w:after="0" w:line="165" w:lineRule="exact"/>
        <w:rPr>
          <w:sz w:val="20"/>
          <w:szCs w:val="20"/>
          <w:color w:val="auto"/>
        </w:rPr>
      </w:pPr>
    </w:p>
    <w:p>
      <w:pPr>
        <w:ind w:left="1560" w:hanging="531"/>
        <w:spacing w:after="0"/>
        <w:tabs>
          <w:tab w:leader="none" w:pos="15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Long-term deposits:</w:t>
      </w:r>
    </w:p>
    <w:p>
      <w:pPr>
        <w:spacing w:after="0" w:line="225"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Long-term deposits include long-term deposits for office lease prepaid deposit and motor vehicles under operating leases, presented at their cost.</w:t>
      </w:r>
    </w:p>
    <w:p>
      <w:pPr>
        <w:spacing w:after="0" w:line="170" w:lineRule="exact"/>
        <w:rPr>
          <w:sz w:val="20"/>
          <w:szCs w:val="20"/>
          <w:color w:val="auto"/>
        </w:rPr>
      </w:pPr>
    </w:p>
    <w:p>
      <w:pPr>
        <w:ind w:left="1560" w:hanging="531"/>
        <w:spacing w:after="0"/>
        <w:tabs>
          <w:tab w:leader="none" w:pos="15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sz w:val="20"/>
          <w:szCs w:val="20"/>
          <w:color w:val="auto"/>
        </w:rPr>
      </w:pPr>
    </w:p>
    <w:p>
      <w:pPr>
        <w:jc w:val="both"/>
        <w:ind w:left="1540"/>
        <w:spacing w:after="0" w:line="312" w:lineRule="auto"/>
        <w:rPr>
          <w:sz w:val="20"/>
          <w:szCs w:val="20"/>
          <w:color w:val="auto"/>
        </w:rPr>
      </w:pPr>
      <w:r>
        <w:rPr>
          <w:rFonts w:ascii="Arial" w:cs="Arial" w:eastAsia="Arial" w:hAnsi="Arial"/>
          <w:sz w:val="16"/>
          <w:szCs w:val="16"/>
          <w:color w:val="auto"/>
        </w:rPr>
        <w:t>Research and development expenses are expensed as incurred. Those expenses include payments to third party clinical consultants, expenses related to conducting clinical and pre-clinical trials, salaries and related personnel expenses, travel expenses, and share based compensation expenses to research and development employees. During 2014, 2013 and 2012, no grants were received.</w:t>
      </w:r>
    </w:p>
    <w:p>
      <w:pPr>
        <w:spacing w:after="0" w:line="147" w:lineRule="exact"/>
        <w:rPr>
          <w:sz w:val="20"/>
          <w:szCs w:val="20"/>
          <w:color w:val="auto"/>
        </w:rPr>
      </w:pPr>
    </w:p>
    <w:p>
      <w:pPr>
        <w:ind w:left="1580" w:hanging="551"/>
        <w:spacing w:after="0"/>
        <w:tabs>
          <w:tab w:leader="none" w:pos="1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sz w:val="20"/>
          <w:szCs w:val="20"/>
          <w:color w:val="auto"/>
        </w:rPr>
      </w:pPr>
    </w:p>
    <w:p>
      <w:pPr>
        <w:jc w:val="both"/>
        <w:ind w:left="1540"/>
        <w:spacing w:after="0" w:line="293" w:lineRule="auto"/>
        <w:rPr>
          <w:sz w:val="20"/>
          <w:szCs w:val="20"/>
          <w:color w:val="auto"/>
        </w:rPr>
      </w:pPr>
      <w:r>
        <w:rPr>
          <w:rFonts w:ascii="Arial" w:cs="Arial" w:eastAsia="Arial" w:hAnsi="Arial"/>
          <w:sz w:val="16"/>
          <w:szCs w:val="16"/>
          <w:color w:val="auto"/>
        </w:rPr>
        <w:t>The Company's liability for its Israeli employees regarding severance pay is pursuant to Section 14 of the Israeli severance pay law ("Section 14"). All the Israeli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65"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Severance pay expense for the years ended December 31, 2014, 2013 and 2012, amounted to $ 102, $ 26 and $ 18,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80" w:hanging="551"/>
        <w:spacing w:after="0"/>
        <w:tabs>
          <w:tab w:leader="none" w:pos="1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The Company accounts for income taxes in accordance with ASC 740, "Income Taxes" ("ASC 740").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88"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8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As of December 31, 2014 and 2013 the Company has not recorded a liability for uncertain tax positions.</w:t>
      </w:r>
    </w:p>
    <w:p>
      <w:pPr>
        <w:spacing w:after="0" w:line="225" w:lineRule="exact"/>
        <w:rPr>
          <w:sz w:val="20"/>
          <w:szCs w:val="20"/>
          <w:color w:val="auto"/>
        </w:rPr>
      </w:pPr>
    </w:p>
    <w:p>
      <w:pPr>
        <w:ind w:left="1560" w:hanging="531"/>
        <w:spacing w:after="0"/>
        <w:tabs>
          <w:tab w:leader="none" w:pos="1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Concentrations of credit risk:</w:t>
      </w:r>
    </w:p>
    <w:p>
      <w:pPr>
        <w:spacing w:after="0" w:line="225"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cash equivalents, and short term bank deposits.</w:t>
      </w:r>
    </w:p>
    <w:p>
      <w:pPr>
        <w:spacing w:after="0" w:line="170"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Cash and cash equivalents and short term bank deposits are invested in major banks in Israel and in the U.S.. Deposits in the U.S. may be in excess of insured limits and are not insured in other jurisdictions. Generally, these deposits may be redeemed upon demand and therefore bear minimal risk.</w:t>
      </w:r>
    </w:p>
    <w:p>
      <w:pPr>
        <w:spacing w:after="0" w:line="181" w:lineRule="exact"/>
        <w:rPr>
          <w:sz w:val="20"/>
          <w:szCs w:val="20"/>
          <w:color w:val="auto"/>
        </w:rPr>
      </w:pPr>
    </w:p>
    <w:p>
      <w:pPr>
        <w:jc w:val="both"/>
        <w:ind w:left="1540" w:right="20"/>
        <w:spacing w:after="0" w:line="277" w:lineRule="auto"/>
        <w:rPr>
          <w:sz w:val="20"/>
          <w:szCs w:val="20"/>
          <w:color w:val="auto"/>
        </w:rPr>
      </w:pPr>
      <w:r>
        <w:rPr>
          <w:rFonts w:ascii="Arial" w:cs="Arial" w:eastAsia="Arial" w:hAnsi="Arial"/>
          <w:sz w:val="18"/>
          <w:szCs w:val="18"/>
          <w:color w:val="auto"/>
        </w:rPr>
        <w:t>The Company has no off-balance-sheet concentration of credit risk such as foreign exchange contracts, option contracts or other foreign hedging arrangements.</w:t>
      </w:r>
    </w:p>
    <w:p>
      <w:pPr>
        <w:spacing w:after="0" w:line="170" w:lineRule="exact"/>
        <w:rPr>
          <w:sz w:val="20"/>
          <w:szCs w:val="20"/>
          <w:color w:val="auto"/>
        </w:rPr>
      </w:pPr>
    </w:p>
    <w:p>
      <w:pPr>
        <w:ind w:left="1580" w:hanging="551"/>
        <w:spacing w:after="0"/>
        <w:tabs>
          <w:tab w:leader="none" w:pos="1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Company has no financial instruments that are measured at fair value.</w:t>
      </w:r>
    </w:p>
    <w:p>
      <w:pPr>
        <w:spacing w:after="0" w:line="225"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carrying amounts of cash and cash equivalents, short term bank deposits, accounts receivable and accounts payable, approximate their fair value due to the short-term maturities of such instruments.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80" w:hanging="551"/>
        <w:spacing w:after="0"/>
        <w:tabs>
          <w:tab w:leader="none" w:pos="1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225" w:lineRule="exact"/>
        <w:rPr>
          <w:sz w:val="20"/>
          <w:szCs w:val="20"/>
          <w:color w:val="auto"/>
        </w:rPr>
      </w:pPr>
    </w:p>
    <w:p>
      <w:pPr>
        <w:jc w:val="both"/>
        <w:ind w:left="1540"/>
        <w:spacing w:after="0" w:line="312" w:lineRule="auto"/>
        <w:rPr>
          <w:sz w:val="20"/>
          <w:szCs w:val="20"/>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47" w:lineRule="exact"/>
        <w:rPr>
          <w:sz w:val="20"/>
          <w:szCs w:val="20"/>
          <w:color w:val="auto"/>
        </w:rPr>
      </w:pPr>
    </w:p>
    <w:p>
      <w:pPr>
        <w:jc w:val="both"/>
        <w:ind w:left="1540" w:right="20"/>
        <w:spacing w:after="0" w:line="264" w:lineRule="auto"/>
        <w:rPr>
          <w:sz w:val="20"/>
          <w:szCs w:val="20"/>
          <w:color w:val="auto"/>
        </w:rPr>
      </w:pPr>
      <w:r>
        <w:rPr>
          <w:rFonts w:ascii="Arial" w:cs="Arial" w:eastAsia="Arial" w:hAnsi="Arial"/>
          <w:sz w:val="18"/>
          <w:szCs w:val="18"/>
          <w:color w:val="auto"/>
        </w:rPr>
        <w:t>The total weighted average number of shares related to the outstanding options and warrants excluded from the calculations of diluted net loss per share, since they would have an anti-dilutive effect, was 1,053,055, 873,031 and 537,690 for the years ended December 31, 2014, 2013 and 2012, respectively.</w:t>
      </w:r>
    </w:p>
    <w:p>
      <w:pPr>
        <w:spacing w:after="0" w:line="181" w:lineRule="exact"/>
        <w:rPr>
          <w:sz w:val="20"/>
          <w:szCs w:val="20"/>
          <w:color w:val="auto"/>
        </w:rPr>
      </w:pPr>
    </w:p>
    <w:p>
      <w:pPr>
        <w:ind w:left="1560" w:hanging="531"/>
        <w:spacing w:after="0"/>
        <w:tabs>
          <w:tab w:leader="none" w:pos="1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225" w:lineRule="exact"/>
        <w:rPr>
          <w:rFonts w:ascii="Arial" w:cs="Arial" w:eastAsia="Arial" w:hAnsi="Arial"/>
          <w:sz w:val="18"/>
          <w:szCs w:val="18"/>
          <w:color w:val="auto"/>
        </w:rPr>
      </w:pPr>
    </w:p>
    <w:p>
      <w:pPr>
        <w:jc w:val="both"/>
        <w:ind w:left="1540"/>
        <w:spacing w:after="0" w:line="276" w:lineRule="auto"/>
        <w:rPr>
          <w:rFonts w:ascii="Arial" w:cs="Arial" w:eastAsia="Arial" w:hAnsi="Arial"/>
          <w:sz w:val="18"/>
          <w:szCs w:val="18"/>
          <w:color w:val="auto"/>
        </w:rPr>
      </w:pPr>
      <w:r>
        <w:rPr>
          <w:rFonts w:ascii="Arial" w:cs="Arial" w:eastAsia="Arial" w:hAnsi="Arial"/>
          <w:sz w:val="17"/>
          <w:szCs w:val="17"/>
          <w:color w:val="auto"/>
        </w:rPr>
        <w:t>The Company accounts for stock-based compensation in accordance with ASC 718, "Compensation - Stock Compensation" ("ASC 718") that requires the measurement and recognition of compensation expense based on estimated fair values for all share-based payment awards made to employees and directors. ASC 718 requires companies to estimate the fair value of equity-based payment awards on the date of grant using an option-pricing model. The value of the option award is recognized as an expense over the requisite service periods in the Company's statements of operations based on the accelerated method.</w:t>
      </w:r>
    </w:p>
    <w:p>
      <w:pPr>
        <w:spacing w:after="0" w:line="172"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Black-Scholes-Merton ("Black-Scholes") option-pricing model as the fair value method for of its stock-options awards. The option-pricing model requires a number of assumptions as noted below:</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assumption is based on the Company's historical experience and expectation of no</w:t>
      </w:r>
      <w:r>
        <w:rPr>
          <w:rFonts w:ascii="Arial" w:cs="Arial" w:eastAsia="Arial" w:hAnsi="Arial"/>
          <w:sz w:val="18"/>
          <w:szCs w:val="18"/>
          <w:i w:val="1"/>
          <w:iCs w:val="1"/>
          <w:color w:val="auto"/>
        </w:rPr>
        <w:t xml:space="preserve"> </w:t>
      </w:r>
      <w:r>
        <w:rPr>
          <w:rFonts w:ascii="Arial" w:cs="Arial" w:eastAsia="Arial" w:hAnsi="Arial"/>
          <w:sz w:val="18"/>
          <w:szCs w:val="18"/>
          <w:color w:val="auto"/>
        </w:rPr>
        <w:t>future dividend payouts. The Company has historically not paid cash dividends and has no foreseeable plans to pay cash dividends in the future.</w:t>
      </w:r>
    </w:p>
    <w:p>
      <w:pPr>
        <w:spacing w:after="0" w:line="181"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Since the Company's shares started trading in NASDAQ in May 2013, sufficient quoted prices of the Company's share are</w:t>
      </w:r>
      <w:r>
        <w:rPr>
          <w:rFonts w:ascii="Arial" w:cs="Arial" w:eastAsia="Arial" w:hAnsi="Arial"/>
          <w:sz w:val="18"/>
          <w:szCs w:val="18"/>
          <w:i w:val="1"/>
          <w:iCs w:val="1"/>
          <w:color w:val="auto"/>
        </w:rPr>
        <w:t xml:space="preserve"> </w:t>
      </w:r>
      <w:r>
        <w:rPr>
          <w:rFonts w:ascii="Arial" w:cs="Arial" w:eastAsia="Arial" w:hAnsi="Arial"/>
          <w:sz w:val="18"/>
          <w:szCs w:val="18"/>
          <w:color w:val="auto"/>
        </w:rPr>
        <w:t>unavailable. Due to insufficient historical data for the Company, the expected volatility determination was based on similar companies' stock volatility.</w:t>
      </w:r>
    </w:p>
    <w:p>
      <w:pPr>
        <w:spacing w:after="0" w:line="18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229" w:lineRule="exact"/>
        <w:rPr>
          <w:sz w:val="20"/>
          <w:szCs w:val="20"/>
          <w:color w:val="auto"/>
        </w:rPr>
      </w:pPr>
    </w:p>
    <w:p>
      <w:pPr>
        <w:jc w:val="both"/>
        <w:ind w:left="154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for the expected term. Accordingly, The Company used the "simplified" method, meaning the expected life can be set as the average of the vesting period for each vested tranche of options and the contractual term for those options.</w:t>
      </w:r>
    </w:p>
    <w:p>
      <w:pPr>
        <w:spacing w:after="0" w:line="189"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Company used the Black-Scholes option-pricing model to determine the fair value of grants made in 2014, 2013 and 2012. The following assumptions were applied in determining the compensation cost:</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7"/>
          </w:tcPr>
          <w:p>
            <w:pPr>
              <w:ind w:left="3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r>
      <w:tr>
        <w:trPr>
          <w:trHeight w:val="426"/>
        </w:trPr>
        <w:tc>
          <w:tcPr>
            <w:tcW w:w="340" w:type="dxa"/>
            <w:vAlign w:val="bottom"/>
          </w:tcPr>
          <w:p>
            <w:pPr>
              <w:spacing w:after="0"/>
              <w:rPr>
                <w:sz w:val="24"/>
                <w:szCs w:val="24"/>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Risk-free interest rate</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9"/>
              </w:rPr>
              <w:t>0.7-2.8%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0.8-2.4%</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3-10yrs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5.3-10yrs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Expected price volatility</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69-88%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7.76</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rPr>
              <w:t>o.</w:t>
            </w:r>
          </w:p>
        </w:tc>
        <w:tc>
          <w:tcPr>
            <w:tcW w:w="2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New accounting pronouncements:</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2" w:lineRule="exact"/>
        <w:rPr>
          <w:sz w:val="20"/>
          <w:szCs w:val="20"/>
          <w:color w:val="auto"/>
        </w:rPr>
      </w:pPr>
    </w:p>
    <w:p>
      <w:pPr>
        <w:jc w:val="both"/>
        <w:ind w:left="1540"/>
        <w:spacing w:after="0" w:line="290" w:lineRule="auto"/>
        <w:rPr>
          <w:sz w:val="20"/>
          <w:szCs w:val="20"/>
          <w:color w:val="auto"/>
        </w:rPr>
      </w:pPr>
      <w:r>
        <w:rPr>
          <w:rFonts w:ascii="Arial" w:cs="Arial" w:eastAsia="Arial" w:hAnsi="Arial"/>
          <w:sz w:val="16"/>
          <w:szCs w:val="16"/>
          <w:color w:val="auto"/>
        </w:rPr>
        <w:t>In June 2014 the FASB issued ASU 2014-10 regarding development stage entities. The ASU removes the definition of development stage entity, as was previously defined under U.S. GAAP, from the accounting standards codification, thereby removing the financial reporting distinction between development stage entities and other reporting entities from U.S. GAAP. In addition, the ASU eliminates the requirements for development stage entities to (i) present inception-to-date information in the statement of income, cash flow and stockholders' equity, (ii) label the financial statements as those of a development stage entity, (iii) disclose a description of the development stage activities in which the entity is engaged, and (iv) disclose in the first year in which the entity is no longer a development stage entity that in prior years it had been in the development stage. The amendments' to ASU 2014-10 are effective for annual reporting periods beginning after December 15, 2014. The Company has applied the ASU in these financial statements.</w:t>
      </w:r>
    </w:p>
    <w:p>
      <w:pPr>
        <w:spacing w:after="0" w:line="166" w:lineRule="exact"/>
        <w:rPr>
          <w:sz w:val="20"/>
          <w:szCs w:val="20"/>
          <w:color w:val="auto"/>
        </w:rPr>
      </w:pPr>
    </w:p>
    <w:p>
      <w:pPr>
        <w:jc w:val="both"/>
        <w:ind w:left="1540"/>
        <w:spacing w:after="0" w:line="293" w:lineRule="auto"/>
        <w:rPr>
          <w:sz w:val="20"/>
          <w:szCs w:val="20"/>
          <w:color w:val="auto"/>
        </w:rPr>
      </w:pPr>
      <w:r>
        <w:rPr>
          <w:rFonts w:ascii="Arial" w:cs="Arial" w:eastAsia="Arial" w:hAnsi="Arial"/>
          <w:sz w:val="16"/>
          <w:szCs w:val="16"/>
          <w:color w:val="auto"/>
        </w:rPr>
        <w:t>In 2014, the Financial Accounting Standards Board (“FASB”) issued Accounting Standards Update (“ASU”) 2014-15, Presentation of Financial Statements-Going Concern (Subtopic 205-40): Disclosure of Uncertainties about an Entity's Ability to Continue as a Going Concern, which defines management’s responsibility to assess an entity’s ability to continue as a going concern, and to provide related footnote disclosures if there is substantial doubt about its ability to continue as a going concern. The pronouncement is effective for annual reporting periods ending after December 15, 2016 with early adoption permitted. The Company is currently evaluating the effect, if any, that the adoption of this guidance will have on the Company’s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gridSpan w:val="3"/>
          </w:tcPr>
          <w:p>
            <w:pPr>
              <w:spacing w:after="0"/>
              <w:rPr>
                <w:sz w:val="20"/>
                <w:szCs w:val="20"/>
                <w:color w:val="auto"/>
              </w:rPr>
            </w:pPr>
            <w:r>
              <w:rPr>
                <w:rFonts w:ascii="Arial" w:cs="Arial" w:eastAsia="Arial" w:hAnsi="Arial"/>
                <w:sz w:val="18"/>
                <w:szCs w:val="18"/>
                <w:b w:val="1"/>
                <w:bCs w:val="1"/>
                <w:color w:val="auto"/>
              </w:rPr>
              <w:t>NOTE 3:-   RECEIVABLES AND PREPAID EXPENSES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428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NOTE 4:</w:t>
            </w:r>
          </w:p>
        </w:tc>
        <w:tc>
          <w:tcPr>
            <w:tcW w:w="140" w:type="dxa"/>
            <w:vAlign w:val="bottom"/>
          </w:tcPr>
          <w:p>
            <w:pPr>
              <w:spacing w:after="0" w:line="20" w:lineRule="exact"/>
              <w:rPr>
                <w:sz w:val="1"/>
                <w:szCs w:val="1"/>
                <w:color w:val="auto"/>
              </w:rPr>
            </w:pPr>
          </w:p>
        </w:tc>
        <w:tc>
          <w:tcPr>
            <w:tcW w:w="71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7240" w:type="dxa"/>
            <w:vAlign w:val="bottom"/>
            <w:gridSpan w:val="2"/>
            <w:vMerge w:val="restart"/>
          </w:tcPr>
          <w:p>
            <w:pPr>
              <w:ind w:left="140"/>
              <w:spacing w:after="0"/>
              <w:rPr>
                <w:sz w:val="20"/>
                <w:szCs w:val="20"/>
                <w:color w:val="auto"/>
              </w:rPr>
            </w:pPr>
            <w:r>
              <w:rPr>
                <w:rFonts w:ascii="Arial" w:cs="Arial" w:eastAsia="Arial" w:hAnsi="Arial"/>
                <w:sz w:val="18"/>
                <w:szCs w:val="18"/>
                <w:color w:val="auto"/>
              </w:rPr>
              <w:t>Cost:</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7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Computers and electronic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Clinical and medical equipment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Leasehold improvement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Computers and electronic equipment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 furniture and equipment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Clinical and medical equipment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Depreciated cost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Depreciation expenses for the years ended December 31, 2014, 2013 and 2012, were $ 31, $ 8 and $ 7,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NOTE 5:-ACCRUED EXPENSES AND OTHER LIABILITIES</w:t>
            </w: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Accrued expenses</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1,697</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1,264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2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440" w:type="dxa"/>
            <w:vAlign w:val="bottom"/>
            <w:shd w:val="clear" w:color="auto" w:fill="CCEEFF"/>
          </w:tcPr>
          <w:p>
            <w:pPr>
              <w:spacing w:after="0"/>
              <w:rPr>
                <w:sz w:val="21"/>
                <w:szCs w:val="21"/>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1,589</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right"/>
              <w:ind w:right="2420"/>
              <w:spacing w:after="0"/>
              <w:rPr>
                <w:sz w:val="20"/>
                <w:szCs w:val="20"/>
                <w:color w:val="auto"/>
              </w:rPr>
            </w:pPr>
            <w:r>
              <w:rPr>
                <w:rFonts w:ascii="Arial" w:cs="Arial" w:eastAsia="Arial" w:hAnsi="Arial"/>
                <w:sz w:val="18"/>
                <w:szCs w:val="18"/>
                <w:color w:val="auto"/>
              </w:rPr>
              <w:t>F-13</w:t>
            </w: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ind w:left="1140"/>
        <w:spacing w:after="0" w:line="277" w:lineRule="auto"/>
        <w:rPr>
          <w:sz w:val="20"/>
          <w:szCs w:val="20"/>
          <w:color w:val="auto"/>
        </w:rPr>
      </w:pPr>
      <w:r>
        <w:rPr>
          <w:rFonts w:ascii="Arial" w:cs="Arial" w:eastAsia="Arial" w:hAnsi="Arial"/>
          <w:sz w:val="18"/>
          <w:szCs w:val="18"/>
          <w:color w:val="auto"/>
        </w:rPr>
        <w:t>During 2012 and 2013, the Company issued convertible promissory notes to certain investors for a total amount of $ 715. The convertible notes bore an annual interest rate of 6%.</w:t>
      </w:r>
    </w:p>
    <w:p>
      <w:pPr>
        <w:spacing w:after="0" w:line="170" w:lineRule="exact"/>
        <w:rPr>
          <w:sz w:val="20"/>
          <w:szCs w:val="20"/>
          <w:color w:val="auto"/>
        </w:rPr>
      </w:pPr>
    </w:p>
    <w:p>
      <w:pPr>
        <w:jc w:val="both"/>
        <w:ind w:left="1140"/>
        <w:spacing w:after="0" w:line="259" w:lineRule="auto"/>
        <w:rPr>
          <w:sz w:val="20"/>
          <w:szCs w:val="20"/>
          <w:color w:val="auto"/>
        </w:rPr>
      </w:pPr>
      <w:r>
        <w:rPr>
          <w:rFonts w:ascii="Arial" w:cs="Arial" w:eastAsia="Arial" w:hAnsi="Arial"/>
          <w:sz w:val="18"/>
          <w:szCs w:val="18"/>
          <w:color w:val="auto"/>
        </w:rPr>
        <w:t>In connection with the Company's Initial Public Offering, ("IPO"), in May 2013, according to the terms of the convertible notes, in May 2013 the notes were automatically converted into 123,553 ordinary shares of the Company. Upon conversion of the convertible notes, the entire redemption amount was derecognized against additional paid in capital in the amount of $ 980. The financial expenses for the year ended December 31, 2013, amounted to $ 203.</w:t>
      </w:r>
    </w:p>
    <w:p>
      <w:pPr>
        <w:spacing w:after="0" w:line="18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INCOME TAXES</w:t>
      </w:r>
    </w:p>
    <w:p>
      <w:pPr>
        <w:spacing w:after="0" w:line="229" w:lineRule="exact"/>
        <w:rPr>
          <w:sz w:val="20"/>
          <w:szCs w:val="20"/>
          <w:color w:val="auto"/>
        </w:rPr>
      </w:pPr>
    </w:p>
    <w:p>
      <w:pPr>
        <w:ind w:left="1560" w:hanging="531"/>
        <w:spacing w:after="0"/>
        <w:tabs>
          <w:tab w:leader="none" w:pos="1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Tax laws applicable to Alcobra Ltd. and the Subsidiary:</w:t>
      </w:r>
    </w:p>
    <w:p>
      <w:pPr>
        <w:spacing w:after="0" w:line="225" w:lineRule="exact"/>
        <w:rPr>
          <w:rFonts w:ascii="Arial" w:cs="Arial" w:eastAsia="Arial" w:hAnsi="Arial"/>
          <w:sz w:val="18"/>
          <w:szCs w:val="18"/>
          <w:color w:val="auto"/>
        </w:rPr>
      </w:pPr>
    </w:p>
    <w:p>
      <w:pPr>
        <w:ind w:left="2040" w:hanging="519"/>
        <w:spacing w:after="0"/>
        <w:tabs>
          <w:tab w:leader="none" w:pos="20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Alcobra Ltd. is taxed under the Israeli income tax law.</w:t>
      </w:r>
    </w:p>
    <w:p>
      <w:pPr>
        <w:spacing w:after="0" w:line="225" w:lineRule="exact"/>
        <w:rPr>
          <w:rFonts w:ascii="Arial" w:cs="Arial" w:eastAsia="Arial" w:hAnsi="Arial"/>
          <w:sz w:val="18"/>
          <w:szCs w:val="18"/>
          <w:color w:val="auto"/>
        </w:rPr>
      </w:pPr>
    </w:p>
    <w:p>
      <w:pPr>
        <w:ind w:left="2040"/>
        <w:spacing w:after="0" w:line="277" w:lineRule="auto"/>
        <w:rPr>
          <w:rFonts w:ascii="Arial" w:cs="Arial" w:eastAsia="Arial" w:hAnsi="Arial"/>
          <w:sz w:val="18"/>
          <w:szCs w:val="18"/>
          <w:color w:val="auto"/>
        </w:rPr>
      </w:pPr>
      <w:r>
        <w:rPr>
          <w:rFonts w:ascii="Arial" w:cs="Arial" w:eastAsia="Arial" w:hAnsi="Arial"/>
          <w:sz w:val="18"/>
          <w:szCs w:val="18"/>
          <w:color w:val="auto"/>
        </w:rPr>
        <w:t>Taxable income of Israeli companies is subject to tax at the rate of 25% in 2012 and in 2013 and a rate of 26.5% in 2014 and afterwards.</w:t>
      </w:r>
    </w:p>
    <w:p>
      <w:pPr>
        <w:spacing w:after="0" w:line="170" w:lineRule="exact"/>
        <w:rPr>
          <w:rFonts w:ascii="Arial" w:cs="Arial" w:eastAsia="Arial" w:hAnsi="Arial"/>
          <w:sz w:val="18"/>
          <w:szCs w:val="18"/>
          <w:color w:val="auto"/>
        </w:rPr>
      </w:pPr>
    </w:p>
    <w:p>
      <w:pPr>
        <w:jc w:val="both"/>
        <w:ind w:left="2040" w:hanging="519"/>
        <w:spacing w:after="0" w:line="264" w:lineRule="auto"/>
        <w:tabs>
          <w:tab w:leader="none" w:pos="20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Subsidiary is taxed under U.S. tax law. The federal tax rates applicable to the Company whose place of incorporation is within the U.S. are corporate (progressive) tax at the rate of up to 35%, excluding state tax, which rates depend on the state in which the Subsidiary conducts its business.</w:t>
      </w:r>
    </w:p>
    <w:p>
      <w:pPr>
        <w:spacing w:after="0" w:line="181" w:lineRule="exact"/>
        <w:rPr>
          <w:rFonts w:ascii="Arial" w:cs="Arial" w:eastAsia="Arial" w:hAnsi="Arial"/>
          <w:sz w:val="18"/>
          <w:szCs w:val="18"/>
          <w:color w:val="auto"/>
        </w:rPr>
      </w:pPr>
    </w:p>
    <w:p>
      <w:pPr>
        <w:ind w:left="1560" w:hanging="531"/>
        <w:spacing w:after="0"/>
        <w:tabs>
          <w:tab w:leader="none" w:pos="1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Net operating losses carry forward:</w:t>
      </w:r>
    </w:p>
    <w:p>
      <w:pPr>
        <w:spacing w:after="0" w:line="225"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Alcobra Ltd. has accumulated losses for tax purposes in Israel as of December 31, 2014 in the amount of $ 28,661 which may be carried forward and offset against taxable income in the future for an indefinite period.</w:t>
      </w:r>
    </w:p>
    <w:p>
      <w:pPr>
        <w:spacing w:after="0" w:line="170" w:lineRule="exact"/>
        <w:rPr>
          <w:sz w:val="20"/>
          <w:szCs w:val="20"/>
          <w:color w:val="auto"/>
        </w:rPr>
      </w:pPr>
    </w:p>
    <w:p>
      <w:pPr>
        <w:ind w:left="1560" w:hanging="531"/>
        <w:spacing w:after="0"/>
        <w:tabs>
          <w:tab w:leader="none" w:pos="15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carry forward</w:t>
            </w:r>
          </w:p>
        </w:tc>
        <w:tc>
          <w:tcPr>
            <w:tcW w:w="3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Reserves and allowances</w:t>
            </w:r>
          </w:p>
        </w:tc>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5,073</w:t>
            </w: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1,358</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Deferred tax assets before valuation allowance</w:t>
            </w: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12,668</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4,071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(12,668)</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right"/>
              <w:ind w:right="2420"/>
              <w:spacing w:after="0"/>
              <w:rPr>
                <w:sz w:val="20"/>
                <w:szCs w:val="20"/>
                <w:color w:val="auto"/>
              </w:rPr>
            </w:pPr>
            <w:r>
              <w:rPr>
                <w:rFonts w:ascii="Arial" w:cs="Arial" w:eastAsia="Arial" w:hAnsi="Arial"/>
                <w:sz w:val="18"/>
                <w:szCs w:val="18"/>
                <w:color w:val="auto"/>
              </w:rPr>
              <w:t>F-14</w:t>
            </w: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 (Cont.)</w:t>
      </w:r>
    </w:p>
    <w:p>
      <w:pPr>
        <w:spacing w:after="0" w:line="229" w:lineRule="exact"/>
        <w:rPr>
          <w:sz w:val="20"/>
          <w:szCs w:val="20"/>
          <w:color w:val="auto"/>
        </w:rPr>
      </w:pPr>
    </w:p>
    <w:p>
      <w:pPr>
        <w:ind w:left="1540"/>
        <w:spacing w:after="0" w:line="342" w:lineRule="auto"/>
        <w:rPr>
          <w:sz w:val="20"/>
          <w:szCs w:val="20"/>
          <w:color w:val="auto"/>
        </w:rPr>
      </w:pPr>
      <w:r>
        <w:rPr>
          <w:rFonts w:ascii="Arial" w:cs="Arial" w:eastAsia="Arial" w:hAnsi="Arial"/>
          <w:sz w:val="16"/>
          <w:szCs w:val="16"/>
          <w:color w:val="auto"/>
        </w:rPr>
        <w:t>All deferred taxes are domestic. Management currently believes that since the Company has a history of losses it is more likely than not that the deferred tax regarding the loss carry forward and other temporary differences will not be realized in the foreseeable future.</w:t>
      </w:r>
    </w:p>
    <w:p>
      <w:pPr>
        <w:spacing w:after="0" w:line="124" w:lineRule="exact"/>
        <w:rPr>
          <w:sz w:val="20"/>
          <w:szCs w:val="20"/>
          <w:color w:val="auto"/>
        </w:rPr>
      </w:pPr>
    </w:p>
    <w:p>
      <w:pPr>
        <w:ind w:left="1520" w:hanging="499"/>
        <w:spacing w:after="0"/>
        <w:tabs>
          <w:tab w:leader="none" w:pos="1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liability for uncertain tax positions was recorded as of December 31, 2014 and 2013.</w:t>
      </w:r>
    </w:p>
    <w:p>
      <w:pPr>
        <w:spacing w:after="0" w:line="225"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main reconciling item between the statutory tax rate of the Company and the effective tax rate is the recognition of valuation allowances in respect of deferred taxes due to the uncertainty of the realization of such deferred taxes.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Net comprehensive loss (income) before taxes on income is comprised as follows:</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Domestic (Israel)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31,154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Foreign (U.S)</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32,851</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10,487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Taxes on income relate solely to the foreign Subsidiary.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CONTINGENT LIABILITIES AND COMMITMENTS</w:t>
      </w:r>
    </w:p>
    <w:p>
      <w:pPr>
        <w:spacing w:after="0" w:line="229" w:lineRule="exact"/>
        <w:rPr>
          <w:sz w:val="20"/>
          <w:szCs w:val="20"/>
          <w:color w:val="auto"/>
        </w:rPr>
      </w:pPr>
    </w:p>
    <w:p>
      <w:pPr>
        <w:ind w:left="1520" w:hanging="499"/>
        <w:spacing w:after="0"/>
        <w:tabs>
          <w:tab w:leader="none" w:pos="1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25" w:lineRule="exact"/>
        <w:rPr>
          <w:rFonts w:ascii="Arial" w:cs="Arial" w:eastAsia="Arial" w:hAnsi="Arial"/>
          <w:sz w:val="18"/>
          <w:szCs w:val="18"/>
          <w:color w:val="auto"/>
        </w:rPr>
      </w:pPr>
    </w:p>
    <w:p>
      <w:pPr>
        <w:jc w:val="both"/>
        <w:ind w:left="1520"/>
        <w:spacing w:after="0" w:line="269" w:lineRule="auto"/>
        <w:rPr>
          <w:rFonts w:ascii="Arial" w:cs="Arial" w:eastAsia="Arial" w:hAnsi="Arial"/>
          <w:sz w:val="18"/>
          <w:szCs w:val="18"/>
          <w:color w:val="auto"/>
        </w:rPr>
      </w:pPr>
      <w:r>
        <w:rPr>
          <w:rFonts w:ascii="Arial" w:cs="Arial" w:eastAsia="Arial" w:hAnsi="Arial"/>
          <w:sz w:val="17"/>
          <w:szCs w:val="17"/>
          <w:color w:val="auto"/>
        </w:rPr>
        <w:t>On November 19, 2014, a class action lawsuit was filed against the Company and certain of its current and former officers and directors in the United States District Court for the Southern District of New York. The case was filed on behalf of a putative class of investors who purchased or acquired the Company's publicly traded securities between March 28, 2014 and November 14, 2014. The complaint asserted violations of Sections 10(b) and 20(a) of the Exchange Act and SEC Rule 10b-5. The complaint alleged, among other things, that the Company's officers and directors made false or misleading statements relating to the results of Phase III study for its MDX drug candidate. The complaint sought an unspecified amount of damages, as well as other forms of relief. On December 16, 2014, another class action lawsuit was filed against the Company and certain of its current and former officers and directors in the United States District Court for the Southern District of New York. This complaint is largely identical to the earlier complaint and purports to bring the same claims on behalf of the same putative class. On December 23, 2014, the first plaintiff in the first action moved to voluntarily dismiss his case which motion was granted on December 30, 2014. On February 9, 2015, the court appointed a group of investors to act as lead plaintiff for the second action. The Company has not been served and at this preliminary stage cannot assess the exposure under such complaint.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CONTINGENT LIABILITIES AND COMMITMENTS (Cont.)</w:t>
      </w:r>
    </w:p>
    <w:p>
      <w:pPr>
        <w:spacing w:after="0" w:line="229" w:lineRule="exact"/>
        <w:rPr>
          <w:sz w:val="20"/>
          <w:szCs w:val="20"/>
          <w:color w:val="auto"/>
        </w:rPr>
      </w:pPr>
    </w:p>
    <w:p>
      <w:pPr>
        <w:ind w:left="1520" w:hanging="499"/>
        <w:spacing w:after="0"/>
        <w:tabs>
          <w:tab w:leader="none" w:pos="1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 is engaged in three operating lease agreements for its facilities. The rent expenses for the years ended December 31, 2014,</w:t>
      </w:r>
    </w:p>
    <w:p>
      <w:pPr>
        <w:spacing w:after="0" w:line="46" w:lineRule="exact"/>
        <w:rPr>
          <w:rFonts w:ascii="Arial" w:cs="Arial" w:eastAsia="Arial" w:hAnsi="Arial"/>
          <w:sz w:val="16"/>
          <w:szCs w:val="16"/>
          <w:color w:val="auto"/>
        </w:rPr>
      </w:pPr>
    </w:p>
    <w:p>
      <w:pPr>
        <w:ind w:left="1520"/>
        <w:spacing w:after="0"/>
        <w:rPr>
          <w:rFonts w:ascii="Arial" w:cs="Arial" w:eastAsia="Arial" w:hAnsi="Arial"/>
          <w:sz w:val="16"/>
          <w:szCs w:val="16"/>
          <w:color w:val="auto"/>
        </w:rPr>
      </w:pPr>
      <w:r>
        <w:rPr>
          <w:rFonts w:ascii="Arial" w:cs="Arial" w:eastAsia="Arial" w:hAnsi="Arial"/>
          <w:sz w:val="18"/>
          <w:szCs w:val="18"/>
          <w:color w:val="auto"/>
        </w:rPr>
        <w:t>2013 and 2012, amounted to $ 149, $ 50 and $ 44, respectively. Future minimum payments under the leases are as follows:</w:t>
      </w:r>
    </w:p>
    <w:p>
      <w:pPr>
        <w:spacing w:after="0" w:line="174" w:lineRule="exact"/>
        <w:rPr>
          <w:sz w:val="20"/>
          <w:szCs w:val="20"/>
          <w:color w:val="auto"/>
        </w:rPr>
      </w:pPr>
    </w:p>
    <w:tbl>
      <w:tblPr>
        <w:tblLayout w:type="fixed"/>
        <w:tblInd w:w="980" w:type="dxa"/>
        <w:tblCellMar>
          <w:top w:w="0" w:type="dxa"/>
          <w:left w:w="0" w:type="dxa"/>
          <w:bottom w:w="0" w:type="dxa"/>
          <w:right w:w="0" w:type="dxa"/>
        </w:tblCellMar>
      </w:tblPr>
      <w:tr>
        <w:trPr>
          <w:trHeight w:val="227"/>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2016</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3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63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20" w:hanging="499"/>
        <w:spacing w:after="0" w:line="264" w:lineRule="auto"/>
        <w:tabs>
          <w:tab w:leader="none" w:pos="1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June 2013 the Company entered into a new operating lease agreement for its vehicles until 2016. The rent expenses for the year ended December 31, 2014, 2013 and 2012, amounted to $ 67, $ 51 and $ 18, respectively. Future minimum payments under the lease upon cancellation of the lease agreement as of December 31, 2014 amounted to $14.</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70" w:lineRule="exact"/>
        <w:rPr>
          <w:sz w:val="20"/>
          <w:szCs w:val="20"/>
          <w:color w:val="auto"/>
        </w:rPr>
      </w:pPr>
    </w:p>
    <w:p>
      <w:pPr>
        <w:jc w:val="both"/>
        <w:ind w:left="1360"/>
        <w:spacing w:after="0" w:line="273" w:lineRule="auto"/>
        <w:rPr>
          <w:sz w:val="20"/>
          <w:szCs w:val="20"/>
          <w:color w:val="auto"/>
        </w:rPr>
      </w:pPr>
      <w:r>
        <w:rPr>
          <w:rFonts w:ascii="Arial" w:cs="Arial" w:eastAsia="Arial" w:hAnsi="Arial"/>
          <w:sz w:val="17"/>
          <w:szCs w:val="17"/>
          <w:color w:val="auto"/>
        </w:rPr>
        <w:t>In connection with its research and development, the Company received $ 106 of participation payments from the OCS through December 31, 2014.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$ 117 as of December 31, 2014. In addition, the OCS may impose certain conditions on any arrangement under which it permits the Company to transfer technology or development out of Israel.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SHAREHOLDERS' EQUITY</w:t>
      </w:r>
    </w:p>
    <w:p>
      <w:pPr>
        <w:spacing w:after="0" w:line="229" w:lineRule="exact"/>
        <w:rPr>
          <w:sz w:val="20"/>
          <w:szCs w:val="20"/>
          <w:color w:val="auto"/>
        </w:rPr>
      </w:pPr>
    </w:p>
    <w:p>
      <w:pPr>
        <w:ind w:left="1520" w:hanging="499"/>
        <w:spacing w:after="0"/>
        <w:tabs>
          <w:tab w:leader="none" w:pos="1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Issuances of share:</w:t>
      </w:r>
    </w:p>
    <w:p>
      <w:pPr>
        <w:spacing w:after="0" w:line="225" w:lineRule="exact"/>
        <w:rPr>
          <w:rFonts w:ascii="Arial" w:cs="Arial" w:eastAsia="Arial" w:hAnsi="Arial"/>
          <w:sz w:val="18"/>
          <w:szCs w:val="18"/>
          <w:color w:val="auto"/>
        </w:rPr>
      </w:pPr>
    </w:p>
    <w:p>
      <w:pPr>
        <w:ind w:left="1800" w:hanging="333"/>
        <w:spacing w:after="0" w:line="277" w:lineRule="auto"/>
        <w:tabs>
          <w:tab w:leader="none" w:pos="18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During May 2013, the Company completed an IPO and listed its ordinary shares on the "NASDAQ Capital Market" and issued 3,125,000 ordinary shares in consideration of $21,920, net.</w:t>
      </w:r>
    </w:p>
    <w:p>
      <w:pPr>
        <w:spacing w:after="0" w:line="170" w:lineRule="exact"/>
        <w:rPr>
          <w:rFonts w:ascii="Arial" w:cs="Arial" w:eastAsia="Arial" w:hAnsi="Arial"/>
          <w:sz w:val="18"/>
          <w:szCs w:val="18"/>
          <w:color w:val="auto"/>
        </w:rPr>
      </w:pPr>
    </w:p>
    <w:p>
      <w:pPr>
        <w:jc w:val="both"/>
        <w:ind w:left="1800"/>
        <w:spacing w:after="0" w:line="264" w:lineRule="auto"/>
        <w:rPr>
          <w:rFonts w:ascii="Arial" w:cs="Arial" w:eastAsia="Arial" w:hAnsi="Arial"/>
          <w:sz w:val="18"/>
          <w:szCs w:val="18"/>
          <w:color w:val="auto"/>
        </w:rPr>
      </w:pPr>
      <w:r>
        <w:rPr>
          <w:rFonts w:ascii="Arial" w:cs="Arial" w:eastAsia="Arial" w:hAnsi="Arial"/>
          <w:sz w:val="18"/>
          <w:szCs w:val="18"/>
          <w:color w:val="auto"/>
        </w:rPr>
        <w:t>Following the IPO and according to the terms of the convertible notes, the notes were automatically converted into 123,553 ordinary shares of the Company. In addition, 120,255 warrants were exercised into 85,192 ordinary shares of the Company, using the cashless exercise method.</w:t>
      </w:r>
    </w:p>
    <w:p>
      <w:pPr>
        <w:spacing w:after="0" w:line="181" w:lineRule="exact"/>
        <w:rPr>
          <w:rFonts w:ascii="Arial" w:cs="Arial" w:eastAsia="Arial" w:hAnsi="Arial"/>
          <w:sz w:val="18"/>
          <w:szCs w:val="18"/>
          <w:color w:val="auto"/>
        </w:rPr>
      </w:pPr>
    </w:p>
    <w:p>
      <w:pPr>
        <w:ind w:left="1800" w:hanging="333"/>
        <w:spacing w:after="0" w:line="277" w:lineRule="auto"/>
        <w:tabs>
          <w:tab w:leader="none" w:pos="18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During October 2013, the Company completed a secondary public offering in the "NASDAQ Capital Market" and issued 2,300,000 ordinary shares in consideration of $35,334, net.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9" w:name="page120"/>
    <w:bookmarkEnd w:id="119"/>
    <w:p>
      <w:pPr>
        <w:ind w:left="8160"/>
        <w:spacing w:after="0"/>
        <w:rPr>
          <w:sz w:val="20"/>
          <w:szCs w:val="20"/>
          <w:color w:val="auto"/>
        </w:rPr>
      </w:pPr>
      <w:r>
        <w:rPr>
          <w:rFonts w:ascii="Arial" w:cs="Arial" w:eastAsia="Arial" w:hAnsi="Arial"/>
          <w:sz w:val="17"/>
          <w:szCs w:val="17"/>
          <w:b w:val="1"/>
          <w:bCs w:val="1"/>
          <w:color w:val="auto"/>
        </w:rPr>
        <w:t>ALCOBRA LTD. AND ITS SUBSIDIARY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(Cont.)</w:t>
      </w:r>
    </w:p>
    <w:p>
      <w:pPr>
        <w:spacing w:after="0" w:line="229" w:lineRule="exact"/>
        <w:rPr>
          <w:sz w:val="20"/>
          <w:szCs w:val="20"/>
          <w:color w:val="auto"/>
        </w:rPr>
      </w:pPr>
    </w:p>
    <w:p>
      <w:pPr>
        <w:ind w:left="1520" w:hanging="499"/>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2010 incentive option plan:</w:t>
      </w:r>
    </w:p>
    <w:p>
      <w:pPr>
        <w:spacing w:after="0" w:line="225" w:lineRule="exact"/>
        <w:rPr>
          <w:rFonts w:ascii="Arial" w:cs="Arial" w:eastAsia="Arial" w:hAnsi="Arial"/>
          <w:sz w:val="18"/>
          <w:szCs w:val="18"/>
          <w:color w:val="auto"/>
        </w:rPr>
      </w:pPr>
    </w:p>
    <w:p>
      <w:pPr>
        <w:jc w:val="both"/>
        <w:ind w:left="1540"/>
        <w:spacing w:after="0" w:line="279" w:lineRule="auto"/>
        <w:rPr>
          <w:rFonts w:ascii="Arial" w:cs="Arial" w:eastAsia="Arial" w:hAnsi="Arial"/>
          <w:sz w:val="18"/>
          <w:szCs w:val="18"/>
          <w:color w:val="auto"/>
        </w:rPr>
      </w:pPr>
      <w:r>
        <w:rPr>
          <w:rFonts w:ascii="Arial" w:cs="Arial" w:eastAsia="Arial" w:hAnsi="Arial"/>
          <w:sz w:val="17"/>
          <w:szCs w:val="17"/>
          <w:color w:val="auto"/>
        </w:rPr>
        <w:t>In February 2010, the Company authorized through its 2010 incentive option plan (the "2010 Plan") the grant of options to officers, directors, advisors, management and other key employees. The Company reserved for grants of options up to 2,118,531 of the Company's ordinary shares. The options granted have generally four year vesting terms and expire between five to ten years after the grant date. As of December 31, 2014, 292,531 options were still available for future grants under the Plan.</w:t>
      </w:r>
    </w:p>
    <w:p>
      <w:pPr>
        <w:spacing w:after="0" w:line="17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90"/>
              </w:rPr>
              <w:t>Year ended December 31,</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2013</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3"/>
              </w:rPr>
              <w:t>Weighted</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average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options</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20"/>
                <w:szCs w:val="20"/>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461,118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1,154,345</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11.29</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552,890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(208,708)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Cancelled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(372,345)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18.38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1,540,869</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805,300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1,540,869</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805,300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the end of the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640,401</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308,909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79" w:lineRule="auto"/>
        <w:rPr>
          <w:sz w:val="20"/>
          <w:szCs w:val="20"/>
          <w:color w:val="auto"/>
        </w:rPr>
      </w:pPr>
      <w:r>
        <w:rPr>
          <w:rFonts w:ascii="Arial" w:cs="Arial" w:eastAsia="Arial" w:hAnsi="Arial"/>
          <w:sz w:val="17"/>
          <w:szCs w:val="17"/>
          <w:color w:val="auto"/>
        </w:rPr>
        <w:t>As of December 31, 2014, the weighted-average remaining contractual term of the outstanding and exercisable options is 5.62 and 6.83 years, respectively; the aggregated intrinsic value of outstanding and exercisable options is $ 1,425 and $ 1,158, respectively. As of December 31, 2014, the unrecognized compensation cost is $ 2,878 to be recognized from 2015 through 2018, respectively</w:t>
      </w:r>
      <w:r>
        <w:rPr>
          <w:rFonts w:ascii="Arial" w:cs="Arial" w:eastAsia="Arial" w:hAnsi="Arial"/>
          <w:sz w:val="17"/>
          <w:szCs w:val="17"/>
          <w:color w:val="1F497D"/>
        </w:rPr>
        <w:t>,</w:t>
      </w:r>
      <w:r>
        <w:rPr>
          <w:rFonts w:ascii="Arial" w:cs="Arial" w:eastAsia="Arial" w:hAnsi="Arial"/>
          <w:sz w:val="17"/>
          <w:szCs w:val="17"/>
          <w:color w:val="auto"/>
        </w:rPr>
        <w:t xml:space="preserve"> excluding cost of $903 for options with vesting subject to certain performance conditions, which are not probable.</w:t>
      </w:r>
    </w:p>
    <w:p>
      <w:pPr>
        <w:spacing w:after="0" w:line="171"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On December 16, 2014 the company granted to certain employees and officers options to purchase 604,845 of the Company's Ordinary Shares, subject to the cancellation of 372,345 unvested options to certain officers. The Company accounted for the cancellation of options, accompanied by the concurrent grant of options in accordance with ASC 718-20-35-8 and calculated the incremental compensation cost as the excess of the fair value of the replacement award over the fair value of the cancelled award at the cancellation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SHAREHOLDERS' EQUITY (Cont.)</w:t>
      </w:r>
    </w:p>
    <w:p>
      <w:pPr>
        <w:spacing w:after="0" w:line="229" w:lineRule="exact"/>
        <w:rPr>
          <w:sz w:val="20"/>
          <w:szCs w:val="20"/>
          <w:color w:val="auto"/>
        </w:rPr>
      </w:pPr>
    </w:p>
    <w:p>
      <w:pPr>
        <w:ind w:left="1520" w:hanging="499"/>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 "Equity-Based payment to non-employees".</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outstanding options granted to the Company's consultants are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2260" w:type="dxa"/>
            <w:vAlign w:val="bottom"/>
          </w:tcPr>
          <w:p>
            <w:pPr>
              <w:spacing w:after="0"/>
              <w:rPr>
                <w:sz w:val="18"/>
                <w:szCs w:val="18"/>
                <w:color w:val="auto"/>
              </w:rPr>
            </w:pPr>
          </w:p>
        </w:tc>
      </w:tr>
      <w:tr>
        <w:trPr>
          <w:trHeight w:val="234"/>
        </w:trPr>
        <w:tc>
          <w:tcPr>
            <w:tcW w:w="2480" w:type="dxa"/>
            <w:vAlign w:val="bottom"/>
            <w:gridSpan w:val="2"/>
          </w:tcPr>
          <w:p>
            <w:pPr>
              <w:ind w:left="760"/>
              <w:spacing w:after="0"/>
              <w:rPr>
                <w:sz w:val="20"/>
                <w:szCs w:val="20"/>
                <w:color w:val="auto"/>
              </w:rPr>
            </w:pPr>
            <w:r>
              <w:rPr>
                <w:rFonts w:ascii="Arial" w:cs="Arial" w:eastAsia="Arial" w:hAnsi="Arial"/>
                <w:sz w:val="18"/>
                <w:szCs w:val="18"/>
                <w:b w:val="1"/>
                <w:bCs w:val="1"/>
                <w:color w:val="auto"/>
              </w:rPr>
              <w:t>Grant date</w:t>
            </w:r>
          </w:p>
        </w:tc>
        <w:tc>
          <w:tcPr>
            <w:tcW w:w="2160" w:type="dxa"/>
            <w:vAlign w:val="bottom"/>
          </w:tcPr>
          <w:p>
            <w:pPr>
              <w:ind w:left="360"/>
              <w:spacing w:after="0"/>
              <w:rPr>
                <w:sz w:val="20"/>
                <w:szCs w:val="20"/>
                <w:color w:val="auto"/>
              </w:rPr>
            </w:pPr>
            <w:r>
              <w:rPr>
                <w:rFonts w:ascii="Arial" w:cs="Arial" w:eastAsia="Arial" w:hAnsi="Arial"/>
                <w:sz w:val="18"/>
                <w:szCs w:val="18"/>
                <w:b w:val="1"/>
                <w:bCs w:val="1"/>
                <w:color w:val="auto"/>
              </w:rPr>
              <w:t>Number of options</w:t>
            </w:r>
          </w:p>
        </w:tc>
        <w:tc>
          <w:tcPr>
            <w:tcW w:w="200" w:type="dxa"/>
            <w:vAlign w:val="bottom"/>
          </w:tcPr>
          <w:p>
            <w:pPr>
              <w:spacing w:after="0"/>
              <w:rPr>
                <w:sz w:val="20"/>
                <w:szCs w:val="20"/>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price</w:t>
            </w:r>
          </w:p>
        </w:tc>
        <w:tc>
          <w:tcPr>
            <w:tcW w:w="2260" w:type="dxa"/>
            <w:vAlign w:val="bottom"/>
          </w:tcPr>
          <w:p>
            <w:pPr>
              <w:ind w:left="540"/>
              <w:spacing w:after="0"/>
              <w:rPr>
                <w:sz w:val="20"/>
                <w:szCs w:val="20"/>
                <w:color w:val="auto"/>
              </w:rPr>
            </w:pPr>
            <w:r>
              <w:rPr>
                <w:rFonts w:ascii="Arial" w:cs="Arial" w:eastAsia="Arial" w:hAnsi="Arial"/>
                <w:sz w:val="18"/>
                <w:szCs w:val="18"/>
                <w:b w:val="1"/>
                <w:bCs w:val="1"/>
                <w:color w:val="auto"/>
              </w:rPr>
              <w:t>Expiration date</w:t>
            </w:r>
          </w:p>
        </w:tc>
      </w:tr>
      <w:tr>
        <w:trPr>
          <w:trHeight w:val="210"/>
        </w:trPr>
        <w:tc>
          <w:tcPr>
            <w:tcW w:w="23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February 28, 2010</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8,805</w:t>
            </w:r>
          </w:p>
        </w:tc>
        <w:tc>
          <w:tcPr>
            <w:tcW w:w="2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2.184</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February 28, 2020</w:t>
            </w:r>
          </w:p>
        </w:tc>
      </w:tr>
      <w:tr>
        <w:trPr>
          <w:trHeight w:val="216"/>
        </w:trPr>
        <w:tc>
          <w:tcPr>
            <w:tcW w:w="2480" w:type="dxa"/>
            <w:vAlign w:val="bottom"/>
            <w:gridSpan w:val="2"/>
          </w:tcPr>
          <w:p>
            <w:pPr>
              <w:ind w:left="640"/>
              <w:spacing w:after="0"/>
              <w:rPr>
                <w:sz w:val="20"/>
                <w:szCs w:val="20"/>
                <w:color w:val="auto"/>
              </w:rPr>
            </w:pPr>
            <w:r>
              <w:rPr>
                <w:rFonts w:ascii="Arial" w:cs="Arial" w:eastAsia="Arial" w:hAnsi="Arial"/>
                <w:sz w:val="18"/>
                <w:szCs w:val="18"/>
                <w:color w:val="auto"/>
              </w:rPr>
              <w:t>February 17, 2011</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3,804</w:t>
            </w:r>
          </w:p>
        </w:tc>
        <w:tc>
          <w:tcPr>
            <w:tcW w:w="2360" w:type="dxa"/>
            <w:vAlign w:val="bottom"/>
            <w:gridSpan w:val="2"/>
          </w:tcPr>
          <w:p>
            <w:pPr>
              <w:jc w:val="right"/>
              <w:ind w:right="690"/>
              <w:spacing w:after="0"/>
              <w:rPr>
                <w:sz w:val="20"/>
                <w:szCs w:val="20"/>
                <w:color w:val="auto"/>
              </w:rPr>
            </w:pPr>
            <w:r>
              <w:rPr>
                <w:rFonts w:ascii="Arial" w:cs="Arial" w:eastAsia="Arial" w:hAnsi="Arial"/>
                <w:sz w:val="18"/>
                <w:szCs w:val="18"/>
                <w:color w:val="auto"/>
              </w:rPr>
              <w:t>0.0005</w:t>
            </w:r>
          </w:p>
        </w:tc>
        <w:tc>
          <w:tcPr>
            <w:tcW w:w="200" w:type="dxa"/>
            <w:vAlign w:val="bottom"/>
          </w:tcPr>
          <w:p>
            <w:pPr>
              <w:spacing w:after="0"/>
              <w:rPr>
                <w:sz w:val="18"/>
                <w:szCs w:val="18"/>
                <w:color w:val="auto"/>
              </w:rPr>
            </w:pPr>
          </w:p>
        </w:tc>
        <w:tc>
          <w:tcPr>
            <w:tcW w:w="2260" w:type="dxa"/>
            <w:vAlign w:val="bottom"/>
          </w:tcPr>
          <w:p>
            <w:pPr>
              <w:ind w:left="500"/>
              <w:spacing w:after="0"/>
              <w:rPr>
                <w:sz w:val="20"/>
                <w:szCs w:val="20"/>
                <w:color w:val="auto"/>
              </w:rPr>
            </w:pPr>
            <w:r>
              <w:rPr>
                <w:rFonts w:ascii="Arial" w:cs="Arial" w:eastAsia="Arial" w:hAnsi="Arial"/>
                <w:sz w:val="18"/>
                <w:szCs w:val="18"/>
                <w:color w:val="auto"/>
              </w:rPr>
              <w:t>February 17, 2021</w:t>
            </w:r>
          </w:p>
        </w:tc>
      </w:tr>
      <w:tr>
        <w:trPr>
          <w:trHeight w:val="216"/>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43"/>
        </w:trPr>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12,609</w:t>
            </w:r>
          </w:p>
        </w:tc>
        <w:tc>
          <w:tcPr>
            <w:tcW w:w="2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All options were fully vested on grant date.</w:t>
      </w:r>
    </w:p>
    <w:p>
      <w:pPr>
        <w:spacing w:after="0" w:line="225" w:lineRule="exact"/>
        <w:rPr>
          <w:sz w:val="20"/>
          <w:szCs w:val="20"/>
          <w:color w:val="auto"/>
        </w:rPr>
      </w:pPr>
    </w:p>
    <w:p>
      <w:pPr>
        <w:ind w:left="1520" w:hanging="499"/>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Warrants granted to underwriters: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outstanding options granted to the underwriters for the IPO are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2260" w:type="dxa"/>
            <w:vAlign w:val="bottom"/>
          </w:tcPr>
          <w:p>
            <w:pPr>
              <w:spacing w:after="0"/>
              <w:rPr>
                <w:sz w:val="18"/>
                <w:szCs w:val="18"/>
                <w:color w:val="auto"/>
              </w:rPr>
            </w:pPr>
          </w:p>
        </w:tc>
      </w:tr>
      <w:tr>
        <w:trPr>
          <w:trHeight w:val="234"/>
        </w:trPr>
        <w:tc>
          <w:tcPr>
            <w:tcW w:w="2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Grant date</w:t>
            </w:r>
          </w:p>
        </w:tc>
        <w:tc>
          <w:tcPr>
            <w:tcW w:w="2160" w:type="dxa"/>
            <w:vAlign w:val="bottom"/>
          </w:tcPr>
          <w:p>
            <w:pPr>
              <w:ind w:left="360"/>
              <w:spacing w:after="0"/>
              <w:rPr>
                <w:sz w:val="20"/>
                <w:szCs w:val="20"/>
                <w:color w:val="auto"/>
              </w:rPr>
            </w:pPr>
            <w:r>
              <w:rPr>
                <w:rFonts w:ascii="Arial" w:cs="Arial" w:eastAsia="Arial" w:hAnsi="Arial"/>
                <w:sz w:val="18"/>
                <w:szCs w:val="18"/>
                <w:b w:val="1"/>
                <w:bCs w:val="1"/>
                <w:color w:val="auto"/>
              </w:rPr>
              <w:t>Number of options</w:t>
            </w:r>
          </w:p>
        </w:tc>
        <w:tc>
          <w:tcPr>
            <w:tcW w:w="200" w:type="dxa"/>
            <w:vAlign w:val="bottom"/>
          </w:tcPr>
          <w:p>
            <w:pPr>
              <w:spacing w:after="0"/>
              <w:rPr>
                <w:sz w:val="20"/>
                <w:szCs w:val="20"/>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price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r>
      <w:tr>
        <w:trPr>
          <w:trHeight w:val="210"/>
        </w:trPr>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May 28, 2013</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15,306</w:t>
            </w:r>
          </w:p>
        </w:tc>
        <w:tc>
          <w:tcPr>
            <w:tcW w:w="2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May 28, 2015</w:t>
            </w:r>
          </w:p>
        </w:tc>
      </w:tr>
      <w:tr>
        <w:trPr>
          <w:trHeight w:val="216"/>
        </w:trPr>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28, 2013</w:t>
            </w:r>
          </w:p>
        </w:tc>
        <w:tc>
          <w:tcPr>
            <w:tcW w:w="2160" w:type="dxa"/>
            <w:vAlign w:val="bottom"/>
          </w:tcPr>
          <w:p>
            <w:pPr>
              <w:jc w:val="center"/>
              <w:ind w:left="10"/>
              <w:spacing w:after="0"/>
              <w:rPr>
                <w:sz w:val="20"/>
                <w:szCs w:val="20"/>
                <w:color w:val="auto"/>
              </w:rPr>
            </w:pPr>
            <w:r>
              <w:rPr>
                <w:rFonts w:ascii="Arial" w:cs="Arial" w:eastAsia="Arial" w:hAnsi="Arial"/>
                <w:sz w:val="18"/>
                <w:szCs w:val="18"/>
                <w:color w:val="auto"/>
                <w:w w:val="90"/>
              </w:rPr>
              <w:t>52,083</w:t>
            </w:r>
          </w:p>
        </w:tc>
        <w:tc>
          <w:tcPr>
            <w:tcW w:w="2360" w:type="dxa"/>
            <w:vAlign w:val="bottom"/>
            <w:gridSpan w:val="2"/>
          </w:tcPr>
          <w:p>
            <w:pPr>
              <w:jc w:val="right"/>
              <w:ind w:right="85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November 28, 2015</w:t>
            </w:r>
          </w:p>
        </w:tc>
      </w:tr>
      <w:tr>
        <w:trPr>
          <w:trHeight w:val="216"/>
        </w:trPr>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May 28, 2013</w:t>
            </w:r>
          </w:p>
        </w:tc>
        <w:tc>
          <w:tcPr>
            <w:tcW w:w="2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52,084</w:t>
            </w:r>
          </w:p>
        </w:tc>
        <w:tc>
          <w:tcPr>
            <w:tcW w:w="236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28, 2016</w:t>
            </w:r>
          </w:p>
        </w:tc>
      </w:tr>
      <w:tr>
        <w:trPr>
          <w:trHeight w:val="230"/>
        </w:trPr>
        <w:tc>
          <w:tcPr>
            <w:tcW w:w="2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r>
      <w:tr>
        <w:trPr>
          <w:trHeight w:val="223"/>
        </w:trPr>
        <w:tc>
          <w:tcPr>
            <w:tcW w:w="2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119,473</w:t>
            </w:r>
          </w:p>
        </w:tc>
        <w:tc>
          <w:tcPr>
            <w:tcW w:w="2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shd w:val="clear" w:color="auto" w:fill="CCEEFF"/>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share-based expense recognized in the consolidated financial statements for services received from employees and non-employees is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4"/>
          </w:tcPr>
          <w:p>
            <w:pPr>
              <w:ind w:left="16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8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Pre Commercialization expenses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3220" w:type="dxa"/>
            <w:vAlign w:val="bottom"/>
            <w:vMerge w:val="restart"/>
          </w:tcPr>
          <w:p>
            <w:pPr>
              <w:ind w:left="180"/>
              <w:spacing w:after="0"/>
              <w:rPr>
                <w:sz w:val="20"/>
                <w:szCs w:val="20"/>
                <w:color w:val="auto"/>
              </w:rPr>
            </w:pPr>
            <w:r>
              <w:rPr>
                <w:rFonts w:ascii="Arial" w:cs="Arial" w:eastAsia="Arial" w:hAnsi="Arial"/>
                <w:sz w:val="18"/>
                <w:szCs w:val="18"/>
                <w:color w:val="auto"/>
              </w:rPr>
              <w:t>Represents an amount less than $ 1.</w:t>
            </w:r>
          </w:p>
        </w:tc>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60" w:type="dxa"/>
            <w:vAlign w:val="bottom"/>
            <w:gridSpan w:val="2"/>
            <w:vMerge w:val="continue"/>
          </w:tcPr>
          <w:p>
            <w:pPr>
              <w:spacing w:after="0"/>
              <w:rPr>
                <w:sz w:val="24"/>
                <w:szCs w:val="24"/>
                <w:color w:val="auto"/>
              </w:rPr>
            </w:pPr>
          </w:p>
        </w:tc>
        <w:tc>
          <w:tcPr>
            <w:tcW w:w="322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1020"/>
              <w:spacing w:after="0"/>
              <w:rPr>
                <w:sz w:val="20"/>
                <w:szCs w:val="20"/>
                <w:color w:val="auto"/>
              </w:rPr>
            </w:pPr>
            <w:r>
              <w:rPr>
                <w:rFonts w:ascii="Arial" w:cs="Arial" w:eastAsia="Arial" w:hAnsi="Arial"/>
                <w:sz w:val="18"/>
                <w:szCs w:val="18"/>
                <w:color w:val="auto"/>
              </w:rPr>
              <w:t>F-19</w:t>
            </w: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NOTE 10:-   RELATED PARTY BALANCES AND TRANSACTIONS</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880" w:type="dxa"/>
            <w:vAlign w:val="bottom"/>
          </w:tcPr>
          <w:p>
            <w:pPr>
              <w:ind w:left="40"/>
              <w:spacing w:after="0"/>
              <w:rPr>
                <w:sz w:val="20"/>
                <w:szCs w:val="20"/>
                <w:color w:val="auto"/>
              </w:rPr>
            </w:pPr>
            <w:r>
              <w:rPr>
                <w:rFonts w:ascii="Arial" w:cs="Arial" w:eastAsia="Arial" w:hAnsi="Arial"/>
                <w:sz w:val="18"/>
                <w:szCs w:val="18"/>
                <w:color w:val="auto"/>
              </w:rPr>
              <w:t>Balances with related parties: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58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accounts payable</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80" w:type="dxa"/>
            <w:vAlign w:val="bottom"/>
            <w:vMerge w:val="restart"/>
          </w:tcPr>
          <w:p>
            <w:pPr>
              <w:ind w:left="40"/>
              <w:spacing w:after="0"/>
              <w:rPr>
                <w:sz w:val="20"/>
                <w:szCs w:val="20"/>
                <w:color w:val="auto"/>
              </w:rPr>
            </w:pPr>
            <w:r>
              <w:rPr>
                <w:rFonts w:ascii="Arial" w:cs="Arial" w:eastAsia="Arial" w:hAnsi="Arial"/>
                <w:sz w:val="18"/>
                <w:szCs w:val="18"/>
                <w:color w:val="auto"/>
              </w:rPr>
              <w:t>Related parties' expenses:</w:t>
            </w: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58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Amounts charged to:</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160"/>
        <w:spacing w:after="0" w:line="286" w:lineRule="auto"/>
        <w:rPr>
          <w:sz w:val="20"/>
          <w:szCs w:val="20"/>
          <w:color w:val="auto"/>
        </w:rPr>
      </w:pPr>
      <w:r>
        <w:rPr>
          <w:rFonts w:ascii="Arial" w:cs="Arial" w:eastAsia="Arial" w:hAnsi="Arial"/>
          <w:sz w:val="16"/>
          <w:szCs w:val="16"/>
          <w:color w:val="auto"/>
        </w:rPr>
        <w:t>On March 1, 2008, the Company signed an agreement with a consultant, who is also one of the Company's shareholders, as a contractor to render management, finance and operation services. The Company paid the consultant an amount of $7 per month. During May 2013, the monthly fee was increased to an amount of $ 12. The amendment was effective upon consummation of the IPO in May 2013. In June 2013, and in connection with the consummation of the IPO, the Company granted the consultant a bonus in the amount of $50.</w:t>
      </w:r>
    </w:p>
    <w:p>
      <w:pPr>
        <w:spacing w:after="0" w:line="2" w:lineRule="exact"/>
        <w:rPr>
          <w:sz w:val="20"/>
          <w:szCs w:val="20"/>
          <w:color w:val="auto"/>
        </w:rPr>
      </w:pPr>
    </w:p>
    <w:p>
      <w:pPr>
        <w:jc w:val="both"/>
        <w:ind w:left="1160"/>
        <w:spacing w:after="0" w:line="261" w:lineRule="auto"/>
        <w:rPr>
          <w:sz w:val="20"/>
          <w:szCs w:val="20"/>
          <w:color w:val="auto"/>
        </w:rPr>
      </w:pPr>
      <w:r>
        <w:rPr>
          <w:rFonts w:ascii="Arial" w:cs="Arial" w:eastAsia="Arial" w:hAnsi="Arial"/>
          <w:sz w:val="18"/>
          <w:szCs w:val="18"/>
          <w:color w:val="auto"/>
        </w:rPr>
        <w:t>In February 2014, the general meeting of the Company's shareholders approved the grant of an annual bonus to the consultant, in the amount of $200. The agreement was terminated in May 2014.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NOTE 11:- FINANCIAL EXPENSES (INCOME), NET</w:t>
            </w: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Year ended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6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80" w:type="dxa"/>
            <w:vAlign w:val="bottom"/>
            <w:tcBorders>
              <w:bottom w:val="single" w:sz="8" w:color="CCEEFF"/>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 rate</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Bank fees</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convertible notes</w:t>
            </w:r>
          </w:p>
        </w:tc>
        <w:tc>
          <w:tcPr>
            <w:tcW w:w="2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Financial income:</w:t>
            </w:r>
          </w:p>
        </w:tc>
        <w:tc>
          <w:tcPr>
            <w:tcW w:w="2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 rate</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Financial expenses (income), net</w:t>
            </w:r>
          </w:p>
        </w:tc>
        <w:tc>
          <w:tcPr>
            <w:tcW w:w="2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20" w:type="dxa"/>
            <w:vAlign w:val="bottom"/>
            <w:vMerge w:val="restart"/>
          </w:tcPr>
          <w:p>
            <w:pPr>
              <w:jc w:val="right"/>
              <w:ind w:right="350"/>
              <w:spacing w:after="0"/>
              <w:rPr>
                <w:sz w:val="20"/>
                <w:szCs w:val="20"/>
                <w:color w:val="auto"/>
              </w:rPr>
            </w:pPr>
            <w:r>
              <w:rPr>
                <w:rFonts w:ascii="Arial" w:cs="Arial" w:eastAsia="Arial" w:hAnsi="Arial"/>
                <w:sz w:val="18"/>
                <w:szCs w:val="18"/>
                <w:color w:val="auto"/>
              </w:rPr>
              <w:t>- - - - - - - - - - - - -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1"/>
              </w:rPr>
              <w:t>F-20</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b w:val="1"/>
          <w:bCs w:val="1"/>
          <w:u w:val="single" w:color="auto"/>
          <w:color w:val="auto"/>
        </w:rPr>
        <w:t>Exhibit 4.3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Alcobra Ltd.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The 2010 Incentive Option Plan</w:t>
      </w:r>
    </w:p>
    <w:p>
      <w:pPr>
        <w:spacing w:after="0" w:line="200" w:lineRule="exact"/>
        <w:rPr>
          <w:sz w:val="20"/>
          <w:szCs w:val="20"/>
          <w:color w:val="auto"/>
        </w:rPr>
      </w:pPr>
    </w:p>
    <w:p>
      <w:pPr>
        <w:spacing w:after="0" w:line="252" w:lineRule="exact"/>
        <w:rPr>
          <w:sz w:val="20"/>
          <w:szCs w:val="20"/>
          <w:color w:val="auto"/>
        </w:rPr>
      </w:pPr>
    </w:p>
    <w:p>
      <w:pPr>
        <w:ind w:left="640" w:hanging="632"/>
        <w:spacing w:after="0"/>
        <w:tabs>
          <w:tab w:leader="none" w:pos="6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252" w:lineRule="exact"/>
        <w:rPr>
          <w:rFonts w:ascii="Arial" w:cs="Arial" w:eastAsia="Arial" w:hAnsi="Arial"/>
          <w:sz w:val="18"/>
          <w:szCs w:val="18"/>
          <w:b w:val="1"/>
          <w:bCs w:val="1"/>
          <w:color w:val="auto"/>
        </w:rPr>
      </w:pPr>
    </w:p>
    <w:p>
      <w:pPr>
        <w:jc w:val="both"/>
        <w:ind w:left="64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 xml:space="preserve">The purpose of this 2010 Incentive Option Plan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is to advance the interests of Alcobra Ltd. (the </w:t>
      </w:r>
      <w:r>
        <w:rPr>
          <w:rFonts w:ascii="Arial" w:cs="Arial" w:eastAsia="Arial" w:hAnsi="Arial"/>
          <w:sz w:val="17"/>
          <w:szCs w:val="17"/>
          <w:b w:val="1"/>
          <w:bCs w:val="1"/>
          <w:color w:val="auto"/>
        </w:rPr>
        <w:t>“Company”</w:t>
      </w:r>
      <w:r>
        <w:rPr>
          <w:rFonts w:ascii="Arial" w:cs="Arial" w:eastAsia="Arial" w:hAnsi="Arial"/>
          <w:sz w:val="17"/>
          <w:szCs w:val="17"/>
          <w:color w:val="auto"/>
        </w:rPr>
        <w:t>) and its shareholders by attracting and retaining the best available personnel for positions of substantial responsibility, providing additional incentive to employees, office holders and service providers and promoting a close identity of interests between those individuals and entities and the Company.</w:t>
      </w:r>
    </w:p>
    <w:p>
      <w:pPr>
        <w:spacing w:after="0" w:line="158" w:lineRule="exact"/>
        <w:rPr>
          <w:rFonts w:ascii="Arial" w:cs="Arial" w:eastAsia="Arial" w:hAnsi="Arial"/>
          <w:sz w:val="18"/>
          <w:szCs w:val="18"/>
          <w:b w:val="1"/>
          <w:bCs w:val="1"/>
          <w:color w:val="auto"/>
        </w:rPr>
      </w:pPr>
    </w:p>
    <w:p>
      <w:pPr>
        <w:ind w:left="640" w:hanging="632"/>
        <w:spacing w:after="0"/>
        <w:tabs>
          <w:tab w:leader="none" w:pos="6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definitions shall apply:</w:t>
      </w:r>
    </w:p>
    <w:p>
      <w:pPr>
        <w:spacing w:after="0" w:line="23"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the Committee, as shall administer the Plan, as set forth herein.</w:t>
      </w:r>
    </w:p>
    <w:p>
      <w:pPr>
        <w:spacing w:after="0" w:line="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6"/>
          <w:szCs w:val="16"/>
          <w:color w:val="auto"/>
        </w:rPr>
        <w:t>“</w:t>
      </w:r>
      <w:r>
        <w:rPr>
          <w:rFonts w:ascii="Arial" w:cs="Arial" w:eastAsia="Arial" w:hAnsi="Arial"/>
          <w:sz w:val="16"/>
          <w:szCs w:val="16"/>
          <w:b w:val="1"/>
          <w:bCs w:val="1"/>
          <w:color w:val="auto"/>
        </w:rPr>
        <w:t>Articles</w:t>
      </w:r>
      <w:r>
        <w:rPr>
          <w:rFonts w:ascii="Arial" w:cs="Arial" w:eastAsia="Arial" w:hAnsi="Arial"/>
          <w:sz w:val="16"/>
          <w:szCs w:val="16"/>
          <w:color w:val="auto"/>
        </w:rPr>
        <w:t>” mean the Company’s Articles of Association, as amended from time to time.</w:t>
      </w:r>
    </w:p>
    <w:p>
      <w:pPr>
        <w:spacing w:after="0" w:line="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2.3.</w:t>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9" w:lineRule="exact"/>
        <w:rPr>
          <w:rFonts w:ascii="Arial" w:cs="Arial" w:eastAsia="Arial" w:hAnsi="Arial"/>
          <w:sz w:val="18"/>
          <w:szCs w:val="18"/>
          <w:b w:val="1"/>
          <w:bCs w:val="1"/>
          <w:color w:val="auto"/>
        </w:rPr>
      </w:pPr>
    </w:p>
    <w:p>
      <w:pPr>
        <w:ind w:left="1920" w:right="20" w:hanging="635"/>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2.4."</w:t>
      </w:r>
      <w:r>
        <w:rPr>
          <w:rFonts w:ascii="Arial" w:cs="Arial" w:eastAsia="Arial" w:hAnsi="Arial"/>
          <w:sz w:val="18"/>
          <w:szCs w:val="18"/>
          <w:b w:val="1"/>
          <w:bCs w:val="1"/>
          <w:color w:val="auto"/>
        </w:rPr>
        <w:t>Committee</w:t>
      </w:r>
      <w:r>
        <w:rPr>
          <w:rFonts w:ascii="Arial" w:cs="Arial" w:eastAsia="Arial" w:hAnsi="Arial"/>
          <w:sz w:val="18"/>
          <w:szCs w:val="18"/>
          <w:color w:val="auto"/>
        </w:rPr>
        <w:t>" means the Company’s compensation committee, or in the case there is no such committee, a committee appointed in order to administer the Plan, and until such committee is appointed, the Board.</w:t>
      </w: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2.5.</w:t>
      </w:r>
      <w:r>
        <w:rPr>
          <w:rFonts w:ascii="Arial" w:cs="Arial" w:eastAsia="Arial" w:hAnsi="Arial"/>
          <w:sz w:val="16"/>
          <w:szCs w:val="16"/>
          <w:color w:val="auto"/>
        </w:rPr>
        <w:t>“</w:t>
      </w:r>
      <w:r>
        <w:rPr>
          <w:rFonts w:ascii="Arial" w:cs="Arial" w:eastAsia="Arial" w:hAnsi="Arial"/>
          <w:sz w:val="16"/>
          <w:szCs w:val="16"/>
          <w:b w:val="1"/>
          <w:bCs w:val="1"/>
          <w:color w:val="auto"/>
        </w:rPr>
        <w:t>Companies Law</w:t>
      </w:r>
      <w:r>
        <w:rPr>
          <w:rFonts w:ascii="Arial" w:cs="Arial" w:eastAsia="Arial" w:hAnsi="Arial"/>
          <w:sz w:val="16"/>
          <w:szCs w:val="16"/>
          <w:color w:val="auto"/>
        </w:rPr>
        <w:t>” means the Israeli Companies Law 5759 - 1999.</w:t>
      </w:r>
    </w:p>
    <w:p>
      <w:pPr>
        <w:spacing w:after="0" w:line="9" w:lineRule="exact"/>
        <w:rPr>
          <w:rFonts w:ascii="Arial" w:cs="Arial" w:eastAsia="Arial" w:hAnsi="Arial"/>
          <w:sz w:val="18"/>
          <w:szCs w:val="18"/>
          <w:b w:val="1"/>
          <w:bCs w:val="1"/>
          <w:color w:val="auto"/>
        </w:rPr>
      </w:pPr>
    </w:p>
    <w:p>
      <w:pPr>
        <w:ind w:left="1920" w:hanging="635"/>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2.6."</w:t>
      </w:r>
      <w:r>
        <w:rPr>
          <w:rFonts w:ascii="Arial" w:cs="Arial" w:eastAsia="Arial" w:hAnsi="Arial"/>
          <w:sz w:val="18"/>
          <w:szCs w:val="18"/>
          <w:b w:val="1"/>
          <w:bCs w:val="1"/>
          <w:color w:val="auto"/>
        </w:rPr>
        <w:t>Employee</w:t>
      </w:r>
      <w:r>
        <w:rPr>
          <w:rFonts w:ascii="Arial" w:cs="Arial" w:eastAsia="Arial" w:hAnsi="Arial"/>
          <w:sz w:val="18"/>
          <w:szCs w:val="18"/>
          <w:color w:val="auto"/>
        </w:rPr>
        <w:t>" means: (I) any person, employed by the Company or employed by any Related Entity; and (II) any Office Holder (as such term is defined in the Companies Law), officer or Director of the Company or a Related Entity.</w:t>
      </w: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2.7.</w:t>
      </w:r>
      <w:r>
        <w:rPr>
          <w:rFonts w:ascii="Arial" w:cs="Arial" w:eastAsia="Arial" w:hAnsi="Arial"/>
          <w:sz w:val="16"/>
          <w:szCs w:val="16"/>
          <w:color w:val="auto"/>
        </w:rPr>
        <w:t>“</w:t>
      </w:r>
      <w:r>
        <w:rPr>
          <w:rFonts w:ascii="Arial" w:cs="Arial" w:eastAsia="Arial" w:hAnsi="Arial"/>
          <w:sz w:val="16"/>
          <w:szCs w:val="16"/>
          <w:b w:val="1"/>
          <w:bCs w:val="1"/>
          <w:color w:val="auto"/>
        </w:rPr>
        <w:t>Exercise Price</w:t>
      </w:r>
      <w:r>
        <w:rPr>
          <w:rFonts w:ascii="Arial" w:cs="Arial" w:eastAsia="Arial" w:hAnsi="Arial"/>
          <w:sz w:val="16"/>
          <w:szCs w:val="16"/>
          <w:color w:val="auto"/>
        </w:rPr>
        <w:t>” means the price that is to be paid in order to exercise an Option.</w:t>
      </w:r>
    </w:p>
    <w:p>
      <w:pPr>
        <w:spacing w:after="0" w:line="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2.8.</w:t>
      </w: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the Company and the Related Entities taken together.</w:t>
      </w:r>
    </w:p>
    <w:p>
      <w:pPr>
        <w:spacing w:after="0" w:line="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2.9.</w:t>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an initial public offering of the Company's Shares.</w:t>
      </w:r>
    </w:p>
    <w:p>
      <w:pPr>
        <w:spacing w:after="0" w:line="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2.10.   "</w:t>
      </w:r>
      <w:r>
        <w:rPr>
          <w:rFonts w:ascii="Arial" w:cs="Arial" w:eastAsia="Arial" w:hAnsi="Arial"/>
          <w:sz w:val="18"/>
          <w:szCs w:val="18"/>
          <w:b w:val="1"/>
          <w:bCs w:val="1"/>
          <w:color w:val="auto"/>
        </w:rPr>
        <w:t>Option</w:t>
      </w:r>
      <w:r>
        <w:rPr>
          <w:rFonts w:ascii="Arial" w:cs="Arial" w:eastAsia="Arial" w:hAnsi="Arial"/>
          <w:sz w:val="18"/>
          <w:szCs w:val="18"/>
          <w:color w:val="auto"/>
        </w:rPr>
        <w:t>" means an option to purchase a Share according to the provisions of this Plan.</w:t>
      </w:r>
    </w:p>
    <w:p>
      <w:pPr>
        <w:spacing w:after="0" w:line="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2.11.   “</w:t>
      </w:r>
      <w:r>
        <w:rPr>
          <w:rFonts w:ascii="Arial" w:cs="Arial" w:eastAsia="Arial" w:hAnsi="Arial"/>
          <w:sz w:val="18"/>
          <w:szCs w:val="18"/>
          <w:b w:val="1"/>
          <w:bCs w:val="1"/>
          <w:color w:val="auto"/>
        </w:rPr>
        <w:t>Option Grant</w:t>
      </w:r>
      <w:r>
        <w:rPr>
          <w:rFonts w:ascii="Arial" w:cs="Arial" w:eastAsia="Arial" w:hAnsi="Arial"/>
          <w:sz w:val="18"/>
          <w:szCs w:val="18"/>
          <w:color w:val="auto"/>
        </w:rPr>
        <w:t>” means a single grant of Options to a certain Participant as determined by the Board or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64"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Grant Letter Agreement</w:t>
      </w:r>
      <w:r>
        <w:rPr>
          <w:rFonts w:ascii="Arial" w:cs="Arial" w:eastAsia="Arial" w:hAnsi="Arial"/>
          <w:sz w:val="16"/>
          <w:szCs w:val="16"/>
          <w:color w:val="auto"/>
        </w:rPr>
        <w:t xml:space="preserve">" means the notice letter attached to this Plan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2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 person or entity that has been granted Options.</w:t>
      </w:r>
    </w:p>
    <w:p>
      <w:pPr>
        <w:spacing w:after="0" w:line="9" w:lineRule="exact"/>
        <w:rPr>
          <w:sz w:val="20"/>
          <w:szCs w:val="20"/>
          <w:color w:val="auto"/>
        </w:rPr>
      </w:pPr>
    </w:p>
    <w:p>
      <w:pPr>
        <w:jc w:val="both"/>
        <w:ind w:left="1920" w:hanging="634"/>
        <w:spacing w:after="0" w:line="281" w:lineRule="auto"/>
        <w:tabs>
          <w:tab w:leader="none" w:pos="19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Related Entity</w:t>
      </w:r>
      <w:r>
        <w:rPr>
          <w:rFonts w:ascii="Arial" w:cs="Arial" w:eastAsia="Arial" w:hAnsi="Arial"/>
          <w:sz w:val="16"/>
          <w:szCs w:val="16"/>
          <w:color w:val="auto"/>
        </w:rPr>
        <w:t>” means any parent or subsidiary of the Company. In addition, Related Entity shall include any business, corporation, partnership, limited liability company or other entity in which the Company, or the Company’s parent or a subsidiary holds a substantial ownership and/or interest, directly or indirectly, and is determined by the Board to be a Related Entity.</w:t>
      </w:r>
    </w:p>
    <w:p>
      <w:pPr>
        <w:spacing w:after="0" w:line="2"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2.15.</w:t>
        <w:tab/>
        <w:t>“</w:t>
      </w:r>
      <w:r>
        <w:rPr>
          <w:rFonts w:ascii="Arial" w:cs="Arial" w:eastAsia="Arial" w:hAnsi="Arial"/>
          <w:sz w:val="18"/>
          <w:szCs w:val="18"/>
          <w:b w:val="1"/>
          <w:bCs w:val="1"/>
          <w:color w:val="auto"/>
        </w:rPr>
        <w:t>Service Provider</w:t>
      </w:r>
      <w:r>
        <w:rPr>
          <w:rFonts w:ascii="Arial" w:cs="Arial" w:eastAsia="Arial" w:hAnsi="Arial"/>
          <w:sz w:val="18"/>
          <w:szCs w:val="18"/>
          <w:color w:val="auto"/>
        </w:rPr>
        <w:t>” means a person or entity who is engaged by the Company or any Related Entity to render services (e.g., consulting services, advisory services, development services, marketing and sale services or any other services, including suppliers) to the Company or a Related Entity.</w:t>
      </w:r>
    </w:p>
    <w:p>
      <w:pPr>
        <w:spacing w:after="0" w:line="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the Company’s Ordinary Share of NIS 0.01 par value, or that was issued following an exercise of an Option.</w:t>
      </w:r>
    </w:p>
    <w:p>
      <w:pPr>
        <w:spacing w:after="0" w:line="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Total Option Amount</w:t>
      </w:r>
      <w:r>
        <w:rPr>
          <w:rFonts w:ascii="Arial" w:cs="Arial" w:eastAsia="Arial" w:hAnsi="Arial"/>
          <w:sz w:val="16"/>
          <w:szCs w:val="16"/>
          <w:color w:val="auto"/>
        </w:rPr>
        <w:t>” means the amount of Options granted to a Participant in a single Option Grant.</w:t>
      </w:r>
    </w:p>
    <w:p>
      <w:pPr>
        <w:spacing w:after="0" w:line="207" w:lineRule="exact"/>
        <w:rPr>
          <w:sz w:val="20"/>
          <w:szCs w:val="20"/>
          <w:color w:val="auto"/>
        </w:rPr>
      </w:pPr>
    </w:p>
    <w:p>
      <w:pPr>
        <w:ind w:left="640" w:hanging="632"/>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56" w:lineRule="exact"/>
        <w:rPr>
          <w:sz w:val="20"/>
          <w:szCs w:val="20"/>
          <w:color w:val="auto"/>
        </w:rPr>
      </w:pPr>
    </w:p>
    <w:p>
      <w:pPr>
        <w:jc w:val="both"/>
        <w:ind w:left="1920" w:hanging="634"/>
        <w:spacing w:after="0" w:line="267" w:lineRule="auto"/>
        <w:tabs>
          <w:tab w:leader="none" w:pos="1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provisions of the Plan, any applicable law, the Articles and any other binding commitments taken by the Company, the Board or the Committee shall have the power and authority to administer the Plan. Such power and authority shall include, but not be limited to: (i) approval of Option Grants and the determination of the terms and provisions of respective Option Grants, including, the vesting schedules of the Options; the Exercise Price thereof; provisions concerning the time or times when and the extent to which Options may be exercised; the nature and duration of restrictions as to transferability; or any other special conditions relating to an Option Grant; (ii) the acceleration of any Participant’s right to exercise Options, in whole or in part; (iii) the interpretation of the provisions of the Plan; (iv) altering, amending or rescinding any resolution or act previously taken by the Committee; and (v) the determination of any other matter which is necessary or desirable for, or incidental to, the administration of the Plan, as set forth in the Plan.</w:t>
      </w:r>
    </w:p>
    <w:p>
      <w:pPr>
        <w:spacing w:after="0" w:line="2" w:lineRule="exact"/>
        <w:rPr>
          <w:sz w:val="20"/>
          <w:szCs w:val="20"/>
          <w:color w:val="auto"/>
        </w:rPr>
      </w:pPr>
    </w:p>
    <w:p>
      <w:pPr>
        <w:jc w:val="both"/>
        <w:ind w:left="1920" w:hanging="634"/>
        <w:spacing w:after="0" w:line="261" w:lineRule="auto"/>
        <w:tabs>
          <w:tab w:leader="none" w:pos="1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Notwithstanding the above, the Board shall have the power and authority to take any act the Committee is empowered and authorized to take, and to alter amend or rescind any act or resolution taken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68"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Committee shall consist of such number of directors as may be appointed by the Board.</w:t>
      </w:r>
    </w:p>
    <w:p>
      <w:pPr>
        <w:spacing w:after="0" w:line="23" w:lineRule="exact"/>
        <w:rPr>
          <w:sz w:val="20"/>
          <w:szCs w:val="20"/>
          <w:color w:val="auto"/>
        </w:rPr>
      </w:pPr>
    </w:p>
    <w:p>
      <w:pPr>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Board shall have the exclusive discretion and power to grant Options. Such power may be delegated by the Board to the Committee subject to the provisions of the Companies Law.</w:t>
      </w:r>
    </w:p>
    <w:p>
      <w:pPr>
        <w:spacing w:after="0" w:line="1" w:lineRule="exact"/>
        <w:rPr>
          <w:sz w:val="20"/>
          <w:szCs w:val="20"/>
          <w:color w:val="auto"/>
        </w:rPr>
      </w:pPr>
    </w:p>
    <w:p>
      <w:pPr>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All Committee resolutions and decisions, including the interpretation and construction of any provision of the Plan, shall be final and conclusive unless otherwise determined by the Board.</w:t>
      </w:r>
    </w:p>
    <w:p>
      <w:pPr>
        <w:spacing w:after="0" w:line="1" w:lineRule="exact"/>
        <w:rPr>
          <w:sz w:val="20"/>
          <w:szCs w:val="20"/>
          <w:color w:val="auto"/>
        </w:rPr>
      </w:pPr>
    </w:p>
    <w:p>
      <w:pPr>
        <w:ind w:left="1920" w:hanging="634"/>
        <w:spacing w:after="0" w:line="261" w:lineRule="auto"/>
        <w:tabs>
          <w:tab w:leader="none" w:pos="19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No member of the Board or of the Committee shall be held liable for any act or determination made in good faith with respect to the Plan or any Option Grant.</w:t>
      </w:r>
    </w:p>
    <w:p>
      <w:pPr>
        <w:spacing w:after="0" w:line="180"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SHARES RESERVED FOR THE PLAN</w:t>
      </w:r>
    </w:p>
    <w:p>
      <w:pPr>
        <w:spacing w:after="0" w:line="256" w:lineRule="exact"/>
        <w:rPr>
          <w:sz w:val="20"/>
          <w:szCs w:val="20"/>
          <w:color w:val="auto"/>
        </w:rPr>
      </w:pPr>
    </w:p>
    <w:p>
      <w:pPr>
        <w:ind w:left="1920" w:right="20" w:hanging="634"/>
        <w:spacing w:after="0" w:line="258" w:lineRule="auto"/>
        <w:tabs>
          <w:tab w:leader="none" w:pos="1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Subject to adjustments, as set forth in Section 9 below, a total of 2,118,531 Ordinary Shares, of NIS 0.01 par value each, from the Company’s authorized share capital shall be reserved and subject to the Plan (the “</w:t>
      </w:r>
      <w:r>
        <w:rPr>
          <w:rFonts w:ascii="Arial" w:cs="Arial" w:eastAsia="Arial" w:hAnsi="Arial"/>
          <w:sz w:val="18"/>
          <w:szCs w:val="18"/>
          <w:b w:val="1"/>
          <w:bCs w:val="1"/>
          <w:color w:val="auto"/>
        </w:rPr>
        <w:t>Reserved Shares</w:t>
      </w:r>
      <w:r>
        <w:rPr>
          <w:rFonts w:ascii="Arial" w:cs="Arial" w:eastAsia="Arial" w:hAnsi="Arial"/>
          <w:sz w:val="18"/>
          <w:szCs w:val="18"/>
          <w:color w:val="auto"/>
        </w:rPr>
        <w:t>”).</w:t>
      </w:r>
    </w:p>
    <w:p>
      <w:pPr>
        <w:spacing w:after="0" w:line="1" w:lineRule="exact"/>
        <w:rPr>
          <w:sz w:val="20"/>
          <w:szCs w:val="20"/>
          <w:color w:val="auto"/>
        </w:rPr>
      </w:pPr>
    </w:p>
    <w:p>
      <w:pPr>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Until termination of the Plan the Company shall at all times reserve sufficient number of Ordinary Shares in its authorized share capital to cover for all Reserved Shares that were not issued.</w:t>
      </w:r>
    </w:p>
    <w:p>
      <w:pPr>
        <w:spacing w:after="0" w:line="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Without derogating from Section 4.2 above:</w:t>
      </w:r>
    </w:p>
    <w:p>
      <w:pPr>
        <w:spacing w:after="0" w:line="9" w:lineRule="exact"/>
        <w:rPr>
          <w:sz w:val="20"/>
          <w:szCs w:val="20"/>
          <w:color w:val="auto"/>
        </w:rPr>
      </w:pPr>
    </w:p>
    <w:p>
      <w:pPr>
        <w:ind w:left="1920" w:right="20" w:hanging="634"/>
        <w:spacing w:after="0" w:line="250" w:lineRule="auto"/>
        <w:tabs>
          <w:tab w:leader="none" w:pos="1900" w:val="left"/>
        </w:tabs>
        <w:rPr>
          <w:sz w:val="20"/>
          <w:szCs w:val="20"/>
          <w:color w:val="auto"/>
        </w:rPr>
      </w:pPr>
      <w:r>
        <w:rPr>
          <w:rFonts w:ascii="Arial" w:cs="Arial" w:eastAsia="Arial" w:hAnsi="Arial"/>
          <w:sz w:val="18"/>
          <w:szCs w:val="18"/>
          <w:color w:val="auto"/>
        </w:rPr>
        <w:t>4.3.1.</w:t>
        <w:tab/>
        <w:t>The Company need not reserve Shares with respect to Options that terminated, expired or were canceled for any reason prior to exercise thereof.</w:t>
      </w:r>
    </w:p>
    <w:p>
      <w:pPr>
        <w:spacing w:after="0" w:line="1" w:lineRule="exact"/>
        <w:rPr>
          <w:sz w:val="20"/>
          <w:szCs w:val="20"/>
          <w:color w:val="auto"/>
        </w:rPr>
      </w:pPr>
    </w:p>
    <w:p>
      <w:pPr>
        <w:ind w:left="1920" w:hanging="634"/>
        <w:spacing w:after="0" w:line="261" w:lineRule="auto"/>
        <w:tabs>
          <w:tab w:leader="none" w:pos="1900" w:val="left"/>
        </w:tabs>
        <w:rPr>
          <w:sz w:val="20"/>
          <w:szCs w:val="20"/>
          <w:color w:val="auto"/>
        </w:rPr>
      </w:pPr>
      <w:r>
        <w:rPr>
          <w:rFonts w:ascii="Arial" w:cs="Arial" w:eastAsia="Arial" w:hAnsi="Arial"/>
          <w:sz w:val="18"/>
          <w:szCs w:val="18"/>
          <w:color w:val="auto"/>
        </w:rPr>
        <w:t>4.3.2.</w:t>
        <w:tab/>
        <w:t>In the case that there are certain Reserved Shares, which remain unissued and which are not subject to outstanding Options, then the Board may resolve that such Reserved Shares shall cease to be reserved.</w:t>
      </w:r>
    </w:p>
    <w:p>
      <w:pPr>
        <w:spacing w:after="0" w:line="180" w:lineRule="exact"/>
        <w:rPr>
          <w:sz w:val="20"/>
          <w:szCs w:val="20"/>
          <w:color w:val="auto"/>
        </w:rPr>
      </w:pPr>
    </w:p>
    <w:p>
      <w:pPr>
        <w:ind w:left="640" w:hanging="632"/>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PARTICIPANTS; OPTION GRANTS</w:t>
      </w:r>
    </w:p>
    <w:p>
      <w:pPr>
        <w:spacing w:after="0" w:line="25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Board may grant Option Grants to the following persons and entities:</w:t>
      </w:r>
    </w:p>
    <w:p>
      <w:pPr>
        <w:spacing w:after="0" w:line="23"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Employees.</w:t>
      </w:r>
    </w:p>
    <w:p>
      <w:pPr>
        <w:spacing w:after="0" w:line="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Service Providers and their employees.</w:t>
      </w:r>
    </w:p>
    <w:p>
      <w:pPr>
        <w:spacing w:after="0" w:line="9" w:lineRule="exact"/>
        <w:rPr>
          <w:sz w:val="20"/>
          <w:szCs w:val="20"/>
          <w:color w:val="auto"/>
        </w:rPr>
      </w:pPr>
    </w:p>
    <w:p>
      <w:pPr>
        <w:ind w:left="1920" w:right="20" w:hanging="634"/>
        <w:spacing w:after="0" w:line="261" w:lineRule="auto"/>
        <w:tabs>
          <w:tab w:leader="none" w:pos="1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determined otherwise by the Board or Committee, a Participant shall not be required to pay any consideration for an Option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5" w:name="page126"/>
    <w:bookmarkEnd w:id="125"/>
    <w:p>
      <w:pPr>
        <w:jc w:val="center"/>
        <w:ind w:right="-11"/>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37" w:lineRule="exact"/>
        <w:rPr>
          <w:sz w:val="20"/>
          <w:szCs w:val="20"/>
          <w:color w:val="auto"/>
        </w:rPr>
      </w:pPr>
    </w:p>
    <w:p>
      <w:pPr>
        <w:ind w:left="632" w:hanging="632"/>
        <w:spacing w:after="0"/>
        <w:tabs>
          <w:tab w:leader="none" w:pos="63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VESTING; EXERCISE PERIOD</w:t>
      </w:r>
    </w:p>
    <w:p>
      <w:pPr>
        <w:spacing w:after="0" w:line="256" w:lineRule="exact"/>
        <w:rPr>
          <w:sz w:val="20"/>
          <w:szCs w:val="20"/>
          <w:color w:val="auto"/>
        </w:rPr>
      </w:pPr>
    </w:p>
    <w:p>
      <w:pPr>
        <w:jc w:val="both"/>
        <w:ind w:left="1912" w:hanging="634"/>
        <w:spacing w:after="0" w:line="256" w:lineRule="auto"/>
        <w:tabs>
          <w:tab w:leader="none" w:pos="189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Unless determined otherwise by the Committee or Board, upon approval of the Option Grant or thereafter, Options underlying an Option Grant shall vest over four years, commencing on the vesting commencement date (the "</w:t>
      </w:r>
      <w:r>
        <w:rPr>
          <w:rFonts w:ascii="Arial" w:cs="Arial" w:eastAsia="Arial" w:hAnsi="Arial"/>
          <w:sz w:val="18"/>
          <w:szCs w:val="18"/>
          <w:b w:val="1"/>
          <w:bCs w:val="1"/>
          <w:color w:val="auto"/>
        </w:rPr>
        <w:t>Vesting Commencement Date</w:t>
      </w:r>
      <w:r>
        <w:rPr>
          <w:rFonts w:ascii="Arial" w:cs="Arial" w:eastAsia="Arial" w:hAnsi="Arial"/>
          <w:sz w:val="18"/>
          <w:szCs w:val="18"/>
          <w:color w:val="auto"/>
        </w:rPr>
        <w:t>") as determined by the Committee.</w:t>
      </w:r>
    </w:p>
    <w:p>
      <w:pPr>
        <w:ind w:left="1272"/>
        <w:spacing w:after="0"/>
        <w:tabs>
          <w:tab w:leader="none" w:pos="189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vesting schedule of each Option Grant shall be as determined by the Committee. However, unless determined otherwise by the</w:t>
      </w:r>
    </w:p>
    <w:p>
      <w:pPr>
        <w:spacing w:after="0" w:line="9" w:lineRule="exact"/>
        <w:rPr>
          <w:sz w:val="20"/>
          <w:szCs w:val="20"/>
          <w:color w:val="auto"/>
        </w:rPr>
      </w:pPr>
    </w:p>
    <w:p>
      <w:pPr>
        <w:ind w:left="1912"/>
        <w:spacing w:after="0"/>
        <w:rPr>
          <w:sz w:val="20"/>
          <w:szCs w:val="20"/>
          <w:color w:val="auto"/>
        </w:rPr>
      </w:pPr>
      <w:r>
        <w:rPr>
          <w:rFonts w:ascii="Arial" w:cs="Arial" w:eastAsia="Arial" w:hAnsi="Arial"/>
          <w:sz w:val="18"/>
          <w:szCs w:val="18"/>
          <w:color w:val="auto"/>
        </w:rPr>
        <w:t>Committee or Board, upon approval of the Option Grant or thereafter, the following shall apply:</w:t>
      </w:r>
    </w:p>
    <w:p>
      <w:pPr>
        <w:spacing w:after="0" w:line="9" w:lineRule="exact"/>
        <w:rPr>
          <w:sz w:val="20"/>
          <w:szCs w:val="20"/>
          <w:color w:val="auto"/>
        </w:rPr>
      </w:pPr>
    </w:p>
    <w:p>
      <w:pPr>
        <w:jc w:val="both"/>
        <w:ind w:left="1912" w:right="20"/>
        <w:spacing w:after="0" w:line="250" w:lineRule="auto"/>
        <w:rPr>
          <w:sz w:val="20"/>
          <w:szCs w:val="20"/>
          <w:color w:val="auto"/>
        </w:rPr>
      </w:pPr>
      <w:r>
        <w:rPr>
          <w:rFonts w:ascii="Arial" w:cs="Arial" w:eastAsia="Arial" w:hAnsi="Arial"/>
          <w:sz w:val="18"/>
          <w:szCs w:val="18"/>
          <w:color w:val="auto"/>
        </w:rPr>
        <w:t>25% of the Total Option Amount shall vest on the first anniversary of the Vesting Commencement Date, and additional 6.25% of the Total Option Amount shall vest on the last day of each three months period immediately after the first anniversary of the Vesting Commencement Date.</w:t>
      </w:r>
    </w:p>
    <w:p>
      <w:pPr>
        <w:spacing w:after="0" w:line="1" w:lineRule="exact"/>
        <w:rPr>
          <w:sz w:val="20"/>
          <w:szCs w:val="20"/>
          <w:color w:val="auto"/>
        </w:rPr>
      </w:pPr>
    </w:p>
    <w:p>
      <w:pPr>
        <w:jc w:val="both"/>
        <w:ind w:left="1912" w:right="20"/>
        <w:spacing w:after="0" w:line="250" w:lineRule="auto"/>
        <w:rPr>
          <w:sz w:val="20"/>
          <w:szCs w:val="20"/>
          <w:color w:val="auto"/>
        </w:rPr>
      </w:pPr>
      <w:r>
        <w:rPr>
          <w:rFonts w:ascii="Arial" w:cs="Arial" w:eastAsia="Arial" w:hAnsi="Arial"/>
          <w:sz w:val="18"/>
          <w:szCs w:val="18"/>
          <w:color w:val="auto"/>
        </w:rPr>
        <w:t>In the case that as a consequence of the vesting schedule mentioned above a fraction of vested Option is created, then such fraction shall be rounded up or down, as determined by the Board.</w:t>
      </w:r>
    </w:p>
    <w:p>
      <w:pPr>
        <w:spacing w:after="0" w:line="1" w:lineRule="exact"/>
        <w:rPr>
          <w:sz w:val="20"/>
          <w:szCs w:val="20"/>
          <w:color w:val="auto"/>
        </w:rPr>
      </w:pPr>
    </w:p>
    <w:p>
      <w:pPr>
        <w:jc w:val="both"/>
        <w:ind w:left="1912" w:hanging="634"/>
        <w:spacing w:after="0" w:line="250" w:lineRule="auto"/>
        <w:tabs>
          <w:tab w:leader="none" w:pos="189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Notwithstanding anything to the contrary in this Plan, all Options shall terminate and not bestow any rights on their owner after ten years from the date the Options were granted. All Options that have not been exercised by such date shall expire immediately and the Participants shall not have any claim against the Company with respect thereto.</w:t>
      </w:r>
    </w:p>
    <w:p>
      <w:pPr>
        <w:spacing w:after="0" w:line="1" w:lineRule="exact"/>
        <w:rPr>
          <w:sz w:val="20"/>
          <w:szCs w:val="20"/>
          <w:color w:val="auto"/>
        </w:rPr>
      </w:pPr>
    </w:p>
    <w:p>
      <w:pPr>
        <w:jc w:val="both"/>
        <w:ind w:left="1912" w:hanging="634"/>
        <w:spacing w:after="0" w:line="255" w:lineRule="auto"/>
        <w:tabs>
          <w:tab w:leader="none" w:pos="189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 xml:space="preserve">The period within which Options are exercisable shall be called the </w:t>
      </w:r>
      <w:r>
        <w:rPr>
          <w:rFonts w:ascii="Arial" w:cs="Arial" w:eastAsia="Arial" w:hAnsi="Arial"/>
          <w:sz w:val="18"/>
          <w:szCs w:val="18"/>
          <w:b w:val="1"/>
          <w:bCs w:val="1"/>
          <w:color w:val="auto"/>
        </w:rPr>
        <w:t>“Exercise Period”</w:t>
      </w:r>
      <w:r>
        <w:rPr>
          <w:rFonts w:ascii="Arial" w:cs="Arial" w:eastAsia="Arial" w:hAnsi="Arial"/>
          <w:sz w:val="18"/>
          <w:szCs w:val="18"/>
          <w:color w:val="auto"/>
        </w:rPr>
        <w:t>. Options which have not been exercised during the Exercise Period shall expire immediately, and will be automatically returned to the Options pool and may be re-allocated.</w:t>
      </w:r>
    </w:p>
    <w:p>
      <w:pPr>
        <w:spacing w:after="0" w:line="186" w:lineRule="exact"/>
        <w:rPr>
          <w:sz w:val="20"/>
          <w:szCs w:val="20"/>
          <w:color w:val="auto"/>
        </w:rPr>
      </w:pPr>
    </w:p>
    <w:p>
      <w:pPr>
        <w:ind w:left="632" w:hanging="632"/>
        <w:spacing w:after="0"/>
        <w:tabs>
          <w:tab w:leader="none" w:pos="63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WITH THE GROUP</w:t>
      </w:r>
    </w:p>
    <w:p>
      <w:pPr>
        <w:spacing w:after="0" w:line="229" w:lineRule="exact"/>
        <w:rPr>
          <w:rFonts w:ascii="Arial" w:cs="Arial" w:eastAsia="Arial" w:hAnsi="Arial"/>
          <w:sz w:val="18"/>
          <w:szCs w:val="18"/>
          <w:b w:val="1"/>
          <w:bCs w:val="1"/>
          <w:color w:val="auto"/>
        </w:rPr>
      </w:pPr>
    </w:p>
    <w:p>
      <w:pPr>
        <w:jc w:val="both"/>
        <w:ind w:left="63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the event that the Participant is an Employee at the time of the Option Grant, whose employment with the Group was subsequently terminated, for whatever reason but subject to Section 7.6 (including but not limited to (i) dismissal of a Participant or (ii) a Participant’s resignation, or (iii) death of a Participant or (iv) disability of a Participant), then the following provisions shall apply:</w:t>
      </w:r>
    </w:p>
    <w:p>
      <w:pPr>
        <w:ind w:left="1912" w:hanging="635"/>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7"/>
          <w:szCs w:val="17"/>
          <w:color w:val="auto"/>
        </w:rPr>
        <w:t>The date on which employment was terminated under applicable labor laws, or, in the case an Employee is not an employee under applicable labor laws the date in which such Employee ceases to be an Employee as defined in the Plan, shall be deemed the date in which such Employee’s employment was terminated (</w:t>
      </w:r>
      <w:r>
        <w:rPr>
          <w:rFonts w:ascii="Arial" w:cs="Arial" w:eastAsia="Arial" w:hAnsi="Arial"/>
          <w:sz w:val="17"/>
          <w:szCs w:val="17"/>
          <w:b w:val="1"/>
          <w:bCs w:val="1"/>
          <w:color w:val="auto"/>
        </w:rPr>
        <w:t>“Employment Termination Date”</w:t>
      </w:r>
      <w:r>
        <w:rPr>
          <w:rFonts w:ascii="Arial" w:cs="Arial" w:eastAsia="Arial" w:hAnsi="Arial"/>
          <w:sz w:val="17"/>
          <w:szCs w:val="17"/>
          <w:color w:val="auto"/>
        </w:rPr>
        <w:t>).</w:t>
      </w:r>
    </w:p>
    <w:p>
      <w:pPr>
        <w:ind w:left="1272"/>
        <w:spacing w:after="0"/>
        <w:rPr>
          <w:rFonts w:ascii="Arial" w:cs="Arial" w:eastAsia="Arial" w:hAnsi="Arial"/>
          <w:sz w:val="18"/>
          <w:szCs w:val="18"/>
          <w:b w:val="1"/>
          <w:bCs w:val="1"/>
          <w:color w:val="auto"/>
        </w:rPr>
      </w:pPr>
      <w:r>
        <w:rPr>
          <w:rFonts w:ascii="Arial" w:cs="Arial" w:eastAsia="Arial" w:hAnsi="Arial"/>
          <w:sz w:val="18"/>
          <w:szCs w:val="18"/>
          <w:color w:val="auto"/>
        </w:rPr>
        <w:t>7.2.</w:t>
      </w:r>
      <w:r>
        <w:rPr>
          <w:rFonts w:ascii="Arial" w:cs="Arial" w:eastAsia="Arial" w:hAnsi="Arial"/>
          <w:sz w:val="16"/>
          <w:szCs w:val="16"/>
          <w:color w:val="auto"/>
        </w:rPr>
        <w:t>On the Employment Termination Date all Options that are not vested shall immediately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434340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233"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68" w:lineRule="exact"/>
        <w:rPr>
          <w:sz w:val="20"/>
          <w:szCs w:val="20"/>
          <w:color w:val="auto"/>
        </w:rPr>
      </w:pPr>
    </w:p>
    <w:p>
      <w:pPr>
        <w:jc w:val="both"/>
        <w:ind w:left="1920" w:hanging="634"/>
        <w:spacing w:after="0" w:line="254" w:lineRule="auto"/>
        <w:tabs>
          <w:tab w:leader="none" w:pos="19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In the event that the Participant's termination of employment is not due to the Participant's death (but does include termination due to Disability), then the Participant will be entitled to exercise all, or part of, the vested Options that have not expired, for a period of thirty (30) days after the Employment Termination Date. After such thirty days period, all unexercised Options will automatically expire.</w:t>
      </w:r>
    </w:p>
    <w:p>
      <w:pPr>
        <w:spacing w:after="0" w:line="2" w:lineRule="exact"/>
        <w:rPr>
          <w:sz w:val="20"/>
          <w:szCs w:val="20"/>
          <w:color w:val="auto"/>
        </w:rPr>
      </w:pPr>
    </w:p>
    <w:p>
      <w:pPr>
        <w:jc w:val="both"/>
        <w:ind w:left="1920"/>
        <w:spacing w:after="0" w:line="250" w:lineRule="auto"/>
        <w:rPr>
          <w:sz w:val="20"/>
          <w:szCs w:val="20"/>
          <w:color w:val="auto"/>
        </w:rPr>
      </w:pPr>
      <w:r>
        <w:rPr>
          <w:rFonts w:ascii="Arial" w:cs="Arial" w:eastAsia="Arial" w:hAnsi="Arial"/>
          <w:sz w:val="18"/>
          <w:szCs w:val="18"/>
          <w:color w:val="auto"/>
        </w:rPr>
        <w:t>For purposes of this Section 7.3, "Disability" shall mean the inability in 100%, due to illness or injury, to engage in any gainful occupation for which the individual is suited by education, training or experience, which condition continues for at least six (6) months.</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Notwithstanding the above, in the event of termination of employment due to the Participant's death or Disability, the Participant (if applicable) or Participant's estate, or other person who acquired the right to exercise the Options by way of bequest or inheritance, may, but only within six (6) months after the date of such death or the Employment Termination Date (in the case of Disability), exercise all, or part of, the vested Options that have not expired. After such six (6) months period, all unexercised options shall automatically expire.</w:t>
      </w:r>
    </w:p>
    <w:p>
      <w:pPr>
        <w:spacing w:after="0" w:line="2" w:lineRule="exact"/>
        <w:rPr>
          <w:sz w:val="20"/>
          <w:szCs w:val="20"/>
          <w:color w:val="auto"/>
        </w:rPr>
      </w:pPr>
    </w:p>
    <w:p>
      <w:pPr>
        <w:jc w:val="both"/>
        <w:ind w:left="1920" w:hanging="634"/>
        <w:spacing w:after="0" w:line="265" w:lineRule="auto"/>
        <w:tabs>
          <w:tab w:leader="none" w:pos="19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Notwithstanding Section 7.3 above, all Options granted to a certain Employee (whether vested or unvested) will immediately expire if the termination of the Participant’s employment is due to Participant’s breach of his/her employment agreement (whether written or oral) including without limitation, a breach of non compete obligations, or breach of his/her fiduciary duties towards the Company or a Related Entity as determined by the Committee or the Board, in their sole discretion, or in the case that competent court or other authority resolves that such employee is not entitled to discharge compensation.</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For the purposes of this Plan, the Committee or Board is authorized to determine if and when a Participant terminated his/her employment with the Company, and due to what reason, subject to the provisions of Israeli labor laws with respect to Israeli employees.</w:t>
      </w:r>
    </w:p>
    <w:p>
      <w:pPr>
        <w:spacing w:after="0" w:line="1" w:lineRule="exact"/>
        <w:rPr>
          <w:sz w:val="20"/>
          <w:szCs w:val="20"/>
          <w:color w:val="auto"/>
        </w:rPr>
      </w:pPr>
    </w:p>
    <w:p>
      <w:pPr>
        <w:jc w:val="both"/>
        <w:ind w:left="1920" w:hanging="634"/>
        <w:spacing w:after="0" w:line="261" w:lineRule="auto"/>
        <w:tabs>
          <w:tab w:leader="none" w:pos="19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Committee or the Board shall be entitled, prospectively and retroactively, to extend the periods in which Options (either vested or unvested) do not expire and remain exercisable after the Employment Termination Date.</w:t>
      </w:r>
    </w:p>
    <w:p>
      <w:pPr>
        <w:spacing w:after="0" w:line="180"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ENGAGEMENT WITH THE GROUP</w:t>
      </w:r>
    </w:p>
    <w:p>
      <w:pPr>
        <w:spacing w:after="0" w:line="27" w:lineRule="exact"/>
        <w:rPr>
          <w:rFonts w:ascii="Arial" w:cs="Arial" w:eastAsia="Arial" w:hAnsi="Arial"/>
          <w:sz w:val="18"/>
          <w:szCs w:val="18"/>
          <w:b w:val="1"/>
          <w:bCs w:val="1"/>
          <w:color w:val="auto"/>
        </w:rPr>
      </w:pPr>
    </w:p>
    <w:p>
      <w:pPr>
        <w:jc w:val="both"/>
        <w:ind w:left="6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In the event that a Participant is not an Employee, and the agreement of such Participant with the Group is terminated, then, unless otherwise specified in the Option Grant Letter Agreement, or otherwise determined by the Committee, on the date of such termination, all Options that have not vested by then shall expire and the vested options shall remain exercisable as specified in sections 7.3, 7.4 or 7.5, as the case may be, which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such Participant (where if such Participant has more than one agreement with the Group, then the foregoing shall apply to the Options underlying the terminated agreement or issued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5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Merger, Sale of the Company or Sale of the Company’s Assets.</w:t>
      </w:r>
    </w:p>
    <w:p>
      <w:pPr>
        <w:spacing w:after="0" w:line="23" w:lineRule="exact"/>
        <w:rPr>
          <w:sz w:val="20"/>
          <w:szCs w:val="20"/>
          <w:color w:val="auto"/>
        </w:rPr>
      </w:pPr>
    </w:p>
    <w:p>
      <w:pPr>
        <w:jc w:val="both"/>
        <w:ind w:left="1280" w:right="20"/>
        <w:spacing w:after="0" w:line="281" w:lineRule="auto"/>
        <w:rPr>
          <w:sz w:val="20"/>
          <w:szCs w:val="20"/>
          <w:color w:val="auto"/>
        </w:rPr>
      </w:pPr>
      <w:r>
        <w:rPr>
          <w:rFonts w:ascii="Arial" w:cs="Arial" w:eastAsia="Arial" w:hAnsi="Arial"/>
          <w:sz w:val="16"/>
          <w:szCs w:val="16"/>
          <w:color w:val="auto"/>
        </w:rPr>
        <w:t>In the event of a merger of the Company into another corporation, in a way that the Company shall no longer continue to exist as a legal entity subsequent to such merger, the sale of all, or substantially all of the Company’s issued and outstanding shares to a third party or the sale of all, or substantially all of the assets of the Company (each of them, a “</w:t>
      </w:r>
      <w:r>
        <w:rPr>
          <w:rFonts w:ascii="Arial" w:cs="Arial" w:eastAsia="Arial" w:hAnsi="Arial"/>
          <w:sz w:val="16"/>
          <w:szCs w:val="16"/>
          <w:b w:val="1"/>
          <w:bCs w:val="1"/>
          <w:color w:val="auto"/>
        </w:rPr>
        <w:t>Transaction</w:t>
      </w:r>
      <w:r>
        <w:rPr>
          <w:rFonts w:ascii="Arial" w:cs="Arial" w:eastAsia="Arial" w:hAnsi="Arial"/>
          <w:sz w:val="16"/>
          <w:szCs w:val="16"/>
          <w:color w:val="auto"/>
        </w:rPr>
        <w:t>”), then the following provisions shall apply:</w:t>
      </w:r>
    </w:p>
    <w:p>
      <w:pPr>
        <w:spacing w:after="0" w:line="2" w:lineRule="exact"/>
        <w:rPr>
          <w:sz w:val="20"/>
          <w:szCs w:val="20"/>
          <w:color w:val="auto"/>
        </w:rPr>
      </w:pPr>
    </w:p>
    <w:p>
      <w:pPr>
        <w:jc w:val="both"/>
        <w:ind w:left="1920" w:right="20" w:hanging="634"/>
        <w:spacing w:after="0" w:line="250" w:lineRule="auto"/>
        <w:tabs>
          <w:tab w:leader="none" w:pos="1900" w:val="left"/>
        </w:tabs>
        <w:rPr>
          <w:sz w:val="20"/>
          <w:szCs w:val="20"/>
          <w:color w:val="auto"/>
        </w:rPr>
      </w:pPr>
      <w:r>
        <w:rPr>
          <w:rFonts w:ascii="Arial" w:cs="Arial" w:eastAsia="Arial" w:hAnsi="Arial"/>
          <w:sz w:val="18"/>
          <w:szCs w:val="18"/>
          <w:color w:val="auto"/>
        </w:rPr>
        <w:t>9.1.1.</w:t>
        <w:tab/>
        <w:t>Each outstanding Option shall be assumed by, or an equivalent option shall be substituted by the successor corporation or a parent or subsidiary of the successor corporation.</w:t>
      </w:r>
    </w:p>
    <w:p>
      <w:pPr>
        <w:spacing w:after="0" w:line="1" w:lineRule="exact"/>
        <w:rPr>
          <w:sz w:val="20"/>
          <w:szCs w:val="20"/>
          <w:color w:val="auto"/>
        </w:rPr>
      </w:pPr>
    </w:p>
    <w:p>
      <w:pPr>
        <w:jc w:val="both"/>
        <w:ind w:left="1920" w:hanging="634"/>
        <w:spacing w:after="0" w:line="265" w:lineRule="auto"/>
        <w:tabs>
          <w:tab w:leader="none" w:pos="190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In the event that the successor corporation does not agree to assume the Options or to substitute them with equivalent options, the Committee may in lieu of such assumption or substitution, provide for the Participant to have the right to exercise the Options as to all, or part of the Shares, including certain Shares as to which it would not otherwise be exercisable.</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9.1.3.</w:t>
        <w:tab/>
        <w:t>In addition to Section 9.1.2 above, and if Section 9.1.1 does not apply, the Committee may notify the Participants that all Options that are exercisable shall remain so for a period of no less then seven (7) days from the date of such notice, and that all Options will terminate upon the expiration of such period. In any case, the Committee may condition the termination of all said Options upon consummation of the Transaction.</w:t>
      </w:r>
    </w:p>
    <w:p>
      <w:pPr>
        <w:spacing w:after="0" w:line="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color w:val="auto"/>
        </w:rPr>
        <w:t>Bonus Shares</w:t>
      </w:r>
    </w:p>
    <w:p>
      <w:pPr>
        <w:spacing w:after="0" w:line="9" w:lineRule="exact"/>
        <w:rPr>
          <w:sz w:val="20"/>
          <w:szCs w:val="20"/>
          <w:color w:val="auto"/>
        </w:rPr>
      </w:pPr>
    </w:p>
    <w:p>
      <w:pPr>
        <w:jc w:val="both"/>
        <w:ind w:left="1280"/>
        <w:spacing w:after="0" w:line="265" w:lineRule="auto"/>
        <w:rPr>
          <w:sz w:val="20"/>
          <w:szCs w:val="20"/>
          <w:color w:val="auto"/>
        </w:rPr>
      </w:pPr>
      <w:r>
        <w:rPr>
          <w:rFonts w:ascii="Arial" w:cs="Arial" w:eastAsia="Arial" w:hAnsi="Arial"/>
          <w:sz w:val="17"/>
          <w:szCs w:val="17"/>
          <w:color w:val="auto"/>
        </w:rPr>
        <w:t>In the event that the Company issues any of its shares as bonus shares to all its shareholders, on a pro rata basis, then the number of Shares received upon exercise of certain Options shall be increased to the number of Shares the Participant would have held after the issuance of the bonus shares had such Participant exercised such Options immediately before the issuance of the bonus shares.</w:t>
      </w:r>
    </w:p>
    <w:p>
      <w:pPr>
        <w:spacing w:after="0" w:line="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Reorganization; Separation</w:t>
      </w:r>
    </w:p>
    <w:p>
      <w:pPr>
        <w:spacing w:after="0" w:line="9" w:lineRule="exact"/>
        <w:rPr>
          <w:sz w:val="20"/>
          <w:szCs w:val="20"/>
          <w:color w:val="auto"/>
        </w:rPr>
      </w:pPr>
    </w:p>
    <w:p>
      <w:pPr>
        <w:jc w:val="both"/>
        <w:ind w:left="1280"/>
        <w:spacing w:after="0" w:line="295" w:lineRule="auto"/>
        <w:rPr>
          <w:sz w:val="20"/>
          <w:szCs w:val="20"/>
          <w:color w:val="auto"/>
        </w:rPr>
      </w:pPr>
      <w:r>
        <w:rPr>
          <w:rFonts w:ascii="Arial" w:cs="Arial" w:eastAsia="Arial" w:hAnsi="Arial"/>
          <w:sz w:val="16"/>
          <w:szCs w:val="16"/>
          <w:color w:val="auto"/>
        </w:rPr>
        <w:t>If the Company is separated, reorganized, or consolidated with another corporation (other than as part of a Transaction) while Options which were not yet exercised remain outstanding under this Plan, the Company shall use reasonable efforts to maintain the rights of each Participant through such separations, reorganizations or consolidations, or compensate the Participant for such event in lieu of the Options such Participant holds. The Committee, at its sole discretion, shall determine what steps shall be taken according to this section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Changes in Capitalization</w:t>
      </w:r>
    </w:p>
    <w:p>
      <w:pPr>
        <w:spacing w:after="0" w:line="23" w:lineRule="exact"/>
        <w:rPr>
          <w:sz w:val="20"/>
          <w:szCs w:val="20"/>
          <w:color w:val="auto"/>
        </w:rPr>
      </w:pPr>
    </w:p>
    <w:p>
      <w:pPr>
        <w:jc w:val="both"/>
        <w:ind w:left="1280"/>
        <w:spacing w:after="0" w:line="281" w:lineRule="auto"/>
        <w:rPr>
          <w:sz w:val="20"/>
          <w:szCs w:val="20"/>
          <w:color w:val="auto"/>
        </w:rPr>
      </w:pPr>
      <w:r>
        <w:rPr>
          <w:rFonts w:ascii="Arial" w:cs="Arial" w:eastAsia="Arial" w:hAnsi="Arial"/>
          <w:sz w:val="16"/>
          <w:szCs w:val="16"/>
          <w:color w:val="auto"/>
        </w:rPr>
        <w:t>If the outstanding shares of the Company shall at anytime be changed or exchanged by declaration of a share split, reverse share split, combination or reclassification of Ordinary Shares, or any other increase or decrease in the number Company’s Ordinary Shares effected without receipt of consideration by the Company from the shareholders, then the number, class and kind of Shares subject to this Plan or subject to any Options therefore granted, and the Exercise Prices of the Options, shall be appropriately and equitably adjusted so as to maintain the proportionate number of Shares without changing the aggregate Exercise Prices of the Options (except in case the Exercise Price is equal to the par value of the shares, in which case the Exercise Price will be increased respectively). However no adjustment shall be made by reason of the distribution of subscription rights on outstanding shares, or conversion of securities into shares of the Company.</w:t>
      </w:r>
    </w:p>
    <w:p>
      <w:pPr>
        <w:spacing w:after="0" w:line="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Other terms and conditions</w:t>
      </w:r>
    </w:p>
    <w:p>
      <w:pPr>
        <w:spacing w:after="0" w:line="9" w:lineRule="exact"/>
        <w:rPr>
          <w:sz w:val="20"/>
          <w:szCs w:val="20"/>
          <w:color w:val="auto"/>
        </w:rPr>
      </w:pPr>
    </w:p>
    <w:p>
      <w:pPr>
        <w:jc w:val="both"/>
        <w:ind w:left="1920" w:hanging="634"/>
        <w:spacing w:after="0" w:line="281" w:lineRule="auto"/>
        <w:tabs>
          <w:tab w:leader="none" w:pos="190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6"/>
          <w:szCs w:val="16"/>
          <w:color w:val="auto"/>
        </w:rPr>
        <w:t>The allocation of each Option Grant hereunder is subject to the relevant Participant’s agreement to sign any document he/she is required to sign pursuant to the provisions of this section 9. If a Participant refuses to sign any such documents, the Committee or Board may determine that the Options held by the Participant or by a trustee for such Participant’s benefit shall immediately expire.</w:t>
      </w:r>
    </w:p>
    <w:p>
      <w:pPr>
        <w:spacing w:after="0" w:line="2"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9.5.2.</w:t>
        <w:tab/>
        <w:t>Such adjustments as mentioned in this Section 9 shall be made by the Committee, whose determination in such respect shall be final, binding and conclusive.</w:t>
      </w:r>
    </w:p>
    <w:p>
      <w:pPr>
        <w:spacing w:after="0" w:line="1" w:lineRule="exact"/>
        <w:rPr>
          <w:sz w:val="20"/>
          <w:szCs w:val="20"/>
          <w:color w:val="auto"/>
        </w:rPr>
      </w:pPr>
    </w:p>
    <w:p>
      <w:pPr>
        <w:jc w:val="both"/>
        <w:ind w:left="1920" w:hanging="634"/>
        <w:spacing w:after="0" w:line="252" w:lineRule="auto"/>
        <w:tabs>
          <w:tab w:leader="none" w:pos="1900" w:val="left"/>
        </w:tabs>
        <w:rPr>
          <w:sz w:val="20"/>
          <w:szCs w:val="20"/>
          <w:color w:val="auto"/>
        </w:rPr>
      </w:pPr>
      <w:r>
        <w:rPr>
          <w:rFonts w:ascii="Arial" w:cs="Arial" w:eastAsia="Arial" w:hAnsi="Arial"/>
          <w:sz w:val="18"/>
          <w:szCs w:val="18"/>
          <w:color w:val="auto"/>
        </w:rPr>
        <w:t>9.5.3.</w:t>
        <w:tab/>
        <w:t>Anything herein to the contrary notwithstanding, if prior to an IPO, there is a bona fide offer to purchase all or substantially all of the issued and outstanding shares of the Company, or upon a reorganization separation or the like, all or substantially all of the shares of the Company are to be exchanged for securities of another company, then each Participant shall be obliged to sell or exchange (in accordance with the value of such Participant’s Options and Shares pursuant to the terms of such transaction) as the case may be, any Shares such Participant purchases hereunder, in accordance with the instructions issued by the Board in connection with such transaction, which will be given according to a policy of the Board concerning all of the Participants under the Plan.</w:t>
      </w:r>
    </w:p>
    <w:p>
      <w:pPr>
        <w:spacing w:after="0" w:line="189" w:lineRule="exact"/>
        <w:rPr>
          <w:sz w:val="20"/>
          <w:szCs w:val="20"/>
          <w:color w:val="auto"/>
        </w:rPr>
      </w:pPr>
    </w:p>
    <w:p>
      <w:pPr>
        <w:ind w:left="640" w:hanging="632"/>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AND SALE OF OPTIONS</w:t>
      </w:r>
    </w:p>
    <w:p>
      <w:pPr>
        <w:spacing w:after="0" w:line="256"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No Option shall be assignable, transferable, given as collateral, hypothecated pledged or encumbered and no right with respect to the Options shall be given to any third party whatsoever, and during the lifetime of each Participant, each and all of such Participant’s rights to purchase Shares hereunder shall be exercisable only by such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TERM AND EXERCISE OF OPTIONS</w:t>
      </w:r>
    </w:p>
    <w:p>
      <w:pPr>
        <w:spacing w:after="0" w:line="256" w:lineRule="exact"/>
        <w:rPr>
          <w:sz w:val="20"/>
          <w:szCs w:val="20"/>
          <w:color w:val="auto"/>
        </w:rPr>
      </w:pPr>
    </w:p>
    <w:p>
      <w:pPr>
        <w:jc w:val="both"/>
        <w:ind w:left="1920" w:hanging="634"/>
        <w:spacing w:after="0" w:line="291" w:lineRule="auto"/>
        <w:tabs>
          <w:tab w:leader="none" w:pos="19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 xml:space="preserve">Options shall be exercised by a Participant by giving written notice to the Company, in the form substantially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b w:val="1"/>
          <w:bCs w:val="1"/>
          <w:color w:val="auto"/>
        </w:rPr>
        <w:t xml:space="preserve"> </w:t>
      </w:r>
      <w:r>
        <w:rPr>
          <w:rFonts w:ascii="Arial" w:cs="Arial" w:eastAsia="Arial" w:hAnsi="Arial"/>
          <w:sz w:val="16"/>
          <w:szCs w:val="16"/>
          <w:color w:val="auto"/>
        </w:rPr>
        <w:t>or such other form(s) and method as may be determined by the Company from time to time (the “</w:t>
      </w:r>
      <w:r>
        <w:rPr>
          <w:rFonts w:ascii="Arial" w:cs="Arial" w:eastAsia="Arial" w:hAnsi="Arial"/>
          <w:sz w:val="16"/>
          <w:szCs w:val="16"/>
          <w:b w:val="1"/>
          <w:bCs w:val="1"/>
          <w:color w:val="auto"/>
        </w:rPr>
        <w:t>Exercise Notice</w:t>
      </w:r>
      <w:r>
        <w:rPr>
          <w:rFonts w:ascii="Arial" w:cs="Arial" w:eastAsia="Arial" w:hAnsi="Arial"/>
          <w:sz w:val="16"/>
          <w:szCs w:val="16"/>
          <w:color w:val="auto"/>
        </w:rPr>
        <w:t>”).</w:t>
      </w: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11.2.</w:t>
        <w:tab/>
        <w:t>The Exercise Price shall be payable upon the exercise of the Option in cash or by check, or other form satisfactory to the Committee.</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11.3.</w:t>
        <w:tab/>
        <w:t>The Exercise Price will be paid in NIS, or if the Exercise Price is fixed in U.S. dollars, in U.S. dollars or in accordance with the representative rate of exchange of the U.S. dollar, last published by the Bank of Israel at the time of actual payment, or as provided for by the Company.</w:t>
      </w:r>
    </w:p>
    <w:p>
      <w:pPr>
        <w:spacing w:after="0" w:line="1" w:lineRule="exact"/>
        <w:rPr>
          <w:sz w:val="20"/>
          <w:szCs w:val="20"/>
          <w:color w:val="auto"/>
        </w:rPr>
      </w:pPr>
    </w:p>
    <w:p>
      <w:pPr>
        <w:jc w:val="both"/>
        <w:ind w:left="1920" w:hanging="634"/>
        <w:spacing w:after="0" w:line="265" w:lineRule="auto"/>
        <w:tabs>
          <w:tab w:leader="none" w:pos="19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Each Participant will be entitled to exercise, upon signing the Exercise Notice and any additional documents as required by the Company, and paying the Exercise Price, all, or part of the Options that are vested at the Exercise Period.</w:t>
      </w: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11.5.</w:t>
        <w:tab/>
        <w:t>Options shall not be deemed exercised unless: (I) the Company receives duly signed Exercise Notice including all relevant details; and (II) the Company receives the Exercise Price.</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11.6.</w:t>
        <w:tab/>
        <w:t>The Options may be exercised only to purchase whole Shares, and in no case may a fraction of a Share be purchased. If any fractional Shares would be deliverable upon exercise, such fraction shall be rounded up or down, to the nearest whole number. Half of a Share will be rounded up.</w:t>
      </w:r>
    </w:p>
    <w:p>
      <w:pPr>
        <w:spacing w:after="0" w:line="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Each Option granted under this Plan shall be exercisable during the Exercise Period. Subject to adjustments, as set forth in Section</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9 above, the exercise of one Option shall entitle the Participant to hold one Share.</w:t>
      </w:r>
    </w:p>
    <w:p>
      <w:pPr>
        <w:spacing w:after="0" w:line="9" w:lineRule="exact"/>
        <w:rPr>
          <w:sz w:val="20"/>
          <w:szCs w:val="20"/>
          <w:color w:val="auto"/>
        </w:rPr>
      </w:pPr>
    </w:p>
    <w:p>
      <w:pPr>
        <w:jc w:val="both"/>
        <w:ind w:left="1920" w:hanging="634"/>
        <w:spacing w:after="0" w:line="252" w:lineRule="auto"/>
        <w:tabs>
          <w:tab w:leader="none" w:pos="1900" w:val="left"/>
        </w:tabs>
        <w:rPr>
          <w:sz w:val="20"/>
          <w:szCs w:val="20"/>
          <w:color w:val="auto"/>
        </w:rPr>
      </w:pPr>
      <w:r>
        <w:rPr>
          <w:rFonts w:ascii="Arial" w:cs="Arial" w:eastAsia="Arial" w:hAnsi="Arial"/>
          <w:sz w:val="18"/>
          <w:szCs w:val="18"/>
          <w:color w:val="auto"/>
        </w:rPr>
        <w:t>11.8.</w:t>
        <w:tab/>
        <w:t>Without derogating from any restrictions mentioned hereinabove, the exercise of the Options is being subject to the following terms, restrictions and conditions as may be in effect on the time of the exercise of the Options is requested: (i) any applicable law or regulation; (ii) any order or limitation set by any stock exchange in which the Company’s securities may be traded (e.g., blackout periods, and lock up after an IPO); and (iii) any limitation undertaken by the Company with respect of the shares of the Company, including limitations set forth by Company’s underwriters. Such period of restriction of sale or exercise shall not be counted as part of the applicable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68" w:lineRule="exact"/>
        <w:rPr>
          <w:sz w:val="20"/>
          <w:szCs w:val="20"/>
          <w:color w:val="auto"/>
        </w:rPr>
      </w:pPr>
    </w:p>
    <w:p>
      <w:pPr>
        <w:jc w:val="both"/>
        <w:ind w:left="1920" w:hanging="634"/>
        <w:spacing w:after="0" w:line="287" w:lineRule="auto"/>
        <w:tabs>
          <w:tab w:leader="none" w:pos="19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Notwithstanding the foregoing, starting as of the Employment Termination Date of a certain Participant and during the period that the vested Options are exercisable, the Company shall be entitled (subject to the provisions of applicable law) to purchase the vested Options held by such Participant by sending the Participant a purchase notice (the "</w:t>
      </w:r>
      <w:r>
        <w:rPr>
          <w:rFonts w:ascii="Arial" w:cs="Arial" w:eastAsia="Arial" w:hAnsi="Arial"/>
          <w:sz w:val="16"/>
          <w:szCs w:val="16"/>
          <w:b w:val="1"/>
          <w:bCs w:val="1"/>
          <w:color w:val="auto"/>
        </w:rPr>
        <w:t>Purchase Notice</w:t>
      </w:r>
      <w:r>
        <w:rPr>
          <w:rFonts w:ascii="Arial" w:cs="Arial" w:eastAsia="Arial" w:hAnsi="Arial"/>
          <w:sz w:val="16"/>
          <w:szCs w:val="16"/>
          <w:color w:val="auto"/>
        </w:rPr>
        <w:t>"). The purchase price of each Option shall be the Market Value of an Ordinary Share less the Exercise Price of the Option. The Market Value of an Ordinary Share shall be determined as follows: (i) in case the Company's shares are listed on a stock exchange, the Market Value shall be the average price of the Shares during 5 days prior to the Purchase Notice; or (ii) in case the Company's shares are not traded, the Market Value shall be the value determined in good faith unanimously by the Board and in the event the Board members are unable to reach an agreement with respect to the Market Value within 10 days of the Purchase Notice to the Participant, the Board will refer to an external expert. The Committee or the Board shall be entitled to establish further processes for the purchase of the Options as set forth above, provided, however, that if the Company receives the Participant’s Exercise Notice prior to the receipt of the Purchase Notice from the Company, then the Company’s right to purchase the said Options shall become null and void and the Participant may exercise the vested Options pursuant to their terms.</w:t>
      </w:r>
    </w:p>
    <w:p>
      <w:pPr>
        <w:spacing w:after="0" w:line="192" w:lineRule="exact"/>
        <w:rPr>
          <w:sz w:val="20"/>
          <w:szCs w:val="20"/>
          <w:color w:val="auto"/>
        </w:rPr>
      </w:pPr>
    </w:p>
    <w:p>
      <w:pPr>
        <w:ind w:left="640" w:hanging="632"/>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ATTACHED TO THE SHARES</w:t>
      </w:r>
    </w:p>
    <w:p>
      <w:pPr>
        <w:spacing w:after="0" w:line="256" w:lineRule="exact"/>
        <w:rPr>
          <w:sz w:val="20"/>
          <w:szCs w:val="20"/>
          <w:color w:val="auto"/>
        </w:rPr>
      </w:pPr>
    </w:p>
    <w:p>
      <w:pPr>
        <w:jc w:val="both"/>
        <w:ind w:left="1920" w:hanging="634"/>
        <w:spacing w:after="0" w:line="256" w:lineRule="auto"/>
        <w:tabs>
          <w:tab w:leader="none" w:pos="1900" w:val="left"/>
        </w:tabs>
        <w:rPr>
          <w:sz w:val="20"/>
          <w:szCs w:val="20"/>
          <w:color w:val="auto"/>
        </w:rPr>
      </w:pPr>
      <w:r>
        <w:rPr>
          <w:rFonts w:ascii="Arial" w:cs="Arial" w:eastAsia="Arial" w:hAnsi="Arial"/>
          <w:sz w:val="18"/>
          <w:szCs w:val="18"/>
          <w:color w:val="auto"/>
        </w:rPr>
        <w:t>12.1.</w:t>
        <w:tab/>
        <w:t>No Participant shall have any of the rights or privileges of a shareholder of the Company with respect to any of the Shares, unless and until, following exercise, the registration of the Participant as holder of such Shares in the Company’s register of members is duly completed.</w:t>
      </w:r>
    </w:p>
    <w:p>
      <w:pPr>
        <w:jc w:val="both"/>
        <w:ind w:left="1920" w:right="20" w:hanging="634"/>
        <w:spacing w:after="0" w:line="250" w:lineRule="auto"/>
        <w:tabs>
          <w:tab w:leader="none" w:pos="1900" w:val="left"/>
        </w:tabs>
        <w:rPr>
          <w:sz w:val="20"/>
          <w:szCs w:val="20"/>
          <w:color w:val="auto"/>
        </w:rPr>
      </w:pPr>
      <w:r>
        <w:rPr>
          <w:rFonts w:ascii="Arial" w:cs="Arial" w:eastAsia="Arial" w:hAnsi="Arial"/>
          <w:sz w:val="18"/>
          <w:szCs w:val="18"/>
          <w:color w:val="auto"/>
        </w:rPr>
        <w:t>12.2.</w:t>
        <w:tab/>
        <w:t>The rights and obligations attached to the Shares will be as set forth in the Articles. The Shares may be subject to rights of first refusal, co-sale rights and other rights specified in the Articles.</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12.3.</w:t>
        <w:tab/>
        <w:t>The Participant waives any of the following rights to the extent such rights are attached to the Shares: (i) pre-emptive rights in relation to issuance of new securities in the Company; (ii) rights of first refusal in relation with any sale of shares of the Company; (iii) co-sale rights in relation with any sale of shares of the Company.</w:t>
      </w:r>
    </w:p>
    <w:p>
      <w:pPr>
        <w:spacing w:after="0" w:line="1" w:lineRule="exact"/>
        <w:rPr>
          <w:sz w:val="20"/>
          <w:szCs w:val="20"/>
          <w:color w:val="auto"/>
        </w:rPr>
      </w:pPr>
    </w:p>
    <w:p>
      <w:pPr>
        <w:jc w:val="both"/>
        <w:ind w:left="1920" w:hanging="634"/>
        <w:spacing w:after="0" w:line="255" w:lineRule="auto"/>
        <w:tabs>
          <w:tab w:leader="none" w:pos="1900" w:val="left"/>
        </w:tabs>
        <w:rPr>
          <w:sz w:val="20"/>
          <w:szCs w:val="20"/>
          <w:color w:val="auto"/>
        </w:rPr>
      </w:pPr>
      <w:r>
        <w:rPr>
          <w:rFonts w:ascii="Arial" w:cs="Arial" w:eastAsia="Arial" w:hAnsi="Arial"/>
          <w:sz w:val="18"/>
          <w:szCs w:val="18"/>
          <w:color w:val="auto"/>
        </w:rPr>
        <w:t>12.4.</w:t>
        <w:tab/>
        <w:t xml:space="preserve">Unless provided otherwise by the Committee, until an IPO, all voting rights, and rights to receive information from the Company with respect to the Shares shall be granted to the Board or as determined by the Board, in accordance with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68" w:lineRule="exact"/>
        <w:rPr>
          <w:sz w:val="20"/>
          <w:szCs w:val="20"/>
          <w:color w:val="auto"/>
        </w:rPr>
      </w:pPr>
    </w:p>
    <w:p>
      <w:pPr>
        <w:jc w:val="both"/>
        <w:ind w:left="1920" w:hanging="634"/>
        <w:spacing w:after="0" w:line="285" w:lineRule="auto"/>
        <w:tabs>
          <w:tab w:leader="none" w:pos="19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Without derogating from any restrictions mentioned hereinabove, by accepting an Option Grant, each Participant agrees that the sale or disposal of Shares is subject to the following terms, restrictions and conditions as may be in effect on the time when such sale or disposal is requested: (i) any applicable law or regulation; (ii) any order or limitation set by any stock exchange in which the Company’s securities may be traded (e.g., blackout periods, and lock up after an IPO); and (iii) any limitation undertaken by the Company with respect of the shares of the Company, including limitations set forth by Company’s underwriters.</w:t>
      </w:r>
    </w:p>
    <w:p>
      <w:pPr>
        <w:spacing w:after="0" w:line="2"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12.6.</w:t>
        <w:tab/>
        <w:t>Until an IPO the Company shall have the authority to endorse upon the certificate or certificates representing the Shares such legends referring to the foregoing restrictions, and any other applicable restrictions, as it may deem appropriate (and which do not violate the Participant's rights according to this Agreement).</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12.7.</w:t>
        <w:tab/>
        <w:t>By accepting an Option Grant, each Participant agrees that in the case of an IPO or after registering the Company’s securities for trading, to sign any document and approve any resolution or restriction upon the Shares, or modify the terms of allocation of the Shares, if such Participants signature or approval or such restriction or modification were reasonably required, in the Committee’s discretion, in order to facilitate the Company in meeting all the underwriters and stock exchange demands and all applicable securities and corporate laws and regulations.</w:t>
      </w:r>
    </w:p>
    <w:p>
      <w:pPr>
        <w:spacing w:after="0" w:line="2"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12.8.</w:t>
        <w:tab/>
        <w:t>The Participant shall not sell, pledge, transfer or otherwise dispose of any Shares in transactions which violate, according to the Company’s sole discretion, any applicable laws, rules and regulations, or the Articles.</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12.9.</w:t>
        <w:tab/>
        <w:t>No transfer of Shares shall be effective if the Committee determines that the transferee is a competitor of the Company (either directly or indirectly).</w:t>
      </w:r>
    </w:p>
    <w:p>
      <w:pPr>
        <w:spacing w:after="0" w:line="1"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7"/>
          <w:szCs w:val="17"/>
          <w:color w:val="auto"/>
        </w:rPr>
        <w:t>Notwithstanding anything to the contrary in this Section 12, as long as Shares are held by a trustee for the benefit of a Participant (if applicable) the Shares shall not be sold, pledged, transferred or otherwise disposed of, by the Participant until an IPO, or until such time or event as determined by the Committee, either individually or with respect to all Participants.</w:t>
      </w:r>
    </w:p>
    <w:p>
      <w:pPr>
        <w:spacing w:after="0" w:line="169" w:lineRule="exact"/>
        <w:rPr>
          <w:sz w:val="20"/>
          <w:szCs w:val="20"/>
          <w:color w:val="auto"/>
        </w:rPr>
      </w:pPr>
    </w:p>
    <w:p>
      <w:pPr>
        <w:ind w:left="640" w:hanging="632"/>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PLAN</w:t>
      </w:r>
    </w:p>
    <w:p>
      <w:pPr>
        <w:spacing w:after="0" w:line="256"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Plan shall be effective as of January 1, 2010, which is the day it was adopted by the Board and shall terminate when all the Options are exercised into Shares or expired in accordance with the provisions of this Plan or such other date as shall be determined by the Board, which date shall be no later than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TERMINATION</w:t>
      </w:r>
    </w:p>
    <w:p>
      <w:pPr>
        <w:spacing w:after="0" w:line="256" w:lineRule="exact"/>
        <w:rPr>
          <w:sz w:val="20"/>
          <w:szCs w:val="20"/>
          <w:color w:val="auto"/>
        </w:rPr>
      </w:pPr>
    </w:p>
    <w:p>
      <w:pPr>
        <w:ind w:left="1920" w:hanging="634"/>
        <w:spacing w:after="0" w:line="274" w:lineRule="auto"/>
        <w:tabs>
          <w:tab w:leader="none" w:pos="19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The Board may, at any time and from time to time, amend, alter or terminate the Plan, provided, however, that the rights of the Participants shall not be adversely affected, unless such Participants agreed to such amendment, alteration or termination.</w:t>
      </w:r>
    </w:p>
    <w:p>
      <w:pPr>
        <w:ind w:left="1920" w:hanging="634"/>
        <w:spacing w:after="0" w:line="290" w:lineRule="auto"/>
        <w:tabs>
          <w:tab w:leader="none" w:pos="19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The Plan may be terminated at any time by an action of the Board, but any such termination will not terminate any Options granted under this Plan, which are then outstanding, without the consent of the Participant that is holding such Options.</w:t>
      </w:r>
    </w:p>
    <w:p>
      <w:pPr>
        <w:spacing w:after="0" w:line="158" w:lineRule="exact"/>
        <w:rPr>
          <w:sz w:val="20"/>
          <w:szCs w:val="20"/>
          <w:color w:val="auto"/>
        </w:rPr>
      </w:pPr>
    </w:p>
    <w:p>
      <w:pPr>
        <w:ind w:left="640" w:hanging="632"/>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25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provisions of the Plan shall be binding upon the heirs, executors, administrators, and successors of the Participants.</w:t>
      </w:r>
    </w:p>
    <w:p>
      <w:pPr>
        <w:spacing w:after="0" w:line="221" w:lineRule="exact"/>
        <w:rPr>
          <w:rFonts w:ascii="Arial" w:cs="Arial" w:eastAsia="Arial" w:hAnsi="Arial"/>
          <w:sz w:val="18"/>
          <w:szCs w:val="18"/>
          <w:b w:val="1"/>
          <w:bCs w:val="1"/>
          <w:color w:val="auto"/>
        </w:rPr>
      </w:pPr>
    </w:p>
    <w:p>
      <w:pPr>
        <w:ind w:left="640" w:hanging="632"/>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REGULATIONS AND OTHER RESTRICTIONS</w:t>
      </w:r>
    </w:p>
    <w:p>
      <w:pPr>
        <w:spacing w:after="0" w:line="256" w:lineRule="exact"/>
        <w:rPr>
          <w:sz w:val="20"/>
          <w:szCs w:val="20"/>
          <w:color w:val="auto"/>
        </w:rPr>
      </w:pPr>
    </w:p>
    <w:p>
      <w:pPr>
        <w:jc w:val="both"/>
        <w:ind w:left="1920" w:hanging="634"/>
        <w:spacing w:after="0" w:line="254" w:lineRule="auto"/>
        <w:tabs>
          <w:tab w:leader="none" w:pos="1900" w:val="left"/>
        </w:tabs>
        <w:rPr>
          <w:sz w:val="20"/>
          <w:szCs w:val="20"/>
          <w:color w:val="auto"/>
        </w:rPr>
      </w:pPr>
      <w:r>
        <w:rPr>
          <w:rFonts w:ascii="Arial" w:cs="Arial" w:eastAsia="Arial" w:hAnsi="Arial"/>
          <w:sz w:val="18"/>
          <w:szCs w:val="18"/>
          <w:color w:val="auto"/>
        </w:rPr>
        <w:t>16.1.</w:t>
        <w:tab/>
        <w:t>This Plan, the Option Grant Letter Agreements, the grant and exercise of Options hereunder, the obligation of the Company to issue the Shares, and any other act or obligation of the Company or any related individual or entity acting in connection with this Plan are all subject to the Articles, all applicable laws, rules, and regulations, whether of the State of Israel or of the United States or any other state having jurisdiction over the Company and any Participant.</w:t>
      </w:r>
    </w:p>
    <w:p>
      <w:pPr>
        <w:spacing w:after="0" w:line="2" w:lineRule="exact"/>
        <w:rPr>
          <w:sz w:val="20"/>
          <w:szCs w:val="20"/>
          <w:color w:val="auto"/>
        </w:rPr>
      </w:pPr>
    </w:p>
    <w:p>
      <w:pPr>
        <w:jc w:val="both"/>
        <w:ind w:left="1920" w:hanging="634"/>
        <w:spacing w:after="0" w:line="290" w:lineRule="auto"/>
        <w:tabs>
          <w:tab w:leader="none" w:pos="190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By accepting an Option Grant, each Participant agrees not to sell, pledge, transfer or otherwise dispose of any of the Shares such Participant may hold except in compliance with: (I) the United States Securities Act of 1933, as amended, and the rules and regulations thereunder if applicable; and (II) the Israeli Securities Law 5728 – 1968; and (III) any other applicable securities law, regulations or other rules set by any stock exchange in which the Company's securities may be traded; and to further agree that certificates evidencing any of such Shares shall bear appropriate legend to reflect such restrictions. The Company does not obligate itself to register any shares under the United States Securities Act of 1933, as amended or any other securities laws.</w:t>
      </w:r>
    </w:p>
    <w:p>
      <w:pPr>
        <w:spacing w:after="0" w:line="160"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 INDEMNIFICATION</w:t>
      </w:r>
    </w:p>
    <w:p>
      <w:pPr>
        <w:spacing w:after="0" w:line="256"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17.1.</w:t>
        <w:tab/>
        <w:t>Any tax consequences (pursuant to Israeli or any other applicable law that the relevant Participant is subject to), including tax consequences due to adjustments, made in accordance with Section 9 above, arising from the grant or exercise of any Option, the payment for Shares covered thereby, or any other event or act (of the Company or any Participant) relating to the Plan, shall be borne solely by each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68" w:lineRule="exact"/>
        <w:rPr>
          <w:sz w:val="20"/>
          <w:szCs w:val="20"/>
          <w:color w:val="auto"/>
        </w:rPr>
      </w:pPr>
    </w:p>
    <w:p>
      <w:pPr>
        <w:jc w:val="both"/>
        <w:ind w:left="1920" w:right="20" w:hanging="634"/>
        <w:spacing w:after="0" w:line="258" w:lineRule="auto"/>
        <w:tabs>
          <w:tab w:leader="none" w:pos="1900" w:val="left"/>
        </w:tabs>
        <w:rPr>
          <w:sz w:val="20"/>
          <w:szCs w:val="20"/>
          <w:color w:val="auto"/>
        </w:rPr>
      </w:pPr>
      <w:r>
        <w:rPr>
          <w:rFonts w:ascii="Arial" w:cs="Arial" w:eastAsia="Arial" w:hAnsi="Arial"/>
          <w:sz w:val="18"/>
          <w:szCs w:val="18"/>
          <w:color w:val="auto"/>
        </w:rPr>
        <w:t>17.2.</w:t>
        <w:tab/>
        <w:t>The Company and/or the Board and/or the Committee and/or a trustee for the Plan shall not be required to release any Share certificates or transfer any Shares to a Participant until all required tax payments have been fully made.</w:t>
      </w:r>
    </w:p>
    <w:p>
      <w:pPr>
        <w:spacing w:after="0" w:line="1" w:lineRule="exact"/>
        <w:rPr>
          <w:sz w:val="20"/>
          <w:szCs w:val="20"/>
          <w:color w:val="auto"/>
        </w:rPr>
      </w:pPr>
    </w:p>
    <w:p>
      <w:pPr>
        <w:jc w:val="both"/>
        <w:ind w:left="1920" w:hanging="634"/>
        <w:spacing w:after="0" w:line="281" w:lineRule="auto"/>
        <w:tabs>
          <w:tab w:leader="none" w:pos="190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The Company may withhold taxes according to the requirements under the applicable laws, rules, and regulations, including withholding taxes at source. In the case that applicable law requires so, the Company shall deduct taxes at source. Such deduction may be made from any proceeds attributed to the exercise of the Options and sale of Shares, or from any proceeds the Participant is entitled to receive from the Group or other proceeds such Participant owns and are held by the Group, including from Participant’s salary or other proceeds he/she is entitled to receive from the Company or a Related Entity. It is explicitly stated herein that each Participant who is an Employee, by accepting an Option Grant agrees to the deduction from his/her salary of any amounts that in the Company’s determination are required to be deducted under applicable law in connection with the Plan. In any such case, the Company shall be entitled to offset any amounts due to such Participant on account of such taxes.</w:t>
      </w:r>
    </w:p>
    <w:p>
      <w:pPr>
        <w:spacing w:after="0" w:line="5"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17.4.</w:t>
        <w:tab/>
        <w:t>In the case that the Company, or any other person on its behalf is required to pay taxes, that under applicable law should have been paid by the Participant, then such Participant shall immediately either pay such tax, or, if such tax was already paid, reimburse the Company, or such other person for the total amount paid.</w:t>
      </w:r>
    </w:p>
    <w:p>
      <w:pPr>
        <w:spacing w:after="0" w:line="1"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Neither the Company, nor any Related Entity nor anyone on their behalf, shall give, or be deemed to be giving any Participant, or a potential Participant, advice regarding tax consequences relating to the Plan and issuance of securities thereunder. Each Participant shall rely solely, while considering participation in the Plan, on the advice of such Participant’s consultants.</w:t>
      </w:r>
    </w:p>
    <w:p>
      <w:pPr>
        <w:spacing w:after="0" w:line="169" w:lineRule="exact"/>
        <w:rPr>
          <w:sz w:val="20"/>
          <w:szCs w:val="20"/>
          <w:color w:val="auto"/>
        </w:rPr>
      </w:pPr>
    </w:p>
    <w:p>
      <w:pPr>
        <w:ind w:left="640" w:hanging="632"/>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CONTINUANCE OF EMPLOYMENT OR ENGAGEMENT</w:t>
      </w:r>
    </w:p>
    <w:p>
      <w:pPr>
        <w:spacing w:after="0" w:line="256" w:lineRule="exact"/>
        <w:rPr>
          <w:rFonts w:ascii="Arial" w:cs="Arial" w:eastAsia="Arial" w:hAnsi="Arial"/>
          <w:sz w:val="18"/>
          <w:szCs w:val="18"/>
          <w:b w:val="1"/>
          <w:bCs w:val="1"/>
          <w:color w:val="auto"/>
        </w:rPr>
      </w:pPr>
    </w:p>
    <w:p>
      <w:pPr>
        <w:jc w:val="both"/>
        <w:ind w:left="6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Neither the Plan nor any Option Grant shall be construed to impose any obligation on any entity included in the Group to continue any Participant’s employment with it (in the case that the Participant is an Employee) or to maintain any business engagement with such Participant. Nothing in the Plan or in any Option Grant shall confer upon any Participant any right to continue to be employed by the Group or to maintain any other business engagement with it, or restrict the right of any entity included in the Group to terminate such employment or business engagement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RULES PARTICULAR TO SPECIFIC COUNTRIES</w:t>
      </w:r>
    </w:p>
    <w:p>
      <w:pPr>
        <w:spacing w:after="0" w:line="256" w:lineRule="exact"/>
        <w:rPr>
          <w:sz w:val="20"/>
          <w:szCs w:val="20"/>
          <w:color w:val="auto"/>
        </w:rPr>
      </w:pPr>
    </w:p>
    <w:p>
      <w:pPr>
        <w:jc w:val="both"/>
        <w:ind w:left="1920" w:hanging="634"/>
        <w:spacing w:after="0" w:line="256" w:lineRule="auto"/>
        <w:tabs>
          <w:tab w:leader="none" w:pos="1900" w:val="left"/>
        </w:tabs>
        <w:rPr>
          <w:sz w:val="20"/>
          <w:szCs w:val="20"/>
          <w:color w:val="auto"/>
        </w:rPr>
      </w:pPr>
      <w:r>
        <w:rPr>
          <w:rFonts w:ascii="Arial" w:cs="Arial" w:eastAsia="Arial" w:hAnsi="Arial"/>
          <w:sz w:val="18"/>
          <w:szCs w:val="18"/>
          <w:color w:val="auto"/>
        </w:rPr>
        <w:t>19.1.</w:t>
        <w:tab/>
        <w:t>Notwithstanding anything herein to the contrary, the terms and conditions of the Plan may be amended with respect to particular types of Participants as determined by the Board (for example, Israeli employees, employees that are subject to US taxation) by an addendum to the Plan (the “</w:t>
      </w:r>
      <w:r>
        <w:rPr>
          <w:rFonts w:ascii="Arial" w:cs="Arial" w:eastAsia="Arial" w:hAnsi="Arial"/>
          <w:sz w:val="18"/>
          <w:szCs w:val="18"/>
          <w:b w:val="1"/>
          <w:bCs w:val="1"/>
          <w:color w:val="auto"/>
        </w:rPr>
        <w:t>Appendix</w:t>
      </w:r>
      <w:r>
        <w:rPr>
          <w:rFonts w:ascii="Arial" w:cs="Arial" w:eastAsia="Arial" w:hAnsi="Arial"/>
          <w:sz w:val="18"/>
          <w:szCs w:val="18"/>
          <w:color w:val="auto"/>
        </w:rPr>
        <w:t>”).</w:t>
      </w: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19.2.</w:t>
        <w:tab/>
        <w:t>The Company may adopt one or more Appendixes. Each Appendix shall be approved by the Board and as required or advisable under applicable law.</w:t>
      </w:r>
    </w:p>
    <w:p>
      <w:pPr>
        <w:spacing w:after="0" w:line="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terms of an Appendix shall govern only with respect to the types of Participants specified in such Appendix.</w:t>
      </w:r>
    </w:p>
    <w:p>
      <w:pPr>
        <w:spacing w:after="0" w:line="9" w:lineRule="exact"/>
        <w:rPr>
          <w:sz w:val="20"/>
          <w:szCs w:val="20"/>
          <w:color w:val="auto"/>
        </w:rPr>
      </w:pPr>
    </w:p>
    <w:p>
      <w:pPr>
        <w:jc w:val="both"/>
        <w:ind w:left="1920" w:hanging="634"/>
        <w:spacing w:after="0" w:line="254" w:lineRule="auto"/>
        <w:tabs>
          <w:tab w:leader="none" w:pos="1900" w:val="left"/>
        </w:tabs>
        <w:rPr>
          <w:sz w:val="20"/>
          <w:szCs w:val="20"/>
          <w:color w:val="auto"/>
        </w:rPr>
      </w:pPr>
      <w:r>
        <w:rPr>
          <w:rFonts w:ascii="Arial" w:cs="Arial" w:eastAsia="Arial" w:hAnsi="Arial"/>
          <w:sz w:val="18"/>
          <w:szCs w:val="18"/>
          <w:color w:val="auto"/>
        </w:rPr>
        <w:t>19.4.</w:t>
        <w:tab/>
        <w:t>In the case that the terms and conditions set forth in an Appendix conflict with any provisions of the Plan, the provisions of the Appendix shall govern with respect to Participants that are subject to such Appendix, provided, however, that such Appendix shall not be construed to grant the Participants rights not consistent with the terms of the Plan, unless specifically provided in such Appendix.</w:t>
      </w:r>
    </w:p>
    <w:p>
      <w:pPr>
        <w:spacing w:after="0" w:line="186" w:lineRule="exact"/>
        <w:rPr>
          <w:sz w:val="20"/>
          <w:szCs w:val="20"/>
          <w:color w:val="auto"/>
        </w:rPr>
      </w:pPr>
    </w:p>
    <w:p>
      <w:pPr>
        <w:ind w:left="640" w:hanging="632"/>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PLAN</w:t>
      </w:r>
    </w:p>
    <w:p>
      <w:pPr>
        <w:spacing w:after="0" w:line="256" w:lineRule="exact"/>
        <w:rPr>
          <w:sz w:val="20"/>
          <w:szCs w:val="20"/>
          <w:color w:val="auto"/>
        </w:rPr>
      </w:pPr>
    </w:p>
    <w:p>
      <w:pPr>
        <w:jc w:val="both"/>
        <w:ind w:left="1920" w:hanging="634"/>
        <w:spacing w:after="0" w:line="254" w:lineRule="auto"/>
        <w:tabs>
          <w:tab w:leader="none" w:pos="1900" w:val="left"/>
        </w:tabs>
        <w:rPr>
          <w:sz w:val="20"/>
          <w:szCs w:val="20"/>
          <w:color w:val="auto"/>
        </w:rPr>
      </w:pPr>
      <w:r>
        <w:rPr>
          <w:rFonts w:ascii="Arial" w:cs="Arial" w:eastAsia="Arial" w:hAnsi="Arial"/>
          <w:sz w:val="18"/>
          <w:szCs w:val="18"/>
          <w:color w:val="auto"/>
        </w:rPr>
        <w:t>20.1.</w:t>
        <w:tab/>
        <w:t>The adoption of the Plan by the Board shall not be construed as amending, modifying or rescinding any previously approved incentive arrangements or as creating any limitations on the power of the Board to adopt such other incentive arrangements as it may deem desirable, including, without limitation, the granting of Options other than under this Plan, and such arrangements may be either applicable generally or only in specific cases.</w:t>
      </w:r>
    </w:p>
    <w:p>
      <w:pPr>
        <w:spacing w:after="0" w:line="2" w:lineRule="exact"/>
        <w:rPr>
          <w:sz w:val="20"/>
          <w:szCs w:val="20"/>
          <w:color w:val="auto"/>
        </w:rPr>
      </w:pPr>
    </w:p>
    <w:p>
      <w:pPr>
        <w:jc w:val="both"/>
        <w:ind w:left="1920" w:right="20" w:hanging="634"/>
        <w:spacing w:after="0" w:line="261" w:lineRule="auto"/>
        <w:tabs>
          <w:tab w:leader="none" w:pos="1900" w:val="left"/>
        </w:tabs>
        <w:rPr>
          <w:sz w:val="20"/>
          <w:szCs w:val="20"/>
          <w:color w:val="auto"/>
        </w:rPr>
      </w:pPr>
      <w:r>
        <w:rPr>
          <w:rFonts w:ascii="Arial" w:cs="Arial" w:eastAsia="Arial" w:hAnsi="Arial"/>
          <w:sz w:val="18"/>
          <w:szCs w:val="18"/>
          <w:color w:val="auto"/>
        </w:rPr>
        <w:t>20.2.</w:t>
        <w:tab/>
        <w:t>The grant of Options hereunder shall neither entitle the recipient thereof to participate, nor disqualify him from participating in, any other grant of Options pursuant to this Plan or any other option or stock plan of the Company.</w:t>
      </w:r>
    </w:p>
    <w:p>
      <w:pPr>
        <w:spacing w:after="0" w:line="180" w:lineRule="exact"/>
        <w:rPr>
          <w:sz w:val="20"/>
          <w:szCs w:val="20"/>
          <w:color w:val="auto"/>
        </w:rPr>
      </w:pPr>
    </w:p>
    <w:p>
      <w:pPr>
        <w:ind w:left="640" w:hanging="632"/>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MULTIPLE AGREEMENTS; OTHER CORPORATE ACTIONS</w:t>
      </w:r>
    </w:p>
    <w:p>
      <w:pPr>
        <w:spacing w:after="0" w:line="256"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21.1.</w:t>
        <w:tab/>
        <w:t>The terms of each Option Grant may differ from other Options Grants granted under the Plan at the same time, or at any other time. The Board may also grant more than one Option Grant to a certain Participant during the term of this Plan, either in addition to, or in substitution for, one or more Option Grants previously granted to such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68"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21.2.</w:t>
        <w:tab/>
        <w:t>Under no circumstances shall the Plan be construed to grant any right to a Participant, or any other third party, to postpone, delay or affect any corporate action resolved by the Company.</w:t>
      </w:r>
    </w:p>
    <w:p>
      <w:pPr>
        <w:spacing w:after="0" w:line="166" w:lineRule="exact"/>
        <w:rPr>
          <w:sz w:val="20"/>
          <w:szCs w:val="20"/>
          <w:color w:val="auto"/>
        </w:rPr>
      </w:pPr>
    </w:p>
    <w:p>
      <w:pPr>
        <w:ind w:left="640" w:hanging="632"/>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&amp; JURISDICTION</w:t>
      </w:r>
    </w:p>
    <w:p>
      <w:pPr>
        <w:spacing w:after="0" w:line="27" w:lineRule="exact"/>
        <w:rPr>
          <w:rFonts w:ascii="Arial" w:cs="Arial" w:eastAsia="Arial" w:hAnsi="Arial"/>
          <w:sz w:val="18"/>
          <w:szCs w:val="18"/>
          <w:b w:val="1"/>
          <w:bCs w:val="1"/>
          <w:color w:val="auto"/>
        </w:rPr>
      </w:pPr>
    </w:p>
    <w:p>
      <w:pPr>
        <w:jc w:val="both"/>
        <w:ind w:lef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This Plan shall be governed by, construed and enforced in accordance with the laws of the State of Israel, without giving effect to the principles of conflict of laws. Any dispute or claim shall be put to the Board’s resolution. Subject to the above, the competent courts of Tel-Aviv, Israel shall have sole jurisdiction in any matter pertaining to this Plan, and any other issue related to it.</w:t>
      </w:r>
    </w:p>
    <w:p>
      <w:pPr>
        <w:spacing w:after="0" w:line="186" w:lineRule="exact"/>
        <w:rPr>
          <w:rFonts w:ascii="Arial" w:cs="Arial" w:eastAsia="Arial" w:hAnsi="Arial"/>
          <w:sz w:val="18"/>
          <w:szCs w:val="18"/>
          <w:b w:val="1"/>
          <w:bCs w:val="1"/>
          <w:color w:val="auto"/>
        </w:rPr>
      </w:pPr>
    </w:p>
    <w:p>
      <w:pPr>
        <w:ind w:left="640" w:hanging="632"/>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p>
    <w:p>
      <w:pPr>
        <w:spacing w:after="0" w:line="27" w:lineRule="exact"/>
        <w:rPr>
          <w:rFonts w:ascii="Arial" w:cs="Arial" w:eastAsia="Arial" w:hAnsi="Arial"/>
          <w:sz w:val="18"/>
          <w:szCs w:val="18"/>
          <w:b w:val="1"/>
          <w:bCs w:val="1"/>
          <w:color w:val="auto"/>
        </w:rPr>
      </w:pPr>
    </w:p>
    <w:p>
      <w:pPr>
        <w:ind w:left="6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failure of the Company or any other party acting on its behalf or assisting it in implementing the Plan to enforce at any time any provisions of the Plan shall not be construed to constitute a waiver of such provision or of any other provision hereof.</w:t>
      </w:r>
    </w:p>
    <w:p>
      <w:pPr>
        <w:spacing w:after="0" w:line="179" w:lineRule="exact"/>
        <w:rPr>
          <w:rFonts w:ascii="Arial" w:cs="Arial" w:eastAsia="Arial" w:hAnsi="Arial"/>
          <w:sz w:val="18"/>
          <w:szCs w:val="18"/>
          <w:b w:val="1"/>
          <w:bCs w:val="1"/>
          <w:color w:val="auto"/>
        </w:rPr>
      </w:pPr>
    </w:p>
    <w:p>
      <w:pPr>
        <w:ind w:left="640" w:hanging="632"/>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7" w:lineRule="exact"/>
        <w:rPr>
          <w:sz w:val="20"/>
          <w:szCs w:val="20"/>
          <w:color w:val="auto"/>
        </w:rPr>
      </w:pPr>
    </w:p>
    <w:p>
      <w:pPr>
        <w:jc w:val="both"/>
        <w:ind w:left="1920" w:hanging="634"/>
        <w:spacing w:after="0" w:line="265" w:lineRule="auto"/>
        <w:tabs>
          <w:tab w:leader="none" w:pos="1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Any notice, request, demand or other communication required or permitted under the Plan shall be in writing and shall be deemed to have been duly given, made and received only by personal delivery or if sent by certified mail, postage prepaid, return receipt requested, overnight delivery service, facsimile transmission (with confirmation of delivery), or confirmed e-mail to the address of the Company (if sent to the Company), or to the address of the Participant as such was provided by him in the Option Grant Letter Agreement, unless such address is changed by written notice received by the Company.</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24.2.</w:t>
        <w:tab/>
        <w:t>Except as otherwise set forth herein, any notice sent by mail shall be deemed to be given six days after deposit with the relevant post service; any notice sent by overnight delivery service shall be deemed given the first business day after deposited with the delivery service; and any notice sent by facsimile transmission or e-mail, shall be deemed given when transmitted if sent during normal business hours or if not, on the next business day; and any notice given by personal delivery shall be deemed given on the date of delivery.</w:t>
      </w:r>
    </w:p>
    <w:p>
      <w:pPr>
        <w:spacing w:after="0" w:line="2" w:lineRule="exact"/>
        <w:rPr>
          <w:sz w:val="20"/>
          <w:szCs w:val="20"/>
          <w:color w:val="auto"/>
        </w:rPr>
      </w:pPr>
    </w:p>
    <w:p>
      <w:pPr>
        <w:jc w:val="both"/>
        <w:ind w:left="1920" w:hanging="634"/>
        <w:spacing w:after="0" w:line="254" w:lineRule="auto"/>
        <w:tabs>
          <w:tab w:leader="none" w:pos="1900" w:val="left"/>
        </w:tabs>
        <w:rPr>
          <w:sz w:val="20"/>
          <w:szCs w:val="20"/>
          <w:color w:val="auto"/>
        </w:rPr>
      </w:pPr>
      <w:r>
        <w:rPr>
          <w:rFonts w:ascii="Arial" w:cs="Arial" w:eastAsia="Arial" w:hAnsi="Arial"/>
          <w:sz w:val="18"/>
          <w:szCs w:val="18"/>
          <w:color w:val="auto"/>
        </w:rPr>
        <w:t>24.3.</w:t>
        <w:tab/>
        <w:t>In the case a certain Participant changes his or her contact details, in a way that the contact details provided to the Company by him do not enable the Company to provide notices and other communications to such Participant, then such Participant shall be deemed to have waived his or her right to receive any notices, and the Committee shall have the right, in its sole discretion, to take any appropriate action under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6" w:name="page137"/>
    <w:bookmarkEnd w:id="136"/>
    <w:p>
      <w:pPr>
        <w:jc w:val="right"/>
        <w:ind w:right="4359"/>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Appendixes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Appendix A: Terms of grant of options to Israeli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Option Grant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Form of Exercise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3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Appendix A</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Terms of grant of Options to Israeli employees</w:t>
      </w:r>
    </w:p>
    <w:p>
      <w:pPr>
        <w:spacing w:after="0" w:line="207" w:lineRule="exact"/>
        <w:rPr>
          <w:sz w:val="20"/>
          <w:szCs w:val="20"/>
          <w:color w:val="auto"/>
        </w:rPr>
      </w:pPr>
    </w:p>
    <w:p>
      <w:pPr>
        <w:ind w:left="640" w:hanging="632"/>
        <w:spacing w:after="0"/>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Appendix</w:t>
      </w:r>
    </w:p>
    <w:p>
      <w:pPr>
        <w:spacing w:after="0" w:line="252" w:lineRule="exact"/>
        <w:rPr>
          <w:sz w:val="20"/>
          <w:szCs w:val="20"/>
          <w:color w:val="auto"/>
        </w:rPr>
      </w:pPr>
    </w:p>
    <w:p>
      <w:pPr>
        <w:jc w:val="both"/>
        <w:ind w:left="1920" w:hanging="634"/>
        <w:spacing w:after="0" w:line="257" w:lineRule="auto"/>
        <w:tabs>
          <w:tab w:leader="none" w:pos="1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This Appendix (the “</w:t>
      </w:r>
      <w:r>
        <w:rPr>
          <w:rFonts w:ascii="Arial" w:cs="Arial" w:eastAsia="Arial" w:hAnsi="Arial"/>
          <w:sz w:val="18"/>
          <w:szCs w:val="18"/>
          <w:b w:val="1"/>
          <w:bCs w:val="1"/>
          <w:color w:val="auto"/>
        </w:rPr>
        <w:t>Appendix</w:t>
      </w:r>
      <w:r>
        <w:rPr>
          <w:rFonts w:ascii="Arial" w:cs="Arial" w:eastAsia="Arial" w:hAnsi="Arial"/>
          <w:sz w:val="18"/>
          <w:szCs w:val="18"/>
          <w:color w:val="auto"/>
        </w:rPr>
        <w:t>”) is made as part of the Plan (as defined herein whereas all terms not otherwise defined herein shall have the meaning ascribed to them in the Plan) and pursuant to the provisions of Section 102 of the Income Tax Ordinance (as defined herein).</w:t>
      </w:r>
    </w:p>
    <w:p>
      <w:pPr>
        <w:spacing w:after="0" w:line="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This Appendix governs grants of Options to Israeli Employees, either by a Trustee, or without a Trustee.</w:t>
      </w:r>
    </w:p>
    <w:p>
      <w:pPr>
        <w:spacing w:after="0" w:line="207" w:lineRule="exact"/>
        <w:rPr>
          <w:sz w:val="20"/>
          <w:szCs w:val="20"/>
          <w:color w:val="auto"/>
        </w:rPr>
      </w:pPr>
    </w:p>
    <w:p>
      <w:pPr>
        <w:ind w:left="640" w:hanging="632"/>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definitions shall apply:</w:t>
      </w:r>
    </w:p>
    <w:p>
      <w:pPr>
        <w:spacing w:after="0" w:line="22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Capital Gain Method</w:t>
      </w:r>
      <w:r>
        <w:rPr>
          <w:rFonts w:ascii="Arial" w:cs="Arial" w:eastAsia="Arial" w:hAnsi="Arial"/>
          <w:sz w:val="16"/>
          <w:szCs w:val="16"/>
          <w:color w:val="auto"/>
        </w:rPr>
        <w:t>” means choosing the alternative of capital gain method under Section 102.</w:t>
      </w:r>
    </w:p>
    <w:p>
      <w:pPr>
        <w:spacing w:after="0" w:line="27" w:lineRule="exact"/>
        <w:rPr>
          <w:sz w:val="20"/>
          <w:szCs w:val="20"/>
          <w:color w:val="auto"/>
        </w:rPr>
      </w:pPr>
    </w:p>
    <w:p>
      <w:pPr>
        <w:jc w:val="both"/>
        <w:ind w:left="1920" w:hanging="634"/>
        <w:spacing w:after="0" w:line="281" w:lineRule="auto"/>
        <w:tabs>
          <w:tab w:leader="none" w:pos="1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Eligible Participant</w:t>
      </w:r>
      <w:r>
        <w:rPr>
          <w:rFonts w:ascii="Arial" w:cs="Arial" w:eastAsia="Arial" w:hAnsi="Arial"/>
          <w:sz w:val="16"/>
          <w:szCs w:val="16"/>
          <w:color w:val="auto"/>
        </w:rPr>
        <w:t>” means any employee as such term is defined in Section 102. Without derogating from the foregoing Eligible Participant shall include any employee or Office Holder (as such term is defined in the Companies Law) of the Company or any Subsidiary except for such persons that are deemed to be ‘</w:t>
      </w:r>
      <w:r>
        <w:rPr>
          <w:rFonts w:ascii="Arial" w:cs="Arial" w:eastAsia="Arial" w:hAnsi="Arial"/>
          <w:sz w:val="16"/>
          <w:szCs w:val="16"/>
          <w:i w:val="1"/>
          <w:iCs w:val="1"/>
          <w:color w:val="auto"/>
        </w:rPr>
        <w:t>Ba’al Shlita</w:t>
      </w:r>
      <w:r>
        <w:rPr>
          <w:rFonts w:ascii="Arial" w:cs="Arial" w:eastAsia="Arial" w:hAnsi="Arial"/>
          <w:sz w:val="16"/>
          <w:szCs w:val="16"/>
          <w:color w:val="auto"/>
        </w:rPr>
        <w:t>’ under Section 32 to the Income Tax Ordinance.</w:t>
      </w:r>
    </w:p>
    <w:p>
      <w:pPr>
        <w:spacing w:after="0" w:line="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Deposit Date</w:t>
      </w:r>
      <w:r>
        <w:rPr>
          <w:rFonts w:ascii="Arial" w:cs="Arial" w:eastAsia="Arial" w:hAnsi="Arial"/>
          <w:sz w:val="16"/>
          <w:szCs w:val="16"/>
          <w:color w:val="auto"/>
        </w:rPr>
        <w:t>" means the date in which options were deposited with the Trustee for the benefit of a certain Participant.</w:t>
      </w:r>
    </w:p>
    <w:p>
      <w:pPr>
        <w:spacing w:after="0" w:line="9"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Income Tax Authorities</w:t>
      </w:r>
      <w:r>
        <w:rPr>
          <w:rFonts w:ascii="Arial" w:cs="Arial" w:eastAsia="Arial" w:hAnsi="Arial"/>
          <w:sz w:val="18"/>
          <w:szCs w:val="18"/>
          <w:color w:val="auto"/>
        </w:rPr>
        <w:t>” mean the Israeli income tax authorities that are authorized to give approvals in relation with this Appendix and Option Grants to Eligible Participants.</w:t>
      </w:r>
    </w:p>
    <w:p>
      <w:pPr>
        <w:spacing w:after="0" w:line="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Income Tax Ordinance</w:t>
      </w:r>
      <w:r>
        <w:rPr>
          <w:rFonts w:ascii="Arial" w:cs="Arial" w:eastAsia="Arial" w:hAnsi="Arial"/>
          <w:sz w:val="16"/>
          <w:szCs w:val="16"/>
          <w:color w:val="auto"/>
        </w:rPr>
        <w:t>” means the Israeli Income Tax Ordinance (New Version) 1961, as amended from time to time.</w:t>
      </w:r>
    </w:p>
    <w:p>
      <w:pPr>
        <w:spacing w:after="0" w:line="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Labor Income Method</w:t>
      </w:r>
      <w:r>
        <w:rPr>
          <w:rFonts w:ascii="Arial" w:cs="Arial" w:eastAsia="Arial" w:hAnsi="Arial"/>
          <w:sz w:val="16"/>
          <w:szCs w:val="16"/>
          <w:color w:val="auto"/>
        </w:rPr>
        <w:t>” means choosing the alternative of labor income method under Section 102.</w:t>
      </w:r>
    </w:p>
    <w:p>
      <w:pPr>
        <w:spacing w:after="0" w:line="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any Eligible Participant who is granted with Options.</w:t>
      </w:r>
    </w:p>
    <w:p>
      <w:pPr>
        <w:spacing w:after="0" w:line="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the 2010 Incentive Option Plan this Appendix is attached to.</w:t>
      </w:r>
    </w:p>
    <w:p>
      <w:pPr>
        <w:spacing w:after="0" w:line="9" w:lineRule="exact"/>
        <w:rPr>
          <w:sz w:val="20"/>
          <w:szCs w:val="20"/>
          <w:color w:val="auto"/>
        </w:rPr>
      </w:pPr>
    </w:p>
    <w:p>
      <w:pPr>
        <w:jc w:val="both"/>
        <w:ind w:left="1920" w:hanging="634"/>
        <w:spacing w:after="0" w:line="255" w:lineRule="auto"/>
        <w:tabs>
          <w:tab w:leader="none" w:pos="19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Realization Event</w:t>
      </w:r>
      <w:r>
        <w:rPr>
          <w:rFonts w:ascii="Arial" w:cs="Arial" w:eastAsia="Arial" w:hAnsi="Arial"/>
          <w:sz w:val="18"/>
          <w:szCs w:val="18"/>
          <w:color w:val="auto"/>
        </w:rPr>
        <w:t>” means, with respect to each Option Grant granted to a certain Participant, the earlier to occur of: (I) transfer of Securities from the Trustee to such Participant; or (II) the sale of Shares by the Trustee; or (III) one day before such Participant is no longer an Israeli resident (as provided for in Section 100A to the Income Tax Ordinance).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64" w:lineRule="exact"/>
        <w:rPr>
          <w:sz w:val="20"/>
          <w:szCs w:val="20"/>
          <w:color w:val="auto"/>
        </w:rPr>
      </w:pPr>
    </w:p>
    <w:p>
      <w:pPr>
        <w:ind w:left="1920" w:hanging="634"/>
        <w:spacing w:after="0" w:line="347" w:lineRule="auto"/>
        <w:tabs>
          <w:tab w:leader="none" w:pos="19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Release Term</w:t>
      </w:r>
      <w:r>
        <w:rPr>
          <w:rFonts w:ascii="Arial" w:cs="Arial" w:eastAsia="Arial" w:hAnsi="Arial"/>
          <w:sz w:val="16"/>
          <w:szCs w:val="16"/>
          <w:color w:val="auto"/>
        </w:rPr>
        <w:t>” means: (i) in the case of Capital Gains Method, a period ending twenty four (24) months after the Deposit Date; (ii) In the case of Labor Income Method ‘Release Term’ shall mean a period ending twelve (12) months after the Deposit Date.</w:t>
      </w:r>
    </w:p>
    <w:p>
      <w:pPr>
        <w:spacing w:after="0" w:line="116"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2.11.</w:t>
        <w:tab/>
        <w:t>“</w:t>
      </w:r>
      <w:r>
        <w:rPr>
          <w:rFonts w:ascii="Arial" w:cs="Arial" w:eastAsia="Arial" w:hAnsi="Arial"/>
          <w:sz w:val="18"/>
          <w:szCs w:val="18"/>
          <w:b w:val="1"/>
          <w:bCs w:val="1"/>
          <w:color w:val="auto"/>
        </w:rPr>
        <w:t>Section 102</w:t>
      </w:r>
      <w:r>
        <w:rPr>
          <w:rFonts w:ascii="Arial" w:cs="Arial" w:eastAsia="Arial" w:hAnsi="Arial"/>
          <w:sz w:val="18"/>
          <w:szCs w:val="18"/>
          <w:color w:val="auto"/>
        </w:rPr>
        <w:t>” means Section 102 to the Income Tax Ordinance as amended from time to time, and / or as superseded and any rules regulations or instructions promulgated or enacted under such Section 102.</w:t>
      </w:r>
    </w:p>
    <w:p>
      <w:pPr>
        <w:spacing w:after="0" w:line="162"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mean Options subject to a certain Option Grant and Shares received subsequent exercise of such Options.</w:t>
      </w:r>
    </w:p>
    <w:p>
      <w:pPr>
        <w:spacing w:after="0" w:line="225"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Tax Method</w:t>
      </w:r>
      <w:r>
        <w:rPr>
          <w:rFonts w:ascii="Arial" w:cs="Arial" w:eastAsia="Arial" w:hAnsi="Arial"/>
          <w:sz w:val="16"/>
          <w:szCs w:val="16"/>
          <w:color w:val="auto"/>
        </w:rPr>
        <w:t>” means either Capital Gains Method or Labor Income Method.</w:t>
      </w:r>
    </w:p>
    <w:p>
      <w:pPr>
        <w:spacing w:after="0" w:line="225"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2.14.</w:t>
        <w:tab/>
        <w:t>“</w:t>
      </w:r>
      <w:r>
        <w:rPr>
          <w:rFonts w:ascii="Arial" w:cs="Arial" w:eastAsia="Arial" w:hAnsi="Arial"/>
          <w:sz w:val="18"/>
          <w:szCs w:val="18"/>
          <w:b w:val="1"/>
          <w:bCs w:val="1"/>
          <w:color w:val="auto"/>
        </w:rPr>
        <w:t>Trust</w:t>
      </w:r>
      <w:r>
        <w:rPr>
          <w:rFonts w:ascii="Arial" w:cs="Arial" w:eastAsia="Arial" w:hAnsi="Arial"/>
          <w:sz w:val="18"/>
          <w:szCs w:val="18"/>
          <w:color w:val="auto"/>
        </w:rPr>
        <w:t>” means a trust, maintained under the Trust Agreement entered into between the Company and the Trustee for administration of grant of Options under Section 102.</w:t>
      </w:r>
    </w:p>
    <w:p>
      <w:pPr>
        <w:spacing w:after="0" w:line="162"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2.15.</w:t>
        <w:tab/>
        <w:t>“</w:t>
      </w:r>
      <w:r>
        <w:rPr>
          <w:rFonts w:ascii="Arial" w:cs="Arial" w:eastAsia="Arial" w:hAnsi="Arial"/>
          <w:sz w:val="18"/>
          <w:szCs w:val="18"/>
          <w:b w:val="1"/>
          <w:bCs w:val="1"/>
          <w:color w:val="auto"/>
        </w:rPr>
        <w:t>Trust Agreement</w:t>
      </w:r>
      <w:r>
        <w:rPr>
          <w:rFonts w:ascii="Arial" w:cs="Arial" w:eastAsia="Arial" w:hAnsi="Arial"/>
          <w:sz w:val="18"/>
          <w:szCs w:val="18"/>
          <w:color w:val="auto"/>
        </w:rPr>
        <w:t>” means the agreement between the Company and the Trustee as may be in effect from time to time specifying the duties and authorities of the Trustee.</w:t>
      </w:r>
    </w:p>
    <w:p>
      <w:pPr>
        <w:spacing w:after="0" w:line="162" w:lineRule="exact"/>
        <w:rPr>
          <w:sz w:val="20"/>
          <w:szCs w:val="20"/>
          <w:color w:val="auto"/>
        </w:rPr>
      </w:pPr>
    </w:p>
    <w:p>
      <w:pPr>
        <w:ind w:left="1920" w:right="20" w:hanging="634"/>
        <w:spacing w:after="0" w:line="282" w:lineRule="auto"/>
        <w:tabs>
          <w:tab w:leader="none" w:pos="1900" w:val="left"/>
        </w:tabs>
        <w:rPr>
          <w:sz w:val="20"/>
          <w:szCs w:val="20"/>
          <w:color w:val="auto"/>
        </w:rPr>
      </w:pPr>
      <w:r>
        <w:rPr>
          <w:rFonts w:ascii="Arial" w:cs="Arial" w:eastAsia="Arial" w:hAnsi="Arial"/>
          <w:sz w:val="18"/>
          <w:szCs w:val="18"/>
          <w:color w:val="auto"/>
        </w:rPr>
        <w:t>2.16.</w:t>
        <w:tab/>
        <w:t>“</w:t>
      </w:r>
      <w:r>
        <w:rPr>
          <w:rFonts w:ascii="Arial" w:cs="Arial" w:eastAsia="Arial" w:hAnsi="Arial"/>
          <w:sz w:val="18"/>
          <w:szCs w:val="18"/>
          <w:b w:val="1"/>
          <w:bCs w:val="1"/>
          <w:color w:val="auto"/>
        </w:rPr>
        <w:t>Trust Assets</w:t>
      </w:r>
      <w:r>
        <w:rPr>
          <w:rFonts w:ascii="Arial" w:cs="Arial" w:eastAsia="Arial" w:hAnsi="Arial"/>
          <w:sz w:val="18"/>
          <w:szCs w:val="18"/>
          <w:color w:val="auto"/>
        </w:rPr>
        <w:t>” mean all Securities and other assets held in Trust for the benefit of the Participants pursuant to this Appendix and the Trust Agreement</w:t>
      </w:r>
    </w:p>
    <w:p>
      <w:pPr>
        <w:spacing w:after="0" w:line="162"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2.17.</w:t>
        <w:tab/>
        <w:t>“</w:t>
      </w:r>
      <w:r>
        <w:rPr>
          <w:rFonts w:ascii="Arial" w:cs="Arial" w:eastAsia="Arial" w:hAnsi="Arial"/>
          <w:sz w:val="18"/>
          <w:szCs w:val="18"/>
          <w:b w:val="1"/>
          <w:bCs w:val="1"/>
          <w:color w:val="auto"/>
        </w:rPr>
        <w:t>Trustee</w:t>
      </w:r>
      <w:r>
        <w:rPr>
          <w:rFonts w:ascii="Arial" w:cs="Arial" w:eastAsia="Arial" w:hAnsi="Arial"/>
          <w:sz w:val="18"/>
          <w:szCs w:val="18"/>
          <w:color w:val="auto"/>
        </w:rPr>
        <w:t>” means ESOP Trust Company Ltd. (and any successor Trustee) who was, or shall be appointed by the Board of Directors of the Company and approved by the Income Tax Authorities to hold the Trust Assets.</w:t>
      </w:r>
    </w:p>
    <w:p>
      <w:pPr>
        <w:spacing w:after="0" w:line="162" w:lineRule="exact"/>
        <w:rPr>
          <w:sz w:val="20"/>
          <w:szCs w:val="20"/>
          <w:color w:val="auto"/>
        </w:rPr>
      </w:pPr>
    </w:p>
    <w:p>
      <w:pPr>
        <w:ind w:left="640" w:hanging="632"/>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the Appendix shall govern</w:t>
      </w:r>
    </w:p>
    <w:p>
      <w:pPr>
        <w:spacing w:after="0" w:line="256"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provisions of the Appendix shall supersede and govern in the case of any inconsistency or conflict arising between the provisions of the Appendix and the provisions of the Plan, provided, however, that this Appendix shall not be construed to grant Participant rights not consistent with the terms of the Plan, unless specifically provided herein.</w:t>
      </w:r>
    </w:p>
    <w:p>
      <w:pPr>
        <w:spacing w:after="0" w:line="177" w:lineRule="exact"/>
        <w:rPr>
          <w:rFonts w:ascii="Arial" w:cs="Arial" w:eastAsia="Arial" w:hAnsi="Arial"/>
          <w:sz w:val="18"/>
          <w:szCs w:val="18"/>
          <w:b w:val="1"/>
          <w:bCs w:val="1"/>
          <w:color w:val="auto"/>
        </w:rPr>
      </w:pPr>
    </w:p>
    <w:p>
      <w:pPr>
        <w:ind w:left="640" w:hanging="632"/>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of Tax Method – Capital Gains Method</w:t>
      </w:r>
    </w:p>
    <w:p>
      <w:pPr>
        <w:spacing w:after="0" w:line="25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chooses the Capital Gain Method (‘</w:t>
      </w:r>
      <w:r>
        <w:rPr>
          <w:rFonts w:ascii="Arial" w:cs="Arial" w:eastAsia="Arial" w:hAnsi="Arial"/>
          <w:sz w:val="18"/>
          <w:szCs w:val="18"/>
          <w:i w:val="1"/>
          <w:iCs w:val="1"/>
          <w:color w:val="auto"/>
        </w:rPr>
        <w:t>Maslul Revach Hon</w:t>
      </w:r>
      <w:r>
        <w:rPr>
          <w:rFonts w:ascii="Arial" w:cs="Arial" w:eastAsia="Arial" w:hAnsi="Arial"/>
          <w:sz w:val="18"/>
          <w:szCs w:val="18"/>
          <w:color w:val="auto"/>
        </w:rPr>
        <w:t>’). This choice may be changed in the future, by a Board resolution, provided, however, that the change in selection is permissible under the provisions of Section 102.</w:t>
      </w:r>
    </w:p>
    <w:p>
      <w:pPr>
        <w:spacing w:after="0" w:line="166" w:lineRule="exact"/>
        <w:rPr>
          <w:rFonts w:ascii="Arial" w:cs="Arial" w:eastAsia="Arial" w:hAnsi="Arial"/>
          <w:sz w:val="18"/>
          <w:szCs w:val="18"/>
          <w:b w:val="1"/>
          <w:bCs w:val="1"/>
          <w:color w:val="auto"/>
        </w:rPr>
      </w:pPr>
    </w:p>
    <w:p>
      <w:pPr>
        <w:ind w:left="640" w:hanging="632"/>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Holding of Securities by the Trustee</w:t>
      </w:r>
    </w:p>
    <w:p>
      <w:pPr>
        <w:spacing w:after="0" w:line="256"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All Securities shall be issued to the Trustee to be held in the Trust for the benefit of the relevant Participants. All certificates representing Securities issued to the Trustee under this Appendix shall be deposited with the Trustee, and shall be held by the Trustee until such time that such Options or Shares are released from the Trust as herein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68" w:lineRule="exact"/>
        <w:rPr>
          <w:sz w:val="20"/>
          <w:szCs w:val="20"/>
          <w:color w:val="auto"/>
        </w:rPr>
      </w:pPr>
    </w:p>
    <w:p>
      <w:pPr>
        <w:jc w:val="both"/>
        <w:ind w:left="1920" w:hanging="634"/>
        <w:spacing w:after="0" w:line="256" w:lineRule="auto"/>
        <w:tabs>
          <w:tab w:leader="none" w:pos="1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After the Release Term is over, a Participant shall be entitled to instruct the Trustee to transfer the Shares held for such Participant’s benefit to such Participant, provided, however, that the Trustee confirms that all applicable tax as set in Section 102 was actually paid and the Trustee holds a confirmation to that effect from Income Tax Authorities.</w:t>
      </w:r>
    </w:p>
    <w:p>
      <w:pPr>
        <w:jc w:val="both"/>
        <w:ind w:left="1920" w:hanging="634"/>
        <w:spacing w:after="0" w:line="290" w:lineRule="auto"/>
        <w:tabs>
          <w:tab w:leader="none" w:pos="1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In the case that the Company distributes dividends, than the amount of dividends with respect of Shares held in Trust shall be paid to the Participants that are the beneficial holders of such Shares, subject to deduction at source of the applicable tax.</w:t>
      </w:r>
    </w:p>
    <w:p>
      <w:pPr>
        <w:spacing w:after="0" w:line="158" w:lineRule="exact"/>
        <w:rPr>
          <w:sz w:val="20"/>
          <w:szCs w:val="20"/>
          <w:color w:val="auto"/>
        </w:rPr>
      </w:pPr>
    </w:p>
    <w:p>
      <w:pPr>
        <w:ind w:left="640" w:hanging="632"/>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governing this Appendix and Plan</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Notwithstanding anything to the contrary in the Plan or elsewhere in this Appendix:</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color w:val="auto"/>
        </w:rPr>
        <w:t>The Plan shall have one, sole, Trustee.</w:t>
      </w:r>
    </w:p>
    <w:p>
      <w:pPr>
        <w:spacing w:after="0" w:line="23"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Appendix shall be subject to one Tax Method, unless the provisions of Section 102 allow otherwise.</w:t>
      </w:r>
    </w:p>
    <w:p>
      <w:pPr>
        <w:spacing w:after="0" w:line="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Participants shall not be entitled to cause a Realization Event to occur unless the Release Term is fulfilled.</w:t>
      </w:r>
    </w:p>
    <w:p>
      <w:pPr>
        <w:spacing w:after="0" w:line="9" w:lineRule="exact"/>
        <w:rPr>
          <w:sz w:val="20"/>
          <w:szCs w:val="20"/>
          <w:color w:val="auto"/>
        </w:rPr>
      </w:pPr>
    </w:p>
    <w:p>
      <w:pPr>
        <w:jc w:val="both"/>
        <w:ind w:left="1920" w:hanging="634"/>
        <w:spacing w:after="0" w:line="255" w:lineRule="auto"/>
        <w:tabs>
          <w:tab w:leader="none" w:pos="19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All rights or benefits that are received subsequent to the grant or exercise the Options or the Shares underlying such Options (including and not limited to bonus shares) shall be deposited with the Trustee until the end of the Release Term, and all such rights and benefits shall be subject to the Tax Method selected by the Company.</w:t>
      </w:r>
    </w:p>
    <w:p>
      <w:pPr>
        <w:spacing w:after="0" w:line="186" w:lineRule="exact"/>
        <w:rPr>
          <w:sz w:val="20"/>
          <w:szCs w:val="20"/>
          <w:color w:val="auto"/>
        </w:rPr>
      </w:pPr>
    </w:p>
    <w:p>
      <w:pPr>
        <w:ind w:left="640" w:hanging="632"/>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the Appendix</w:t>
      </w:r>
    </w:p>
    <w:p>
      <w:pPr>
        <w:spacing w:after="0" w:line="256"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Appendix shall become effective, and Option Grants may be granted hereunder only after receipt the required approvals under Section 102 from the Income Tax Authorities.</w:t>
      </w:r>
    </w:p>
    <w:p>
      <w:pPr>
        <w:spacing w:after="0" w:line="166" w:lineRule="exact"/>
        <w:rPr>
          <w:rFonts w:ascii="Arial" w:cs="Arial" w:eastAsia="Arial" w:hAnsi="Arial"/>
          <w:sz w:val="18"/>
          <w:szCs w:val="18"/>
          <w:b w:val="1"/>
          <w:bCs w:val="1"/>
          <w:color w:val="auto"/>
        </w:rPr>
      </w:pPr>
    </w:p>
    <w:p>
      <w:pPr>
        <w:ind w:left="640" w:hanging="632"/>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limitations</w:t>
      </w:r>
    </w:p>
    <w:p>
      <w:pPr>
        <w:spacing w:after="0" w:line="256" w:lineRule="exact"/>
        <w:rPr>
          <w:sz w:val="20"/>
          <w:szCs w:val="20"/>
          <w:color w:val="auto"/>
        </w:rPr>
      </w:pPr>
    </w:p>
    <w:p>
      <w:pPr>
        <w:jc w:val="both"/>
        <w:ind w:left="1920" w:hanging="634"/>
        <w:spacing w:after="0" w:line="269" w:lineRule="auto"/>
        <w:tabs>
          <w:tab w:leader="none" w:pos="19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 xml:space="preserve">The Company shall not issue Options to a Participant unless such Participant confirmed in writing that he/she is aware of the provisions of Section 102 and the applicable Tax Method, and such Participant agreed in writing to the terms of the Trust Agreement, and that he/she shall not cause a Realization Event to occur before the Release Term is over. The form for the above confirmation shall be determined by the Committee, and shall be attached to the Plan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 xml:space="preserve">By accepting an Option Grant, each Participant agrees irrevocably to discharge the Trustee, the Company and any other office holder, employee or agent thereof from any liability with respect of any action or decision duly taken and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executed in relation with the Plan, or relating to any Option Grant or Shares.</w:t>
      </w:r>
    </w:p>
    <w:p>
      <w:pPr>
        <w:spacing w:after="0" w:line="1" w:lineRule="exact"/>
        <w:rPr>
          <w:sz w:val="20"/>
          <w:szCs w:val="20"/>
          <w:color w:val="auto"/>
        </w:rPr>
      </w:pPr>
    </w:p>
    <w:p>
      <w:pPr>
        <w:jc w:val="both"/>
        <w:ind w:left="1920" w:hanging="634"/>
        <w:spacing w:after="0" w:line="261" w:lineRule="auto"/>
        <w:tabs>
          <w:tab w:leader="none" w:pos="19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Trustee shall use the voting rights vested in any such shares issued upon the exercise of any Options granted under the Plan, in accordance with Exhibit C of the Plan.</w:t>
      </w:r>
    </w:p>
    <w:p>
      <w:pPr>
        <w:spacing w:after="0" w:line="180" w:lineRule="exact"/>
        <w:rPr>
          <w:sz w:val="20"/>
          <w:szCs w:val="20"/>
          <w:color w:val="auto"/>
        </w:rPr>
      </w:pPr>
    </w:p>
    <w:p>
      <w:pPr>
        <w:ind w:left="640" w:hanging="632"/>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 not by a Trustee</w:t>
      </w:r>
    </w:p>
    <w:p>
      <w:pPr>
        <w:spacing w:after="0" w:line="256"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Notwithstanding the above, the Company shall be entitled to allocate Option Grants not according to the Tax Methods, but by direct grant to Participants, provided, however, that the requirements of Section 102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3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ADDENDUM</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Terms of Options granted to United States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Employees and Service Providers</w:t>
      </w:r>
    </w:p>
    <w:p>
      <w:pPr>
        <w:spacing w:after="0" w:line="207" w:lineRule="exact"/>
        <w:rPr>
          <w:sz w:val="20"/>
          <w:szCs w:val="20"/>
          <w:color w:val="auto"/>
        </w:rPr>
      </w:pPr>
    </w:p>
    <w:p>
      <w:pPr>
        <w:ind w:left="640" w:hanging="632"/>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Addendum</w:t>
      </w:r>
    </w:p>
    <w:p>
      <w:pPr>
        <w:spacing w:after="0" w:line="225" w:lineRule="exact"/>
        <w:rPr>
          <w:rFonts w:ascii="Arial" w:cs="Arial" w:eastAsia="Arial" w:hAnsi="Arial"/>
          <w:sz w:val="18"/>
          <w:szCs w:val="18"/>
          <w:b w:val="1"/>
          <w:bCs w:val="1"/>
          <w:color w:val="auto"/>
        </w:rPr>
      </w:pPr>
    </w:p>
    <w:p>
      <w:pPr>
        <w:jc w:val="both"/>
        <w:ind w:left="6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This Addendum (also referred to as the "</w:t>
      </w:r>
      <w:r>
        <w:rPr>
          <w:rFonts w:ascii="Arial" w:cs="Arial" w:eastAsia="Arial" w:hAnsi="Arial"/>
          <w:sz w:val="18"/>
          <w:szCs w:val="18"/>
          <w:b w:val="1"/>
          <w:bCs w:val="1"/>
          <w:color w:val="auto"/>
        </w:rPr>
        <w:t>Addendum</w:t>
      </w:r>
      <w:r>
        <w:rPr>
          <w:rFonts w:ascii="Arial" w:cs="Arial" w:eastAsia="Arial" w:hAnsi="Arial"/>
          <w:sz w:val="18"/>
          <w:szCs w:val="18"/>
          <w:color w:val="auto"/>
        </w:rPr>
        <w:t>") is part of the 2010 Incentive Option Plan of Alocbra Ltd. (the "</w:t>
      </w:r>
      <w:r>
        <w:rPr>
          <w:rFonts w:ascii="Arial" w:cs="Arial" w:eastAsia="Arial" w:hAnsi="Arial"/>
          <w:sz w:val="18"/>
          <w:szCs w:val="18"/>
          <w:b w:val="1"/>
          <w:bCs w:val="1"/>
          <w:color w:val="auto"/>
        </w:rPr>
        <w:t>Plan</w:t>
      </w:r>
      <w:r>
        <w:rPr>
          <w:rFonts w:ascii="Arial" w:cs="Arial" w:eastAsia="Arial" w:hAnsi="Arial"/>
          <w:sz w:val="18"/>
          <w:szCs w:val="18"/>
          <w:color w:val="auto"/>
        </w:rPr>
        <w:t>"). All terms not otherwise defined herein shall have the meaning ascribed to them in the Plan. This Addendum governs grants of Options to United States Employees and other Service Providers.</w:t>
      </w:r>
    </w:p>
    <w:p>
      <w:pPr>
        <w:spacing w:after="0" w:line="176" w:lineRule="exact"/>
        <w:rPr>
          <w:rFonts w:ascii="Arial" w:cs="Arial" w:eastAsia="Arial" w:hAnsi="Arial"/>
          <w:sz w:val="18"/>
          <w:szCs w:val="18"/>
          <w:b w:val="1"/>
          <w:bCs w:val="1"/>
          <w:color w:val="auto"/>
        </w:rPr>
      </w:pPr>
    </w:p>
    <w:p>
      <w:pPr>
        <w:ind w:left="640" w:hanging="632"/>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the Addendum</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provisions of the Addendum shall supersede and govern in the case of inconsistency between the provisions of the Addendum and the provisions of the Plan, provided, however, that this Addendum shall not be construed to grant to any Participant rights not consistent with the terms of the Plan, unless specifically provided herein.</w:t>
      </w:r>
    </w:p>
    <w:p>
      <w:pPr>
        <w:spacing w:after="0" w:line="177" w:lineRule="exact"/>
        <w:rPr>
          <w:rFonts w:ascii="Arial" w:cs="Arial" w:eastAsia="Arial" w:hAnsi="Arial"/>
          <w:sz w:val="18"/>
          <w:szCs w:val="18"/>
          <w:b w:val="1"/>
          <w:bCs w:val="1"/>
          <w:color w:val="auto"/>
        </w:rPr>
      </w:pPr>
    </w:p>
    <w:p>
      <w:pPr>
        <w:ind w:left="640" w:hanging="632"/>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rFonts w:ascii="Arial" w:cs="Arial" w:eastAsia="Arial" w:hAnsi="Arial"/>
          <w:sz w:val="18"/>
          <w:szCs w:val="18"/>
          <w:b w:val="1"/>
          <w:bCs w:val="1"/>
          <w:color w:val="auto"/>
        </w:rPr>
      </w:pPr>
    </w:p>
    <w:p>
      <w:pPr>
        <w:jc w:val="both"/>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individuals who shall be eligible to receive Option Grants under the Plan that are subject to the provisions of this Addendum shall be employees, directors and other individuals and entities who are United States citizens or who are resident aliens of the United States for United States federal tax purposes (collectively, “</w:t>
      </w:r>
      <w:r>
        <w:rPr>
          <w:rFonts w:ascii="Arial" w:cs="Arial" w:eastAsia="Arial" w:hAnsi="Arial"/>
          <w:sz w:val="16"/>
          <w:szCs w:val="16"/>
          <w:b w:val="1"/>
          <w:bCs w:val="1"/>
          <w:color w:val="auto"/>
        </w:rPr>
        <w:t>U.S. Persons</w:t>
      </w:r>
      <w:r>
        <w:rPr>
          <w:rFonts w:ascii="Arial" w:cs="Arial" w:eastAsia="Arial" w:hAnsi="Arial"/>
          <w:sz w:val="16"/>
          <w:szCs w:val="16"/>
          <w:color w:val="auto"/>
        </w:rPr>
        <w:t>”), and who render services to the management, operation or development of the Company or a Subsidiary and who have contributed or may be expected to contribute materially to the success of the Company or a Subsidiary. ISOs (as defined in Section 4 below) shall not be granted to any individual who is not an employee of a corporation for United States federal tax purposes. The term “</w:t>
      </w:r>
      <w:r>
        <w:rPr>
          <w:rFonts w:ascii="Arial" w:cs="Arial" w:eastAsia="Arial" w:hAnsi="Arial"/>
          <w:sz w:val="16"/>
          <w:szCs w:val="16"/>
          <w:b w:val="1"/>
          <w:bCs w:val="1"/>
          <w:color w:val="auto"/>
        </w:rPr>
        <w:t>Subsidiary</w:t>
      </w:r>
      <w:r>
        <w:rPr>
          <w:rFonts w:ascii="Arial" w:cs="Arial" w:eastAsia="Arial" w:hAnsi="Arial"/>
          <w:sz w:val="16"/>
          <w:szCs w:val="16"/>
          <w:color w:val="auto"/>
        </w:rPr>
        <w:t>” as used in this Addendum means a corporation or other business entity of which the Company owns, directly or indirectly through an unbroken chain of ownership, fifty percent or more of the total combined voting power of all classes of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Terms and Conditions of Options</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Every Option granted to a U.S. Person shall be evidenced by a written stock option agreement (the "</w:t>
      </w:r>
      <w:r>
        <w:rPr>
          <w:rFonts w:ascii="Arial" w:cs="Arial" w:eastAsia="Arial" w:hAnsi="Arial"/>
          <w:sz w:val="18"/>
          <w:szCs w:val="18"/>
          <w:b w:val="1"/>
          <w:bCs w:val="1"/>
          <w:color w:val="auto"/>
        </w:rPr>
        <w:t>Stock Option Agreement</w:t>
      </w:r>
      <w:r>
        <w:rPr>
          <w:rFonts w:ascii="Arial" w:cs="Arial" w:eastAsia="Arial" w:hAnsi="Arial"/>
          <w:sz w:val="18"/>
          <w:szCs w:val="18"/>
          <w:color w:val="auto"/>
        </w:rPr>
        <w:t>") in such form as the Committee shall approve from time to time, specifying the number of Shares that may be purchased pursuant to the Option, the time or times at which the Option shall become exercisable in whole or in part, whether the Option is intended to be an incentive stock option (“</w:t>
      </w:r>
      <w:r>
        <w:rPr>
          <w:rFonts w:ascii="Arial" w:cs="Arial" w:eastAsia="Arial" w:hAnsi="Arial"/>
          <w:sz w:val="18"/>
          <w:szCs w:val="18"/>
          <w:b w:val="1"/>
          <w:bCs w:val="1"/>
          <w:color w:val="auto"/>
        </w:rPr>
        <w:t>ISO</w:t>
      </w:r>
      <w:r>
        <w:rPr>
          <w:rFonts w:ascii="Arial" w:cs="Arial" w:eastAsia="Arial" w:hAnsi="Arial"/>
          <w:sz w:val="18"/>
          <w:szCs w:val="18"/>
          <w:color w:val="auto"/>
        </w:rPr>
        <w:t>”) or a nonqualified stock option (“</w:t>
      </w:r>
      <w:r>
        <w:rPr>
          <w:rFonts w:ascii="Arial" w:cs="Arial" w:eastAsia="Arial" w:hAnsi="Arial"/>
          <w:sz w:val="18"/>
          <w:szCs w:val="18"/>
          <w:b w:val="1"/>
          <w:bCs w:val="1"/>
          <w:color w:val="auto"/>
        </w:rPr>
        <w:t>NSO</w:t>
      </w:r>
      <w:r>
        <w:rPr>
          <w:rFonts w:ascii="Arial" w:cs="Arial" w:eastAsia="Arial" w:hAnsi="Arial"/>
          <w:sz w:val="18"/>
          <w:szCs w:val="18"/>
          <w:color w:val="auto"/>
        </w:rPr>
        <w:t>”) and such other terms and conditions as the Committee shall approve, and containing or incorporating by reference the following terms and conditions. The Plan and this Addendum shall be administered in such a manner as to permit those Options granted hereunder and specially designated as an ISO to qualify as incentive stock options as described in Section 422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1" w:name="page142"/>
    <w:bookmarkEnd w:id="141"/>
    <w:p>
      <w:pPr>
        <w:ind w:left="4360"/>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41" w:lineRule="exact"/>
        <w:rPr>
          <w:sz w:val="20"/>
          <w:szCs w:val="20"/>
          <w:color w:val="auto"/>
        </w:rPr>
      </w:pPr>
    </w:p>
    <w:p>
      <w:pPr>
        <w:jc w:val="both"/>
        <w:ind w:left="-540" w:firstLine="645"/>
        <w:spacing w:after="0" w:line="286" w:lineRule="auto"/>
        <w:tabs>
          <w:tab w:leader="none" w:pos="38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Duration</w:t>
      </w:r>
      <w:r>
        <w:rPr>
          <w:rFonts w:ascii="Arial" w:cs="Arial" w:eastAsia="Arial" w:hAnsi="Arial"/>
          <w:sz w:val="17"/>
          <w:szCs w:val="17"/>
          <w:color w:val="auto"/>
        </w:rPr>
        <w:t>. Each Option shall expire no later than ten (10) years from its grant date; provided, however, that no ISO granted to an Employee who owns (directly or under the attribution rules of Section 424(d) of the Code) stock possessing more than ten percent of the total combined voting power of all classes of stock of the Company or any Subsidiary shall expire later than five (5) years from its date of grant.</w:t>
      </w:r>
    </w:p>
    <w:p>
      <w:pPr>
        <w:spacing w:after="0" w:line="165" w:lineRule="exact"/>
        <w:rPr>
          <w:rFonts w:ascii="Arial" w:cs="Arial" w:eastAsia="Arial" w:hAnsi="Arial"/>
          <w:sz w:val="17"/>
          <w:szCs w:val="17"/>
          <w:color w:val="auto"/>
        </w:rPr>
      </w:pPr>
    </w:p>
    <w:p>
      <w:pPr>
        <w:jc w:val="both"/>
        <w:ind w:left="-540" w:firstLine="645"/>
        <w:spacing w:after="0" w:line="267" w:lineRule="auto"/>
        <w:tabs>
          <w:tab w:leader="none" w:pos="363"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each Option shall be as specified by the Committee in its discretion; provided, however, that the price shall be at least 100 percent of the Fair Market Value (as hereinafter defined) of the Shares on the date on which the Board grants the Option (or shareholders resolution to grant such options, if such resolution is required), which shall be considered the date of grant of the Option for purposes of fixing the price; and provided, further, that the price with respect to an ISO granted to an Employee who at the time of grant owns (directly or under the attribution rules of Section 424(d) of the Code) stock representing more than ten percent (10%) of the voting power of all classes of stock of the Company or of any Subsidiary shall be at least 110 percent of the Fair Market Value of the Shares on the date of grant of the ISO. For purposes of the Plan, except as may be otherwise explicitly provided in the Plan or in any Stock Option Agreement, the “</w:t>
      </w:r>
      <w:r>
        <w:rPr>
          <w:rFonts w:ascii="Arial" w:cs="Arial" w:eastAsia="Arial" w:hAnsi="Arial"/>
          <w:sz w:val="17"/>
          <w:szCs w:val="17"/>
          <w:b w:val="1"/>
          <w:bCs w:val="1"/>
          <w:color w:val="auto"/>
        </w:rPr>
        <w:t>Fair Market</w:t>
      </w:r>
      <w:r>
        <w:rPr>
          <w:rFonts w:ascii="Arial" w:cs="Arial" w:eastAsia="Arial" w:hAnsi="Arial"/>
          <w:sz w:val="17"/>
          <w:szCs w:val="17"/>
          <w:color w:val="auto"/>
        </w:rPr>
        <w:t xml:space="preserve"> </w:t>
      </w:r>
      <w:r>
        <w:rPr>
          <w:rFonts w:ascii="Arial" w:cs="Arial" w:eastAsia="Arial" w:hAnsi="Arial"/>
          <w:sz w:val="17"/>
          <w:szCs w:val="17"/>
          <w:b w:val="1"/>
          <w:bCs w:val="1"/>
          <w:color w:val="auto"/>
        </w:rPr>
        <w:t>Value</w:t>
      </w:r>
      <w:r>
        <w:rPr>
          <w:rFonts w:ascii="Arial" w:cs="Arial" w:eastAsia="Arial" w:hAnsi="Arial"/>
          <w:sz w:val="17"/>
          <w:szCs w:val="17"/>
          <w:color w:val="auto"/>
        </w:rPr>
        <w:t>” of a Share at any particular date shall be determined according to the following rules: (i) if the Shares are not at the time listed or admitted to</w:t>
      </w:r>
      <w:r>
        <w:rPr>
          <w:rFonts w:ascii="Arial" w:cs="Arial" w:eastAsia="Arial" w:hAnsi="Arial"/>
          <w:sz w:val="17"/>
          <w:szCs w:val="17"/>
          <w:b w:val="1"/>
          <w:bCs w:val="1"/>
          <w:color w:val="auto"/>
        </w:rPr>
        <w:t xml:space="preserve"> </w:t>
      </w:r>
      <w:r>
        <w:rPr>
          <w:rFonts w:ascii="Arial" w:cs="Arial" w:eastAsia="Arial" w:hAnsi="Arial"/>
          <w:sz w:val="17"/>
          <w:szCs w:val="17"/>
          <w:color w:val="auto"/>
        </w:rPr>
        <w:t>trading on a stock exchange, the Fair Market Value shall be the closing price of the Shares on the date in question in the over-the-counter market, as such price is reported in a publication of general circulation selected by the Board and regularly reporting the price of the Shares in such market; provided, however, that if the price of the Shares is not so reported, the Fair Market Value shall be determined in good faith by the Board, which may take into consideration (1) the price paid for the Shares in the most recent trade of a substantial number of shares known to the Board to have occurred at arm’s length between willing and knowledgeable investors, (2) an appraisal by an independent party or (3) any other method of valuation undertaken in good faith by the Board, or some or all of the above as the Board shall in its discretion elect; or (ii) if the Shares are at the time listed or admitted to trading on any stock exchange, then the Fair Market Value shall be the last known closing price of the Shares when the relevant Option Grant is approved by the Company. Notwithstanding Subsection (ii) above, the Administrator may adopt any other method in order to determine the Fair Market Value of a Share, as long as use of such method will not give rise to adverse tax consequences under Internal Revenue Code Section 409A.</w:t>
      </w:r>
    </w:p>
    <w:p>
      <w:pPr>
        <w:spacing w:after="0" w:line="191" w:lineRule="exact"/>
        <w:rPr>
          <w:rFonts w:ascii="Arial" w:cs="Arial" w:eastAsia="Arial" w:hAnsi="Arial"/>
          <w:sz w:val="17"/>
          <w:szCs w:val="17"/>
          <w:color w:val="auto"/>
        </w:rPr>
      </w:pPr>
    </w:p>
    <w:p>
      <w:pPr>
        <w:jc w:val="both"/>
        <w:ind w:left="-540" w:firstLine="645"/>
        <w:spacing w:after="0" w:line="264" w:lineRule="auto"/>
        <w:tabs>
          <w:tab w:leader="none" w:pos="353"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Notice of ISO Stock Disposition</w:t>
      </w:r>
      <w:r>
        <w:rPr>
          <w:rFonts w:ascii="Arial" w:cs="Arial" w:eastAsia="Arial" w:hAnsi="Arial"/>
          <w:sz w:val="18"/>
          <w:szCs w:val="18"/>
          <w:color w:val="auto"/>
        </w:rPr>
        <w:t>. The Participant must notify the Company promptly in the event that he sells, transfers, exchanges or otherwise disposes of any Shares issued upon exercise of an ISO before the later of (i) the second anniversary of the date of grant of the ISO or (ii) the first anniversary of the date the shares were issued upon his exercise of the 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398780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33"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jc w:val="both"/>
        <w:ind w:left="660" w:firstLine="645"/>
        <w:spacing w:after="0" w:line="264" w:lineRule="auto"/>
        <w:tabs>
          <w:tab w:leader="none" w:pos="1563" w:val="left"/>
        </w:tabs>
        <w:numPr>
          <w:ilvl w:val="2"/>
          <w:numId w:val="111"/>
        </w:numPr>
        <w:rPr>
          <w:rFonts w:ascii="Arial" w:cs="Arial" w:eastAsia="Arial" w:hAnsi="Arial"/>
          <w:sz w:val="18"/>
          <w:szCs w:val="18"/>
          <w:color w:val="auto"/>
        </w:rPr>
      </w:pPr>
      <w:r>
        <w:rPr>
          <w:rFonts w:ascii="Arial" w:cs="Arial" w:eastAsia="Arial" w:hAnsi="Arial"/>
          <w:sz w:val="18"/>
          <w:szCs w:val="18"/>
          <w:u w:val="single" w:color="auto"/>
          <w:color w:val="auto"/>
        </w:rPr>
        <w:t>Effect of Cessation of Employment or Service Relationship</w:t>
      </w:r>
      <w:r>
        <w:rPr>
          <w:rFonts w:ascii="Arial" w:cs="Arial" w:eastAsia="Arial" w:hAnsi="Arial"/>
          <w:sz w:val="18"/>
          <w:szCs w:val="18"/>
          <w:color w:val="auto"/>
        </w:rPr>
        <w:t>. The Committee shall determine in its discretion and specify in each Stock Option Agreement the effect, if any, of the termination of the Participant’s employment with or performance of services for the Company or any Subsidiary on the exercisability of the Option.</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553" w:val="left"/>
        </w:tabs>
        <w:numPr>
          <w:ilvl w:val="2"/>
          <w:numId w:val="111"/>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 Participant shall have no rights as a stockholder with respect to any Shares covered by an Option until the date of issuance of a stock certificate to him for the Shares. No adjustment shall be made for dividends or other rights for which the record date is earlier than the date the stock certificate is issued, other than as required or permitted by the Plan.</w:t>
      </w:r>
    </w:p>
    <w:p>
      <w:pPr>
        <w:spacing w:after="0" w:line="181" w:lineRule="exact"/>
        <w:rPr>
          <w:rFonts w:ascii="Arial" w:cs="Arial" w:eastAsia="Arial" w:hAnsi="Arial"/>
          <w:sz w:val="18"/>
          <w:szCs w:val="18"/>
          <w:color w:val="auto"/>
        </w:rPr>
      </w:pPr>
    </w:p>
    <w:p>
      <w:pPr>
        <w:jc w:val="both"/>
        <w:ind w:left="660" w:firstLine="645"/>
        <w:spacing w:after="0" w:line="279" w:lineRule="auto"/>
        <w:tabs>
          <w:tab w:leader="none" w:pos="1533" w:val="left"/>
        </w:tabs>
        <w:numPr>
          <w:ilvl w:val="2"/>
          <w:numId w:val="111"/>
        </w:numPr>
        <w:rPr>
          <w:rFonts w:ascii="Arial" w:cs="Arial" w:eastAsia="Arial" w:hAnsi="Arial"/>
          <w:sz w:val="17"/>
          <w:szCs w:val="17"/>
          <w:color w:val="auto"/>
        </w:rPr>
      </w:pPr>
      <w:r>
        <w:rPr>
          <w:rFonts w:ascii="Arial" w:cs="Arial" w:eastAsia="Arial" w:hAnsi="Arial"/>
          <w:sz w:val="17"/>
          <w:szCs w:val="17"/>
          <w:u w:val="single" w:color="auto"/>
          <w:color w:val="auto"/>
        </w:rPr>
        <w:t>Transferability of Options</w:t>
      </w:r>
      <w:r>
        <w:rPr>
          <w:rFonts w:ascii="Arial" w:cs="Arial" w:eastAsia="Arial" w:hAnsi="Arial"/>
          <w:sz w:val="17"/>
          <w:szCs w:val="17"/>
          <w:color w:val="auto"/>
        </w:rPr>
        <w:t>. Except as permitted by the Committee, and set forth in the terms of a Participant’s Stock Option Agreement, an Option shall not be assignable or transferable by the Participant except by will or by the laws of descent and distribution. During the life of the Participant, an Option shall be exercisable only by him, by a conservator or guardian duly appointed for him by reason of his incapacity or by the person appointed by the Participant in a durable power of attorney acceptable to the Company’s counsel.</w:t>
      </w:r>
    </w:p>
    <w:p>
      <w:pPr>
        <w:spacing w:after="0" w:line="167" w:lineRule="exact"/>
        <w:rPr>
          <w:rFonts w:ascii="Arial" w:cs="Arial" w:eastAsia="Arial" w:hAnsi="Arial"/>
          <w:sz w:val="17"/>
          <w:szCs w:val="17"/>
          <w:color w:val="auto"/>
        </w:rPr>
      </w:pPr>
    </w:p>
    <w:p>
      <w:pPr>
        <w:ind w:left="640" w:hanging="632"/>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w:t>
      </w:r>
    </w:p>
    <w:p>
      <w:pPr>
        <w:spacing w:after="0" w:line="229" w:lineRule="exact"/>
        <w:rPr>
          <w:rFonts w:ascii="Arial" w:cs="Arial" w:eastAsia="Arial" w:hAnsi="Arial"/>
          <w:sz w:val="18"/>
          <w:szCs w:val="18"/>
          <w:b w:val="1"/>
          <w:bCs w:val="1"/>
          <w:color w:val="auto"/>
        </w:rPr>
      </w:pPr>
    </w:p>
    <w:p>
      <w:pPr>
        <w:jc w:val="both"/>
        <w:ind w:left="1280" w:hanging="624"/>
        <w:spacing w:after="0" w:line="270" w:lineRule="auto"/>
        <w:tabs>
          <w:tab w:leader="none" w:pos="128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Company shall not be required to transfer Shares or to sell or issue any Shares upon the exercise of any Option if the issuance of such Shares will result in a violation by the Participant or the Company of any provisions of any law, statute or regulation of any governmental authority. Specifically, in connection with the Securities Act of 1933, as amended from time to time (the “</w:t>
      </w:r>
      <w:r>
        <w:rPr>
          <w:rFonts w:ascii="Arial" w:cs="Arial" w:eastAsia="Arial" w:hAnsi="Arial"/>
          <w:sz w:val="17"/>
          <w:szCs w:val="17"/>
          <w:b w:val="1"/>
          <w:bCs w:val="1"/>
          <w:color w:val="auto"/>
        </w:rPr>
        <w:t>Securities Act</w:t>
      </w:r>
      <w:r>
        <w:rPr>
          <w:rFonts w:ascii="Arial" w:cs="Arial" w:eastAsia="Arial" w:hAnsi="Arial"/>
          <w:sz w:val="17"/>
          <w:szCs w:val="17"/>
          <w:color w:val="auto"/>
        </w:rPr>
        <w:t>”), upon the exercise of any Option, the Company will not be required to issue Shares unless the Committee has received evidence satisfactory to it to the effect that the holder of the Option will not transfer such shares except pursuant to a registration statement in effect under the Securities Act or unless an opinion of counsel satisfactory to the Company has been received by the Company to the effect that registration is not required. Any determination in this connection by the Committee shall be conclusive. The Company shall not be obligated to take any other affirmative action in order to cause the exercise of an Option to comply with any law or regulations of any governmental authority, including, without limitation, the Securities Act or applicable state securities laws.</w:t>
      </w:r>
    </w:p>
    <w:p>
      <w:pPr>
        <w:spacing w:after="0" w:line="181" w:lineRule="exact"/>
        <w:rPr>
          <w:rFonts w:ascii="Arial" w:cs="Arial" w:eastAsia="Arial" w:hAnsi="Arial"/>
          <w:sz w:val="17"/>
          <w:szCs w:val="17"/>
          <w:color w:val="auto"/>
        </w:rPr>
      </w:pPr>
    </w:p>
    <w:p>
      <w:pPr>
        <w:jc w:val="both"/>
        <w:ind w:left="1280" w:hanging="624"/>
        <w:spacing w:after="0" w:line="259" w:lineRule="auto"/>
        <w:tabs>
          <w:tab w:leader="none" w:pos="12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other provisions of this Addendum and the Plan notwithstanding, this Addendum and the Plan shall be administered and construed so as to avoid any person who receives an Option Grant incurring any adverse tax consequences under Internal Revenue Code Section 409A. The Administrator shall suspend the application of any provisions of the Plan which could, in its sole determination, result in an adverse tax consequence to any person under Internal Revenue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for Dishonesty or Termination for Cause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Notwithstanding any provision of the Plan to the contrary, if the Committee determines, after full consideration of the facts, that:</w:t>
      </w:r>
    </w:p>
    <w:p>
      <w:pPr>
        <w:spacing w:after="0" w:line="225" w:lineRule="exact"/>
        <w:rPr>
          <w:rFonts w:ascii="Arial" w:cs="Arial" w:eastAsia="Arial" w:hAnsi="Arial"/>
          <w:sz w:val="18"/>
          <w:szCs w:val="18"/>
          <w:b w:val="1"/>
          <w:bCs w:val="1"/>
          <w:color w:val="auto"/>
        </w:rPr>
      </w:pPr>
    </w:p>
    <w:p>
      <w:pPr>
        <w:jc w:val="both"/>
        <w:ind w:left="660" w:firstLine="645"/>
        <w:spacing w:after="0" w:line="279" w:lineRule="auto"/>
        <w:tabs>
          <w:tab w:leader="none" w:pos="15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 Participant has been engaged in fraud, embezzlement, theft or commission of a felony in the course of his or her employment by or involvement with the Company, a Subsidiary or a parent corporation as defined in Section 424 of the Code or any direct or indirect subsidiary of such parent (an “</w:t>
      </w:r>
      <w:r>
        <w:rPr>
          <w:rFonts w:ascii="Arial" w:cs="Arial" w:eastAsia="Arial" w:hAnsi="Arial"/>
          <w:sz w:val="17"/>
          <w:szCs w:val="17"/>
          <w:b w:val="1"/>
          <w:bCs w:val="1"/>
          <w:color w:val="auto"/>
        </w:rPr>
        <w:t>Affiliate</w:t>
      </w:r>
      <w:r>
        <w:rPr>
          <w:rFonts w:ascii="Arial" w:cs="Arial" w:eastAsia="Arial" w:hAnsi="Arial"/>
          <w:sz w:val="17"/>
          <w:szCs w:val="17"/>
          <w:color w:val="auto"/>
        </w:rPr>
        <w:t>”) or has made unauthorized disclosure of trade secrets or other proprietary information of the Company, a Subsidiary, an Affiliate or of a third party who has entrusted such information to the Company, a Subsidiary or an Affiliate; or</w:t>
      </w:r>
    </w:p>
    <w:p>
      <w:pPr>
        <w:spacing w:after="0" w:line="171" w:lineRule="exact"/>
        <w:rPr>
          <w:rFonts w:ascii="Arial" w:cs="Arial" w:eastAsia="Arial" w:hAnsi="Arial"/>
          <w:sz w:val="17"/>
          <w:szCs w:val="17"/>
          <w:color w:val="auto"/>
        </w:rPr>
      </w:pPr>
    </w:p>
    <w:p>
      <w:pPr>
        <w:ind w:left="660" w:right="20" w:firstLine="645"/>
        <w:spacing w:after="0" w:line="277" w:lineRule="auto"/>
        <w:tabs>
          <w:tab w:leader="none" w:pos="159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Participant has violated the terms of any employment, noncompetition, nonsolicitation or proprietary information agreement to which he is a party; or</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6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Participant’s employment or involvement with the Company, a Subsidiary or an Affiliate was terminated for “cause,” as defined in any employment agreement with the Participant, if applicable, or if there is no such agreement, as determined by the Committee, which may determine that “cause” includes among other matters the willful failure or refusal of the Participant to perform and carry out his or her assigned duties and responsibilities diligently and in a manner satisfactory to the Committee;</w:t>
      </w:r>
    </w:p>
    <w:p>
      <w:pPr>
        <w:spacing w:after="0" w:line="187"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 xml:space="preserve">then the Participant’s right to exercise an Option shall terminate as of the date of such act (in the case of (a) or (b)) or such termination (in the case of (c)), the Participant shall forfeit all unexercised Options and shall be required to sell to the Company or, in the case the Company is not allowed to repurchase its own shares, to a third party approved by the Company, all or any part of the Shares acquired by the Participant prior to such event, at a price equal to the lesser of their Fair Market Value or the amount paid to the Company upon such transfer or exercise. If a Participant whose behavior the Company asserts falls within the provisions of (a), (b) or (c) above has exercised or attempts to exercise an Option prior to consideration of the application of this Section 6 or prior to a decision of the Committee, the Company shall not be required to recognize such exercise until the Committee has made its decision and, in the event any exercise shall have taken place, it shall be of no force and effect (and shall be void </w:t>
      </w:r>
      <w:r>
        <w:rPr>
          <w:rFonts w:ascii="Arial" w:cs="Arial" w:eastAsia="Arial" w:hAnsi="Arial"/>
          <w:sz w:val="16"/>
          <w:szCs w:val="16"/>
          <w:u w:val="single" w:color="auto"/>
          <w:color w:val="auto"/>
        </w:rPr>
        <w:t>ab initio</w:t>
      </w:r>
      <w:r>
        <w:rPr>
          <w:rFonts w:ascii="Arial" w:cs="Arial" w:eastAsia="Arial" w:hAnsi="Arial"/>
          <w:sz w:val="16"/>
          <w:szCs w:val="16"/>
          <w:color w:val="auto"/>
        </w:rPr>
        <w:t>) if the Committee makes an adverse determination, provided, however, that if the Committee finds in favor of the Participant then the Participant will be deemed to have exercised the Option retroactively as of the date he or she originally gave notice of his or her attempt to exercise or actual exercise, as the case may be. The decision of the Committee as to the cause of a Participant’s discharge and the damage done to the Company shall be final, binding and conclusive. No decision of the Committee, however, shall affect in any manner the finality of the discharge of such Participant by the Company. For purposes of this Section 6, reference to the Company shall include any Subsidiary or Affiliate.</w:t>
      </w:r>
    </w:p>
    <w:p>
      <w:pPr>
        <w:spacing w:after="0" w:line="165" w:lineRule="exact"/>
        <w:rPr>
          <w:sz w:val="20"/>
          <w:szCs w:val="20"/>
          <w:color w:val="auto"/>
        </w:rPr>
      </w:pPr>
    </w:p>
    <w:p>
      <w:pPr>
        <w:ind w:left="640" w:hanging="632"/>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256" w:lineRule="exact"/>
        <w:rPr>
          <w:rFonts w:ascii="Arial" w:cs="Arial" w:eastAsia="Arial" w:hAnsi="Arial"/>
          <w:sz w:val="18"/>
          <w:szCs w:val="18"/>
          <w:b w:val="1"/>
          <w:bCs w:val="1"/>
          <w:color w:val="auto"/>
        </w:rPr>
      </w:pPr>
    </w:p>
    <w:p>
      <w:pPr>
        <w:jc w:val="both"/>
        <w:ind w:lef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To the extent required by law, the Company may withhold or cause to be withheld income and other taxes with respect to any income recognized by a Participant by reason of the exercise of an Option, and as a condition to the receipt of any Option the Participant shall agree that if the amount payable to him by the Company and any Subsidiary in the ordinary course is insufficient to pay such taxes, then he shall upon the request of the Company pay to the Company an amount sufficient to satisfy its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u w:val="single" w:color="auto"/>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Dr. Yaron Daniely, certify that:</w:t>
      </w:r>
    </w:p>
    <w:p>
      <w:pPr>
        <w:spacing w:after="0" w:line="225" w:lineRule="exact"/>
        <w:rPr>
          <w:sz w:val="20"/>
          <w:szCs w:val="20"/>
          <w:color w:val="auto"/>
        </w:rPr>
      </w:pPr>
    </w:p>
    <w:p>
      <w:pPr>
        <w:ind w:left="180" w:hanging="172"/>
        <w:spacing w:after="0"/>
        <w:tabs>
          <w:tab w:leader="none" w:pos="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Alcobra Ltd.;</w:t>
      </w:r>
    </w:p>
    <w:p>
      <w:pPr>
        <w:spacing w:after="0" w:line="225" w:lineRule="exact"/>
        <w:rPr>
          <w:rFonts w:ascii="Arial" w:cs="Arial" w:eastAsia="Arial" w:hAnsi="Arial"/>
          <w:sz w:val="18"/>
          <w:szCs w:val="18"/>
          <w:color w:val="auto"/>
        </w:rPr>
      </w:pPr>
    </w:p>
    <w:p>
      <w:pPr>
        <w:ind w:firstLine="8"/>
        <w:spacing w:after="0" w:line="342" w:lineRule="auto"/>
        <w:tabs>
          <w:tab w:leader="none" w:pos="18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18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firstLine="6"/>
        <w:spacing w:after="0" w:line="277" w:lineRule="auto"/>
        <w:tabs>
          <w:tab w:leader="none" w:pos="57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380" w:firstLine="6"/>
        <w:spacing w:after="0" w:line="308" w:lineRule="auto"/>
        <w:tabs>
          <w:tab w:leader="none" w:pos="583" w:val="left"/>
        </w:tabs>
        <w:numPr>
          <w:ilvl w:val="1"/>
          <w:numId w:val="115"/>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rFonts w:ascii="Arial" w:cs="Arial" w:eastAsia="Arial" w:hAnsi="Arial"/>
          <w:sz w:val="17"/>
          <w:szCs w:val="17"/>
          <w:color w:val="auto"/>
        </w:rPr>
      </w:pPr>
    </w:p>
    <w:p>
      <w:pPr>
        <w:ind w:firstLine="8"/>
        <w:spacing w:after="0" w:line="277" w:lineRule="auto"/>
        <w:tabs>
          <w:tab w:leader="none" w:pos="20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70" w:lineRule="exact"/>
        <w:rPr>
          <w:rFonts w:ascii="Arial" w:cs="Arial" w:eastAsia="Arial" w:hAnsi="Arial"/>
          <w:sz w:val="18"/>
          <w:szCs w:val="18"/>
          <w:color w:val="auto"/>
        </w:rPr>
      </w:pPr>
    </w:p>
    <w:p>
      <w:pPr>
        <w:ind w:left="380" w:firstLine="6"/>
        <w:spacing w:after="0" w:line="277" w:lineRule="auto"/>
        <w:tabs>
          <w:tab w:leader="none" w:pos="56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380" w:firstLine="6"/>
        <w:spacing w:after="0" w:line="277" w:lineRule="auto"/>
        <w:tabs>
          <w:tab w:leader="none" w:pos="57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/s/Dr. Yaron Daniely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Dr. Yaron Daniely</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u w:val="single" w:color="auto"/>
          <w:color w:val="auto"/>
        </w:rPr>
        <w:t>Exhibit 12.2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 RULE 13a-14(a) or 15d-14(a)</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Dr. Tomer Berkovitz, certify that:</w:t>
      </w:r>
    </w:p>
    <w:p>
      <w:pPr>
        <w:spacing w:after="0" w:line="225" w:lineRule="exact"/>
        <w:rPr>
          <w:sz w:val="20"/>
          <w:szCs w:val="20"/>
          <w:color w:val="auto"/>
        </w:rPr>
      </w:pPr>
    </w:p>
    <w:p>
      <w:pPr>
        <w:ind w:left="180" w:hanging="172"/>
        <w:spacing w:after="0"/>
        <w:tabs>
          <w:tab w:leader="none" w:pos="1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Alcobra Ltd.;</w:t>
      </w:r>
    </w:p>
    <w:p>
      <w:pPr>
        <w:spacing w:after="0" w:line="225" w:lineRule="exact"/>
        <w:rPr>
          <w:rFonts w:ascii="Arial" w:cs="Arial" w:eastAsia="Arial" w:hAnsi="Arial"/>
          <w:sz w:val="18"/>
          <w:szCs w:val="18"/>
          <w:color w:val="auto"/>
        </w:rPr>
      </w:pPr>
    </w:p>
    <w:p>
      <w:pPr>
        <w:ind w:firstLine="8"/>
        <w:spacing w:after="0" w:line="342" w:lineRule="auto"/>
        <w:tabs>
          <w:tab w:leader="none" w:pos="18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18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1"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firstLine="6"/>
        <w:spacing w:after="0" w:line="277" w:lineRule="auto"/>
        <w:tabs>
          <w:tab w:leader="none" w:pos="57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380" w:firstLine="6"/>
        <w:spacing w:after="0" w:line="308" w:lineRule="auto"/>
        <w:tabs>
          <w:tab w:leader="none" w:pos="58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rFonts w:ascii="Arial" w:cs="Arial" w:eastAsia="Arial" w:hAnsi="Arial"/>
          <w:sz w:val="17"/>
          <w:szCs w:val="17"/>
          <w:color w:val="auto"/>
        </w:rPr>
      </w:pPr>
    </w:p>
    <w:p>
      <w:pPr>
        <w:ind w:firstLine="8"/>
        <w:spacing w:after="0" w:line="277" w:lineRule="auto"/>
        <w:tabs>
          <w:tab w:leader="none" w:pos="20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70" w:lineRule="exact"/>
        <w:rPr>
          <w:rFonts w:ascii="Arial" w:cs="Arial" w:eastAsia="Arial" w:hAnsi="Arial"/>
          <w:sz w:val="18"/>
          <w:szCs w:val="18"/>
          <w:color w:val="auto"/>
        </w:rPr>
      </w:pPr>
    </w:p>
    <w:p>
      <w:pPr>
        <w:ind w:left="380" w:firstLine="6"/>
        <w:spacing w:after="0" w:line="277" w:lineRule="auto"/>
        <w:tabs>
          <w:tab w:leader="none" w:pos="56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380" w:firstLine="6"/>
        <w:spacing w:after="0" w:line="277" w:lineRule="auto"/>
        <w:tabs>
          <w:tab w:leader="none" w:pos="57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Dr. Tomer Berkovitz</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Dr. Tomer Berkovitz</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u w:val="single" w:color="auto"/>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In connection with the filing of the Annual Report on Form 20-F for the period ended December 31, 2014 (the “Report”) by Alcobra Ltd. (the "Company"), the undersigned, as Chief Executive Officer of the Company, hereby certifies pursuant to 18 U.S.C. Section 1350, as adopted pursuant to Section 906 of the Sarbanes-Oxley Act of 2002, that, to my knowledge:</w:t>
      </w:r>
    </w:p>
    <w:p>
      <w:pPr>
        <w:spacing w:after="0" w:line="181" w:lineRule="exact"/>
        <w:rPr>
          <w:sz w:val="20"/>
          <w:szCs w:val="20"/>
          <w:color w:val="auto"/>
        </w:rPr>
      </w:pPr>
    </w:p>
    <w:p>
      <w:pPr>
        <w:ind w:left="920" w:hanging="264"/>
        <w:spacing w:after="0"/>
        <w:tabs>
          <w:tab w:leader="none" w:pos="9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Yaron Daniely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u w:val="single" w:color="auto"/>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connection with the filing of the Annual Report on Form 20-F for the period ended December 31, 2014 (the “Report”) by Alcobra Ltd. (the "Company"), the undersigned, as Chief Financial Officer of the Company, hereby certifies pursuant to 18 U.S.C. Section 1350, as adopted pursuant to Section 906 of the Sarbanes-Oxley Act of 2002, that, to my knowledge:</w:t>
      </w:r>
    </w:p>
    <w:p>
      <w:pPr>
        <w:spacing w:after="0" w:line="181" w:lineRule="exact"/>
        <w:rPr>
          <w:sz w:val="20"/>
          <w:szCs w:val="20"/>
          <w:color w:val="auto"/>
        </w:rPr>
      </w:pPr>
    </w:p>
    <w:p>
      <w:pPr>
        <w:ind w:left="920" w:hanging="264"/>
        <w:spacing w:after="0"/>
        <w:tabs>
          <w:tab w:leader="none" w:pos="9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Dr. Tomer Berkovitz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Tomer Berkovitz</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u w:val="single" w:color="auto"/>
          <w:color w:val="auto"/>
        </w:rPr>
        <w:t>Exhibit 15.1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on Form F-3 (Registration No. 333-197411) and Registration Statement on Form S-8 (Registration No. 333-194875) of Alcobra Ltd. of our report dated February 26, 2015 with respect to the consolidated financial statements of Alcobra Ltd. and its subsidiary for the year ended December 31, 2014 included in this Annual Report on Form 20-F for the year ended December 31, 2014.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Kost, Forer, Gabbay &amp; Kasierer</w:t>
            </w:r>
          </w:p>
        </w:tc>
        <w:tc>
          <w:tcPr>
            <w:tcW w:w="1780" w:type="dxa"/>
            <w:vAlign w:val="bottom"/>
          </w:tcPr>
          <w:p>
            <w:pPr>
              <w:spacing w:after="0"/>
              <w:rPr>
                <w:sz w:val="17"/>
                <w:szCs w:val="17"/>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Tel Aviv, Israel</w:t>
            </w:r>
          </w:p>
        </w:tc>
        <w:tc>
          <w:tcPr>
            <w:tcW w:w="7380" w:type="dxa"/>
            <w:vAlign w:val="bottom"/>
            <w:gridSpan w:val="3"/>
          </w:tcPr>
          <w:p>
            <w:pPr>
              <w:ind w:left="2720"/>
              <w:spacing w:after="0"/>
              <w:rPr>
                <w:sz w:val="20"/>
                <w:szCs w:val="20"/>
                <w:color w:val="auto"/>
              </w:rPr>
            </w:pPr>
            <w:r>
              <w:rPr>
                <w:rFonts w:ascii="Arial" w:cs="Arial" w:eastAsia="Arial" w:hAnsi="Arial"/>
                <w:sz w:val="18"/>
                <w:szCs w:val="18"/>
                <w:color w:val="auto"/>
              </w:rPr>
              <w:t>KOST, FORER, GABBAY &amp; KASIERER</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February 26, 2015</w:t>
            </w:r>
          </w:p>
        </w:tc>
        <w:tc>
          <w:tcPr>
            <w:tcW w:w="3080" w:type="dxa"/>
            <w:vAlign w:val="bottom"/>
          </w:tcPr>
          <w:p>
            <w:pPr>
              <w:spacing w:after="0"/>
              <w:rPr>
                <w:sz w:val="20"/>
                <w:szCs w:val="20"/>
                <w:color w:val="auto"/>
              </w:rPr>
            </w:pPr>
          </w:p>
        </w:tc>
        <w:tc>
          <w:tcPr>
            <w:tcW w:w="4300" w:type="dxa"/>
            <w:vAlign w:val="bottom"/>
            <w:gridSpan w:val="2"/>
          </w:tcPr>
          <w:p>
            <w:pPr>
              <w:ind w:left="480"/>
              <w:spacing w:after="0"/>
              <w:rPr>
                <w:sz w:val="20"/>
                <w:szCs w:val="20"/>
                <w:color w:val="auto"/>
              </w:rPr>
            </w:pPr>
            <w:r>
              <w:rPr>
                <w:rFonts w:ascii="Arial" w:cs="Arial" w:eastAsia="Arial" w:hAnsi="Arial"/>
                <w:sz w:val="18"/>
                <w:szCs w:val="18"/>
                <w:color w:val="auto"/>
              </w:rPr>
              <w:t>A Member of EY Global</w:t>
            </w:r>
          </w:p>
        </w:tc>
      </w:tr>
      <w:tr>
        <w:trPr>
          <w:trHeight w:val="675"/>
        </w:trPr>
        <w:tc>
          <w:tcPr>
            <w:tcW w:w="40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Ÿ"/>
      <w:numFmt w:val="bullet"/>
      <w:start w:val="1"/>
    </w:lvl>
  </w:abstractNum>
  <w:abstractNum w:abstractNumId="1">
    <w:nsid w:val="741226BB"/>
    <w:multiLevelType w:val="hybridMultilevel"/>
    <w:lvl w:ilvl="0">
      <w:lvlJc w:val="left"/>
      <w:lvlText w:val="Ÿ"/>
      <w:numFmt w:val="bullet"/>
      <w:start w:val="1"/>
    </w:lvl>
  </w:abstractNum>
  <w:abstractNum w:abstractNumId="2">
    <w:nsid w:val="D34B6A8"/>
    <w:multiLevelType w:val="hybridMultilevel"/>
    <w:lvl w:ilvl="0">
      <w:lvlJc w:val="left"/>
      <w:lvlText w:val="Ÿ"/>
      <w:numFmt w:val="bullet"/>
      <w:start w:val="1"/>
    </w:lvl>
  </w:abstractNum>
  <w:abstractNum w:abstractNumId="3">
    <w:nsid w:val="10233C99"/>
    <w:multiLevelType w:val="hybridMultilevel"/>
    <w:lvl w:ilvl="0">
      <w:lvlJc w:val="left"/>
      <w:lvlText w:val="Ÿ"/>
      <w:numFmt w:val="bullet"/>
      <w:start w:val="1"/>
    </w:lvl>
  </w:abstractNum>
  <w:abstractNum w:abstractNumId="4">
    <w:nsid w:val="3F6AB60F"/>
    <w:multiLevelType w:val="hybridMultilevel"/>
    <w:lvl w:ilvl="0">
      <w:lvlJc w:val="left"/>
      <w:lvlText w:val="Ÿ"/>
      <w:numFmt w:val="bullet"/>
      <w:start w:val="1"/>
    </w:lvl>
  </w:abstractNum>
  <w:abstractNum w:abstractNumId="5">
    <w:nsid w:val="61574095"/>
    <w:multiLevelType w:val="hybridMultilevel"/>
    <w:lvl w:ilvl="0">
      <w:lvlJc w:val="left"/>
      <w:lvlText w:val="Ÿ"/>
      <w:numFmt w:val="bullet"/>
      <w:start w:val="1"/>
    </w:lvl>
  </w:abstractNum>
  <w:abstractNum w:abstractNumId="6">
    <w:nsid w:val="7E0C57B1"/>
    <w:multiLevelType w:val="hybridMultilevel"/>
    <w:lvl w:ilvl="0">
      <w:lvlJc w:val="left"/>
      <w:lvlText w:val="Ÿ"/>
      <w:numFmt w:val="bullet"/>
      <w:start w:val="1"/>
    </w:lvl>
  </w:abstractNum>
  <w:abstractNum w:abstractNumId="7">
    <w:nsid w:val="77AE35EB"/>
    <w:multiLevelType w:val="hybridMultilevel"/>
    <w:lvl w:ilvl="0">
      <w:lvlJc w:val="left"/>
      <w:lvlText w:val="Ÿ"/>
      <w:numFmt w:val="bullet"/>
      <w:start w:val="1"/>
    </w:lvl>
  </w:abstractNum>
  <w:abstractNum w:abstractNumId="8">
    <w:nsid w:val="579BE4F1"/>
    <w:multiLevelType w:val="hybridMultilevel"/>
    <w:lvl w:ilvl="0">
      <w:lvlJc w:val="left"/>
      <w:lvlText w:val="Ÿ"/>
      <w:numFmt w:val="bullet"/>
      <w:start w:val="1"/>
    </w:lvl>
  </w:abstractNum>
  <w:abstractNum w:abstractNumId="9">
    <w:nsid w:val="310C50B3"/>
    <w:multiLevelType w:val="hybridMultilevel"/>
    <w:lvl w:ilvl="0">
      <w:lvlJc w:val="left"/>
      <w:lvlText w:val="Ÿ"/>
      <w:numFmt w:val="bullet"/>
      <w:start w:val="1"/>
    </w:lvl>
  </w:abstractNum>
  <w:abstractNum w:abstractNumId="10">
    <w:nsid w:val="5FF87E05"/>
    <w:multiLevelType w:val="hybridMultilevel"/>
    <w:lvl w:ilvl="0">
      <w:lvlJc w:val="left"/>
      <w:lvlText w:val="Ÿ"/>
      <w:numFmt w:val="bullet"/>
      <w:start w:val="1"/>
    </w:lvl>
  </w:abstractNum>
  <w:abstractNum w:abstractNumId="11">
    <w:nsid w:val="2F305DEF"/>
    <w:multiLevelType w:val="hybridMultilevel"/>
    <w:lvl w:ilvl="0">
      <w:lvlJc w:val="left"/>
      <w:lvlText w:val="Ÿ"/>
      <w:numFmt w:val="bullet"/>
      <w:start w:val="1"/>
    </w:lvl>
  </w:abstractNum>
  <w:abstractNum w:abstractNumId="12">
    <w:nsid w:val="25A70BF7"/>
    <w:multiLevelType w:val="hybridMultilevel"/>
    <w:lvl w:ilvl="0">
      <w:lvlJc w:val="left"/>
      <w:lvlText w:val="Ÿ"/>
      <w:numFmt w:val="bullet"/>
      <w:start w:val="1"/>
    </w:lvl>
  </w:abstractNum>
  <w:abstractNum w:abstractNumId="13">
    <w:nsid w:val="1DBABF00"/>
    <w:multiLevelType w:val="hybridMultilevel"/>
    <w:lvl w:ilvl="0">
      <w:lvlJc w:val="left"/>
      <w:lvlText w:val="Ÿ"/>
      <w:numFmt w:val="bullet"/>
      <w:start w:val="1"/>
    </w:lvl>
  </w:abstractNum>
  <w:abstractNum w:abstractNumId="14">
    <w:nsid w:val="4AD084E9"/>
    <w:multiLevelType w:val="hybridMultilevel"/>
    <w:lvl w:ilvl="0">
      <w:lvlJc w:val="left"/>
      <w:lvlText w:val="Ÿ"/>
      <w:numFmt w:val="bullet"/>
      <w:start w:val="1"/>
    </w:lvl>
  </w:abstractNum>
  <w:abstractNum w:abstractNumId="15">
    <w:nsid w:val="1F48EAA1"/>
    <w:multiLevelType w:val="hybridMultilevel"/>
    <w:lvl w:ilvl="0">
      <w:lvlJc w:val="left"/>
      <w:lvlText w:val="Ÿ"/>
      <w:numFmt w:val="bullet"/>
      <w:start w:val="1"/>
    </w:lvl>
  </w:abstractNum>
  <w:abstractNum w:abstractNumId="16">
    <w:nsid w:val="1381823A"/>
    <w:multiLevelType w:val="hybridMultilevel"/>
    <w:lvl w:ilvl="0">
      <w:lvlJc w:val="left"/>
      <w:lvlText w:val="Ÿ"/>
      <w:numFmt w:val="bullet"/>
      <w:start w:val="1"/>
    </w:lvl>
  </w:abstractNum>
  <w:abstractNum w:abstractNumId="17">
    <w:nsid w:val="5DB70AE5"/>
    <w:multiLevelType w:val="hybridMultilevel"/>
    <w:lvl w:ilvl="0">
      <w:lvlJc w:val="left"/>
      <w:lvlText w:val="Ÿ"/>
      <w:numFmt w:val="bullet"/>
      <w:start w:val="1"/>
    </w:lvl>
  </w:abstractNum>
  <w:abstractNum w:abstractNumId="18">
    <w:nsid w:val="100F8FCA"/>
    <w:multiLevelType w:val="hybridMultilevel"/>
    <w:lvl w:ilvl="0">
      <w:lvlJc w:val="left"/>
      <w:lvlText w:val="Ÿ"/>
      <w:numFmt w:val="bullet"/>
      <w:start w:val="1"/>
    </w:lvl>
  </w:abstractNum>
  <w:abstractNum w:abstractNumId="19">
    <w:nsid w:val="6590700B"/>
    <w:multiLevelType w:val="hybridMultilevel"/>
    <w:lvl w:ilvl="0">
      <w:lvlJc w:val="left"/>
      <w:lvlText w:val="Ÿ"/>
      <w:numFmt w:val="bullet"/>
      <w:start w:val="1"/>
    </w:lvl>
  </w:abstractNum>
  <w:abstractNum w:abstractNumId="20">
    <w:nsid w:val="15014ACB"/>
    <w:multiLevelType w:val="hybridMultilevel"/>
    <w:lvl w:ilvl="0">
      <w:lvlJc w:val="left"/>
      <w:lvlText w:val="Ÿ"/>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Ÿ"/>
      <w:numFmt w:val="bullet"/>
      <w:start w:val="1"/>
    </w:lvl>
  </w:abstractNum>
  <w:abstractNum w:abstractNumId="23">
    <w:nsid w:val="799D0247"/>
    <w:multiLevelType w:val="hybridMultilevel"/>
    <w:lvl w:ilvl="0">
      <w:lvlJc w:val="left"/>
      <w:lvlText w:val="Ÿ"/>
      <w:numFmt w:val="bullet"/>
      <w:start w:val="1"/>
    </w:lvl>
  </w:abstractNum>
  <w:abstractNum w:abstractNumId="24">
    <w:nsid w:val="6B94764"/>
    <w:multiLevelType w:val="hybridMultilevel"/>
    <w:lvl w:ilvl="0">
      <w:lvlJc w:val="left"/>
      <w:lvlText w:val="Ÿ"/>
      <w:numFmt w:val="bullet"/>
      <w:start w:val="1"/>
    </w:lvl>
  </w:abstractNum>
  <w:abstractNum w:abstractNumId="25">
    <w:nsid w:val="42C296BD"/>
    <w:multiLevelType w:val="hybridMultilevel"/>
    <w:lvl w:ilvl="0">
      <w:lvlJc w:val="left"/>
      <w:lvlText w:val="Ÿ"/>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Ÿ"/>
      <w:numFmt w:val="bullet"/>
      <w:start w:val="1"/>
    </w:lvl>
    <w:lvl w:ilvl="1">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Ÿ"/>
      <w:numFmt w:val="bullet"/>
      <w:start w:val="1"/>
    </w:lvl>
  </w:abstractNum>
  <w:abstractNum w:abstractNumId="30">
    <w:nsid w:val="540A471C"/>
    <w:multiLevelType w:val="hybridMultilevel"/>
    <w:lvl w:ilvl="0">
      <w:lvlJc w:val="left"/>
      <w:lvlText w:val="Ÿ"/>
      <w:numFmt w:val="bullet"/>
      <w:start w:val="1"/>
    </w:lvl>
  </w:abstractNum>
  <w:abstractNum w:abstractNumId="31">
    <w:nsid w:val="7BD3EE7B"/>
    <w:multiLevelType w:val="hybridMultilevel"/>
    <w:lvl w:ilvl="0">
      <w:lvlJc w:val="left"/>
      <w:lvlText w:val="1"/>
      <w:numFmt w:val="bullet"/>
      <w:start w:val="1"/>
    </w:lvl>
  </w:abstractNum>
  <w:abstractNum w:abstractNumId="32">
    <w:nsid w:val="51D9C564"/>
    <w:multiLevelType w:val="hybridMultilevel"/>
    <w:lvl w:ilvl="0">
      <w:lvlJc w:val="left"/>
      <w:lvlText w:val="Ÿ"/>
      <w:numFmt w:val="bullet"/>
      <w:start w:val="1"/>
    </w:lvl>
  </w:abstractNum>
  <w:abstractNum w:abstractNumId="33">
    <w:nsid w:val="613EFDC5"/>
    <w:multiLevelType w:val="hybridMultilevel"/>
    <w:lvl w:ilvl="0">
      <w:lvlJc w:val="left"/>
      <w:lvlText w:val="Ÿ"/>
      <w:numFmt w:val="bullet"/>
      <w:start w:val="1"/>
    </w:lvl>
  </w:abstractNum>
  <w:abstractNum w:abstractNumId="34">
    <w:nsid w:val="BF72B14"/>
    <w:multiLevelType w:val="hybridMultilevel"/>
    <w:lvl w:ilvl="0">
      <w:lvlJc w:val="left"/>
      <w:lvlText w:val="Ÿ"/>
      <w:numFmt w:val="bullet"/>
      <w:start w:val="1"/>
    </w:lvl>
  </w:abstractNum>
  <w:abstractNum w:abstractNumId="35">
    <w:nsid w:val="11447B73"/>
    <w:multiLevelType w:val="hybridMultilevel"/>
    <w:lvl w:ilvl="0">
      <w:lvlJc w:val="left"/>
      <w:lvlText w:val="Ÿ"/>
      <w:numFmt w:val="bullet"/>
      <w:start w:val="1"/>
    </w:lvl>
  </w:abstractNum>
  <w:abstractNum w:abstractNumId="36">
    <w:nsid w:val="42963E5A"/>
    <w:multiLevelType w:val="hybridMultilevel"/>
    <w:lvl w:ilvl="0">
      <w:lvlJc w:val="left"/>
      <w:lvlText w:val="Ÿ"/>
      <w:numFmt w:val="bullet"/>
      <w:start w:val="1"/>
    </w:lvl>
  </w:abstractNum>
  <w:abstractNum w:abstractNumId="37">
    <w:nsid w:val="A0382C5"/>
    <w:multiLevelType w:val="hybridMultilevel"/>
    <w:lvl w:ilvl="0">
      <w:lvlJc w:val="left"/>
      <w:lvlText w:val="(%1)"/>
      <w:numFmt w:val="lowerRoman"/>
      <w:start w:val="2"/>
    </w:lvl>
  </w:abstractNum>
  <w:abstractNum w:abstractNumId="38">
    <w:nsid w:val="8F2B15E"/>
    <w:multiLevelType w:val="hybridMultilevel"/>
    <w:lvl w:ilvl="0">
      <w:lvlJc w:val="left"/>
      <w:lvlText w:val="Ÿ"/>
      <w:numFmt w:val="bullet"/>
      <w:start w:val="1"/>
    </w:lvl>
    <w:lvl w:ilvl="1">
      <w:lvlJc w:val="left"/>
      <w:lvlText w:val="·"/>
      <w:numFmt w:val="bullet"/>
      <w:start w:val="1"/>
    </w:lvl>
  </w:abstractNum>
  <w:abstractNum w:abstractNumId="39">
    <w:nsid w:val="1A32234B"/>
    <w:multiLevelType w:val="hybridMultilevel"/>
    <w:lvl w:ilvl="0">
      <w:lvlJc w:val="left"/>
      <w:lvlText w:val="(%1)"/>
      <w:numFmt w:val="decimal"/>
      <w:start w:val="1"/>
    </w:lvl>
  </w:abstractNum>
  <w:abstractNum w:abstractNumId="40">
    <w:nsid w:val="3B0FD379"/>
    <w:multiLevelType w:val="hybridMultilevel"/>
    <w:lvl w:ilvl="0">
      <w:lvlJc w:val="left"/>
      <w:lvlText w:val="(%1)"/>
      <w:numFmt w:val="lowerRoman"/>
      <w:start w:val="2"/>
    </w:lvl>
  </w:abstractNum>
  <w:abstractNum w:abstractNumId="41">
    <w:nsid w:val="68EB2F63"/>
    <w:multiLevelType w:val="hybridMultilevel"/>
    <w:lvl w:ilvl="0">
      <w:lvlJc w:val="left"/>
      <w:lvlText w:val="Ÿ"/>
      <w:numFmt w:val="bullet"/>
      <w:start w:val="1"/>
    </w:lvl>
  </w:abstractNum>
  <w:abstractNum w:abstractNumId="42">
    <w:nsid w:val="4962813B"/>
    <w:multiLevelType w:val="hybridMultilevel"/>
    <w:lvl w:ilvl="0">
      <w:lvlJc w:val="left"/>
      <w:lvlText w:val="Ÿ"/>
      <w:numFmt w:val="bullet"/>
      <w:start w:val="1"/>
    </w:lvl>
  </w:abstractNum>
  <w:abstractNum w:abstractNumId="43">
    <w:nsid w:val="60B6DF70"/>
    <w:multiLevelType w:val="hybridMultilevel"/>
    <w:lvl w:ilvl="0">
      <w:lvlJc w:val="left"/>
      <w:lvlText w:val="Ÿ"/>
      <w:numFmt w:val="bullet"/>
      <w:start w:val="1"/>
    </w:lvl>
  </w:abstractNum>
  <w:abstractNum w:abstractNumId="44">
    <w:nsid w:val="6A5EE64"/>
    <w:multiLevelType w:val="hybridMultilevel"/>
    <w:lvl w:ilvl="0">
      <w:lvlJc w:val="left"/>
      <w:lvlText w:val="Ÿ"/>
      <w:numFmt w:val="bullet"/>
      <w:start w:val="1"/>
    </w:lvl>
  </w:abstractNum>
  <w:abstractNum w:abstractNumId="45">
    <w:nsid w:val="14330624"/>
    <w:multiLevelType w:val="hybridMultilevel"/>
    <w:lvl w:ilvl="0">
      <w:lvlJc w:val="left"/>
      <w:lvlText w:val="Ÿ"/>
      <w:numFmt w:val="bullet"/>
      <w:start w:val="1"/>
    </w:lvl>
  </w:abstractNum>
  <w:abstractNum w:abstractNumId="46">
    <w:nsid w:val="7FFFCA11"/>
    <w:multiLevelType w:val="hybridMultilevel"/>
    <w:lvl w:ilvl="0">
      <w:lvlJc w:val="left"/>
      <w:lvlText w:val="Ÿ"/>
      <w:numFmt w:val="bullet"/>
      <w:start w:val="1"/>
    </w:lvl>
  </w:abstractNum>
  <w:abstractNum w:abstractNumId="47">
    <w:nsid w:val="1A27709E"/>
    <w:multiLevelType w:val="hybridMultilevel"/>
    <w:lvl w:ilvl="0">
      <w:lvlJc w:val="left"/>
      <w:lvlText w:val="(%1)"/>
      <w:numFmt w:val="decimal"/>
      <w:start w:val="1"/>
    </w:lvl>
  </w:abstractNum>
  <w:abstractNum w:abstractNumId="48">
    <w:nsid w:val="71EA1109"/>
    <w:multiLevelType w:val="hybridMultilevel"/>
    <w:lvl w:ilvl="0">
      <w:lvlJc w:val="left"/>
      <w:lvlText w:val="Ÿ"/>
      <w:numFmt w:val="bullet"/>
      <w:start w:val="1"/>
    </w:lvl>
  </w:abstractNum>
  <w:abstractNum w:abstractNumId="49">
    <w:nsid w:val="100F59DC"/>
    <w:multiLevelType w:val="hybridMultilevel"/>
    <w:lvl w:ilvl="0">
      <w:lvlJc w:val="left"/>
      <w:lvlText w:val="Ÿ"/>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1)"/>
      <w:numFmt w:val="decimal"/>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1)"/>
      <w:numFmt w:val="decimal"/>
      <w:start w:val="1"/>
    </w:lvl>
  </w:abstractNum>
  <w:abstractNum w:abstractNumId="55">
    <w:nsid w:val="76272110"/>
    <w:multiLevelType w:val="hybridMultilevel"/>
    <w:lvl w:ilvl="0">
      <w:lvlJc w:val="left"/>
      <w:lvlText w:val="Ÿ"/>
      <w:numFmt w:val="bullet"/>
      <w:start w:val="1"/>
    </w:lvl>
  </w:abstractNum>
  <w:abstractNum w:abstractNumId="56">
    <w:nsid w:val="4C04A8AF"/>
    <w:multiLevelType w:val="hybridMultilevel"/>
    <w:lvl w:ilvl="0">
      <w:lvlJc w:val="left"/>
      <w:lvlText w:val="Ÿ"/>
      <w:numFmt w:val="bullet"/>
      <w:start w:val="1"/>
    </w:lvl>
  </w:abstractNum>
  <w:abstractNum w:abstractNumId="57">
    <w:nsid w:val="1716703B"/>
    <w:multiLevelType w:val="hybridMultilevel"/>
    <w:lvl w:ilvl="0">
      <w:lvlJc w:val="left"/>
      <w:lvlText w:val="Ÿ"/>
      <w:numFmt w:val="bullet"/>
      <w:start w:val="1"/>
    </w:lvl>
  </w:abstractNum>
  <w:abstractNum w:abstractNumId="58">
    <w:nsid w:val="14E17E33"/>
    <w:multiLevelType w:val="hybridMultilevel"/>
    <w:lvl w:ilvl="0">
      <w:lvlJc w:val="left"/>
      <w:lvlText w:val="%1"/>
      <w:numFmt w:val="decimal"/>
      <w:start w:val="101"/>
    </w:lvl>
    <w:lvl w:ilvl="1">
      <w:lvlJc w:val="left"/>
      <w:lvlText w:val="∞"/>
      <w:numFmt w:val="bullet"/>
      <w:start w:val="1"/>
    </w:lvl>
  </w:abstractNum>
  <w:abstractNum w:abstractNumId="59">
    <w:nsid w:val="3222E7CD"/>
    <w:multiLevelType w:val="hybridMultilevel"/>
    <w:lvl w:ilvl="0">
      <w:lvlJc w:val="left"/>
      <w:lvlText w:val="%1."/>
      <w:numFmt w:val="lowerLetter"/>
      <w:start w:val="1"/>
    </w:lvl>
  </w:abstractNum>
  <w:abstractNum w:abstractNumId="60">
    <w:nsid w:val="74DE0EE3"/>
    <w:multiLevelType w:val="hybridMultilevel"/>
    <w:lvl w:ilvl="0">
      <w:lvlJc w:val="left"/>
      <w:lvlText w:val="%1."/>
      <w:numFmt w:val="lowerLetter"/>
      <w:start w:val="3"/>
    </w:lvl>
  </w:abstractNum>
  <w:abstractNum w:abstractNumId="61">
    <w:nsid w:val="68EBC550"/>
    <w:multiLevelType w:val="hybridMultilevel"/>
    <w:lvl w:ilvl="0">
      <w:lvlJc w:val="left"/>
      <w:lvlText w:val="%1."/>
      <w:numFmt w:val="lowerLetter"/>
      <w:start w:val="5"/>
    </w:lvl>
  </w:abstractNum>
  <w:abstractNum w:abstractNumId="62">
    <w:nsid w:val="2DF6D648"/>
    <w:multiLevelType w:val="hybridMultilevel"/>
    <w:lvl w:ilvl="0">
      <w:lvlJc w:val="left"/>
      <w:lvlText w:val="%1."/>
      <w:numFmt w:val="lowerLetter"/>
      <w:start w:val="7"/>
    </w:lvl>
  </w:abstractNum>
  <w:abstractNum w:abstractNumId="63">
    <w:nsid w:val="46B7D447"/>
    <w:multiLevelType w:val="hybridMultilevel"/>
    <w:lvl w:ilvl="0">
      <w:lvlJc w:val="left"/>
      <w:lvlText w:val="%1."/>
      <w:numFmt w:val="lowerLetter"/>
      <w:start w:val="8"/>
    </w:lvl>
  </w:abstractNum>
  <w:abstractNum w:abstractNumId="64">
    <w:nsid w:val="4A2AC315"/>
    <w:multiLevelType w:val="hybridMultilevel"/>
    <w:lvl w:ilvl="0">
      <w:lvlJc w:val="left"/>
      <w:lvlText w:val="%1."/>
      <w:numFmt w:val="lowerRoman"/>
      <w:start w:val="1"/>
    </w:lvl>
  </w:abstractNum>
  <w:abstractNum w:abstractNumId="65">
    <w:nsid w:val="39EE015C"/>
    <w:multiLevelType w:val="hybridMultilevel"/>
    <w:lvl w:ilvl="0">
      <w:lvlJc w:val="left"/>
      <w:lvlText w:val="%1."/>
      <w:numFmt w:val="lowerLetter"/>
      <w:start w:val="10"/>
    </w:lvl>
  </w:abstractNum>
  <w:abstractNum w:abstractNumId="66">
    <w:nsid w:val="57FC4FBB"/>
    <w:multiLevelType w:val="hybridMultilevel"/>
    <w:lvl w:ilvl="0">
      <w:lvlJc w:val="left"/>
      <w:lvlText w:val="%1."/>
      <w:numFmt w:val="lowerLetter"/>
      <w:start w:val="11"/>
    </w:lvl>
  </w:abstractNum>
  <w:abstractNum w:abstractNumId="67">
    <w:nsid w:val="CC1016F"/>
    <w:multiLevelType w:val="hybridMultilevel"/>
    <w:lvl w:ilvl="0">
      <w:lvlJc w:val="left"/>
      <w:lvlText w:val="%1."/>
      <w:numFmt w:val="lowerLetter"/>
      <w:start w:val="12"/>
    </w:lvl>
  </w:abstractNum>
  <w:abstractNum w:abstractNumId="68">
    <w:nsid w:val="43F18422"/>
    <w:multiLevelType w:val="hybridMultilevel"/>
    <w:lvl w:ilvl="0">
      <w:lvlJc w:val="left"/>
      <w:lvlText w:val="%1."/>
      <w:numFmt w:val="lowerLetter"/>
      <w:start w:val="13"/>
    </w:lvl>
  </w:abstractNum>
  <w:abstractNum w:abstractNumId="69">
    <w:nsid w:val="60EF0119"/>
    <w:multiLevelType w:val="hybridMultilevel"/>
    <w:lvl w:ilvl="0">
      <w:lvlJc w:val="left"/>
      <w:lvlText w:val="%1."/>
      <w:numFmt w:val="lowerLetter"/>
      <w:start w:val="14"/>
    </w:lvl>
  </w:abstractNum>
  <w:abstractNum w:abstractNumId="70">
    <w:nsid w:val="26F324BA"/>
    <w:multiLevelType w:val="hybridMultilevel"/>
    <w:lvl w:ilvl="0">
      <w:lvlJc w:val="left"/>
      <w:lvlText w:val="%1."/>
      <w:numFmt w:val="lowerLetter"/>
      <w:start w:val="1"/>
    </w:lvl>
    <w:lvl w:ilvl="1">
      <w:lvlJc w:val="left"/>
      <w:lvlText w:val="%2."/>
      <w:numFmt w:val="decimal"/>
      <w:start w:val="1"/>
    </w:lvl>
  </w:abstractNum>
  <w:abstractNum w:abstractNumId="71">
    <w:nsid w:val="7F01579B"/>
    <w:multiLevelType w:val="hybridMultilevel"/>
    <w:lvl w:ilvl="0">
      <w:lvlJc w:val="left"/>
      <w:lvlText w:val="%1."/>
      <w:numFmt w:val="lowerLetter"/>
      <w:start w:val="3"/>
    </w:lvl>
  </w:abstractNum>
  <w:abstractNum w:abstractNumId="72">
    <w:nsid w:val="49DA307D"/>
    <w:multiLevelType w:val="hybridMultilevel"/>
    <w:lvl w:ilvl="0">
      <w:lvlJc w:val="left"/>
      <w:lvlText w:val="%1."/>
      <w:numFmt w:val="lowerLetter"/>
      <w:start w:val="4"/>
    </w:lvl>
  </w:abstractNum>
  <w:abstractNum w:abstractNumId="73">
    <w:nsid w:val="7055A5F5"/>
    <w:multiLevelType w:val="hybridMultilevel"/>
    <w:lvl w:ilvl="0">
      <w:lvlJc w:val="left"/>
      <w:lvlText w:val="%1."/>
      <w:numFmt w:val="lowerLetter"/>
      <w:start w:val="7"/>
    </w:lvl>
  </w:abstractNum>
  <w:abstractNum w:abstractNumId="74">
    <w:nsid w:val="5FB8370B"/>
    <w:multiLevelType w:val="hybridMultilevel"/>
    <w:lvl w:ilvl="0">
      <w:lvlJc w:val="left"/>
      <w:lvlText w:val="%1."/>
      <w:numFmt w:val="lowerLetter"/>
      <w:start w:val="1"/>
    </w:lvl>
  </w:abstractNum>
  <w:abstractNum w:abstractNumId="75">
    <w:nsid w:val="50801EE1"/>
    <w:multiLevelType w:val="hybridMultilevel"/>
    <w:lvl w:ilvl="0">
      <w:lvlJc w:val="left"/>
      <w:lvlText w:val="%1."/>
      <w:numFmt w:val="lowerLetter"/>
      <w:start w:val="2"/>
    </w:lvl>
  </w:abstractNum>
  <w:abstractNum w:abstractNumId="76">
    <w:nsid w:val="488AC1A"/>
    <w:multiLevelType w:val="hybridMultilevel"/>
    <w:lvl w:ilvl="0">
      <w:lvlJc w:val="left"/>
      <w:lvlText w:val="%1."/>
      <w:numFmt w:val="lowerLetter"/>
      <w:start w:val="3"/>
    </w:lvl>
  </w:abstractNum>
  <w:abstractNum w:abstractNumId="77">
    <w:nsid w:val="5FB8011C"/>
    <w:multiLevelType w:val="hybridMultilevel"/>
    <w:lvl w:ilvl="0">
      <w:lvlJc w:val="left"/>
      <w:lvlText w:val="%1."/>
      <w:numFmt w:val="lowerLetter"/>
      <w:start w:val="1"/>
    </w:lvl>
    <w:lvl w:ilvl="1">
      <w:lvlJc w:val="left"/>
      <w:lvlText w:val="%2."/>
      <w:numFmt w:val="decimal"/>
      <w:start w:val="1"/>
    </w:lvl>
  </w:abstractNum>
  <w:abstractNum w:abstractNumId="78">
    <w:nsid w:val="6AA78F7F"/>
    <w:multiLevelType w:val="hybridMultilevel"/>
    <w:lvl w:ilvl="0">
      <w:lvlJc w:val="left"/>
      <w:lvlText w:val="%1."/>
      <w:numFmt w:val="lowerLetter"/>
      <w:start w:val="3"/>
    </w:lvl>
  </w:abstractNum>
  <w:abstractNum w:abstractNumId="79">
    <w:nsid w:val="7672BD23"/>
    <w:multiLevelType w:val="hybridMultilevel"/>
    <w:lvl w:ilvl="0">
      <w:lvlJc w:val="left"/>
      <w:lvlText w:val="%1."/>
      <w:numFmt w:val="lowerLetter"/>
      <w:start w:val="4"/>
    </w:lvl>
  </w:abstractNum>
  <w:abstractNum w:abstractNumId="80">
    <w:nsid w:val="6FC75AF8"/>
    <w:multiLevelType w:val="hybridMultilevel"/>
    <w:lvl w:ilvl="0">
      <w:lvlJc w:val="left"/>
      <w:lvlText w:val="%1."/>
      <w:numFmt w:val="lowerLetter"/>
      <w:start w:val="5"/>
    </w:lvl>
  </w:abstractNum>
  <w:abstractNum w:abstractNumId="81">
    <w:nsid w:val="6A5F7029"/>
    <w:multiLevelType w:val="hybridMultilevel"/>
    <w:lvl w:ilvl="0">
      <w:lvlJc w:val="left"/>
      <w:lvlText w:val="%1."/>
      <w:numFmt w:val="lowerLetter"/>
      <w:start w:val="6"/>
    </w:lvl>
  </w:abstractNum>
  <w:abstractNum w:abstractNumId="82">
    <w:nsid w:val="7D5E18F8"/>
    <w:multiLevelType w:val="hybridMultilevel"/>
    <w:lvl w:ilvl="0">
      <w:lvlJc w:val="left"/>
      <w:lvlText w:val="%1."/>
      <w:numFmt w:val="decimal"/>
      <w:start w:val="1"/>
    </w:lvl>
  </w:abstractNum>
  <w:abstractNum w:abstractNumId="83">
    <w:nsid w:val="5F3534A4"/>
    <w:multiLevelType w:val="hybridMultilevel"/>
    <w:lvl w:ilvl="0">
      <w:lvlJc w:val="left"/>
      <w:lvlText w:val="%1."/>
      <w:numFmt w:val="decimal"/>
      <w:start w:val="3"/>
    </w:lvl>
  </w:abstractNum>
  <w:abstractNum w:abstractNumId="84">
    <w:nsid w:val="73A1821B"/>
    <w:multiLevelType w:val="hybridMultilevel"/>
    <w:lvl w:ilvl="0">
      <w:lvlJc w:val="left"/>
      <w:lvlText w:val="%1."/>
      <w:numFmt w:val="decimal"/>
      <w:start w:val="4"/>
    </w:lvl>
  </w:abstractNum>
  <w:abstractNum w:abstractNumId="85">
    <w:nsid w:val="7DE67713"/>
    <w:multiLevelType w:val="hybridMultilevel"/>
    <w:lvl w:ilvl="0">
      <w:lvlJc w:val="left"/>
      <w:lvlText w:val="%1."/>
      <w:numFmt w:val="decimal"/>
      <w:start w:val="5"/>
    </w:lvl>
  </w:abstractNum>
  <w:abstractNum w:abstractNumId="86">
    <w:nsid w:val="555C55B5"/>
    <w:multiLevelType w:val="hybridMultilevel"/>
    <w:lvl w:ilvl="0">
      <w:lvlJc w:val="left"/>
      <w:lvlText w:val="%1."/>
      <w:numFmt w:val="decimal"/>
      <w:start w:val="6"/>
    </w:lvl>
  </w:abstractNum>
  <w:abstractNum w:abstractNumId="87">
    <w:nsid w:val="3FA62ACA"/>
    <w:multiLevelType w:val="hybridMultilevel"/>
    <w:lvl w:ilvl="0">
      <w:lvlJc w:val="left"/>
      <w:lvlText w:val="%1."/>
      <w:numFmt w:val="decimal"/>
      <w:start w:val="7"/>
    </w:lvl>
  </w:abstractNum>
  <w:abstractNum w:abstractNumId="88">
    <w:nsid w:val="14FCE74E"/>
    <w:multiLevelType w:val="hybridMultilevel"/>
    <w:lvl w:ilvl="0">
      <w:lvlJc w:val="left"/>
      <w:lvlText w:val="%1."/>
      <w:numFmt w:val="decimal"/>
      <w:start w:val="8"/>
    </w:lvl>
  </w:abstractNum>
  <w:abstractNum w:abstractNumId="89">
    <w:nsid w:val="6A3DD3E8"/>
    <w:multiLevelType w:val="hybridMultilevel"/>
    <w:lvl w:ilvl="0">
      <w:lvlJc w:val="left"/>
      <w:lvlText w:val="%1."/>
      <w:numFmt w:val="decimal"/>
      <w:start w:val="9"/>
    </w:lvl>
  </w:abstractNum>
  <w:abstractNum w:abstractNumId="90">
    <w:nsid w:val="71C91298"/>
    <w:multiLevelType w:val="hybridMultilevel"/>
    <w:lvl w:ilvl="0">
      <w:lvlJc w:val="left"/>
      <w:lvlText w:val="%1."/>
      <w:numFmt w:val="decimal"/>
      <w:start w:val="10"/>
    </w:lvl>
  </w:abstractNum>
  <w:abstractNum w:abstractNumId="91">
    <w:nsid w:val="9DAF632"/>
    <w:multiLevelType w:val="hybridMultilevel"/>
    <w:lvl w:ilvl="0">
      <w:lvlJc w:val="left"/>
      <w:lvlText w:val="%1."/>
      <w:numFmt w:val="decimal"/>
      <w:start w:val="11"/>
    </w:lvl>
  </w:abstractNum>
  <w:abstractNum w:abstractNumId="92">
    <w:nsid w:val="53299938"/>
    <w:multiLevelType w:val="hybridMultilevel"/>
    <w:lvl w:ilvl="0">
      <w:lvlJc w:val="left"/>
      <w:lvlText w:val="%1."/>
      <w:numFmt w:val="decimal"/>
      <w:start w:val="12"/>
    </w:lvl>
  </w:abstractNum>
  <w:abstractNum w:abstractNumId="93">
    <w:nsid w:val="1FBFE8E0"/>
    <w:multiLevelType w:val="hybridMultilevel"/>
    <w:lvl w:ilvl="0">
      <w:lvlJc w:val="left"/>
      <w:lvlText w:val="%1."/>
      <w:numFmt w:val="decimal"/>
      <w:start w:val="13"/>
    </w:lvl>
  </w:abstractNum>
  <w:abstractNum w:abstractNumId="94">
    <w:nsid w:val="5092CA79"/>
    <w:multiLevelType w:val="hybridMultilevel"/>
    <w:lvl w:ilvl="0">
      <w:lvlJc w:val="left"/>
      <w:lvlText w:val="%1."/>
      <w:numFmt w:val="decimal"/>
      <w:start w:val="14"/>
    </w:lvl>
  </w:abstractNum>
  <w:abstractNum w:abstractNumId="95">
    <w:nsid w:val="1D545C4D"/>
    <w:multiLevelType w:val="hybridMultilevel"/>
    <w:lvl w:ilvl="0">
      <w:lvlJc w:val="left"/>
      <w:lvlText w:val="%1."/>
      <w:numFmt w:val="decimal"/>
      <w:start w:val="15"/>
    </w:lvl>
  </w:abstractNum>
  <w:abstractNum w:abstractNumId="96">
    <w:nsid w:val="59ADEA3D"/>
    <w:multiLevelType w:val="hybridMultilevel"/>
    <w:lvl w:ilvl="0">
      <w:lvlJc w:val="left"/>
      <w:lvlText w:val="%1."/>
      <w:numFmt w:val="decimal"/>
      <w:start w:val="17"/>
    </w:lvl>
  </w:abstractNum>
  <w:abstractNum w:abstractNumId="97">
    <w:nsid w:val="288F1A34"/>
    <w:multiLevelType w:val="hybridMultilevel"/>
    <w:lvl w:ilvl="0">
      <w:lvlJc w:val="left"/>
      <w:lvlText w:val="%1."/>
      <w:numFmt w:val="decimal"/>
      <w:start w:val="18"/>
    </w:lvl>
  </w:abstractNum>
  <w:abstractNum w:abstractNumId="98">
    <w:nsid w:val="2A155DBC"/>
    <w:multiLevelType w:val="hybridMultilevel"/>
    <w:lvl w:ilvl="0">
      <w:lvlJc w:val="left"/>
      <w:lvlText w:val="%1."/>
      <w:numFmt w:val="decimal"/>
      <w:start w:val="19"/>
    </w:lvl>
  </w:abstractNum>
  <w:abstractNum w:abstractNumId="99">
    <w:nsid w:val="1D9F6E5F"/>
    <w:multiLevelType w:val="hybridMultilevel"/>
    <w:lvl w:ilvl="0">
      <w:lvlJc w:val="left"/>
      <w:lvlText w:val="%1."/>
      <w:numFmt w:val="decimal"/>
      <w:start w:val="20"/>
    </w:lvl>
  </w:abstractNum>
  <w:abstractNum w:abstractNumId="100">
    <w:nsid w:val="97E1B4E"/>
    <w:multiLevelType w:val="hybridMultilevel"/>
    <w:lvl w:ilvl="0">
      <w:lvlJc w:val="left"/>
      <w:lvlText w:val="%1."/>
      <w:numFmt w:val="decimal"/>
      <w:start w:val="21"/>
    </w:lvl>
  </w:abstractNum>
  <w:abstractNum w:abstractNumId="101">
    <w:nsid w:val="51088277"/>
    <w:multiLevelType w:val="hybridMultilevel"/>
    <w:lvl w:ilvl="0">
      <w:lvlJc w:val="left"/>
      <w:lvlText w:val="%1."/>
      <w:numFmt w:val="decimal"/>
      <w:start w:val="22"/>
    </w:lvl>
  </w:abstractNum>
  <w:abstractNum w:abstractNumId="102">
    <w:nsid w:val="1CA0C5FA"/>
    <w:multiLevelType w:val="hybridMultilevel"/>
    <w:lvl w:ilvl="0">
      <w:lvlJc w:val="left"/>
      <w:lvlText w:val="%1."/>
      <w:numFmt w:val="decimal"/>
      <w:start w:val="1"/>
    </w:lvl>
  </w:abstractNum>
  <w:abstractNum w:abstractNumId="103">
    <w:nsid w:val="53584BCB"/>
    <w:multiLevelType w:val="hybridMultilevel"/>
    <w:lvl w:ilvl="0">
      <w:lvlJc w:val="left"/>
      <w:lvlText w:val="%1."/>
      <w:numFmt w:val="decimal"/>
      <w:start w:val="2"/>
    </w:lvl>
  </w:abstractNum>
  <w:abstractNum w:abstractNumId="104">
    <w:nsid w:val="415E286C"/>
    <w:multiLevelType w:val="hybridMultilevel"/>
    <w:lvl w:ilvl="0">
      <w:lvlJc w:val="left"/>
      <w:lvlText w:val="%1."/>
      <w:numFmt w:val="decimal"/>
      <w:start w:val="3"/>
    </w:lvl>
  </w:abstractNum>
  <w:abstractNum w:abstractNumId="105">
    <w:nsid w:val="7C58FD05"/>
    <w:multiLevelType w:val="hybridMultilevel"/>
    <w:lvl w:ilvl="0">
      <w:lvlJc w:val="left"/>
      <w:lvlText w:val="%1."/>
      <w:numFmt w:val="decimal"/>
      <w:start w:val="6"/>
    </w:lvl>
  </w:abstractNum>
  <w:abstractNum w:abstractNumId="106">
    <w:nsid w:val="23D86AAC"/>
    <w:multiLevelType w:val="hybridMultilevel"/>
    <w:lvl w:ilvl="0">
      <w:lvlJc w:val="left"/>
      <w:lvlText w:val="%1."/>
      <w:numFmt w:val="decimal"/>
      <w:start w:val="7"/>
    </w:lvl>
  </w:abstractNum>
  <w:abstractNum w:abstractNumId="107">
    <w:nsid w:val="45E6D486"/>
    <w:multiLevelType w:val="hybridMultilevel"/>
    <w:lvl w:ilvl="0">
      <w:lvlJc w:val="left"/>
      <w:lvlText w:val="%1."/>
      <w:numFmt w:val="decimal"/>
      <w:start w:val="9"/>
    </w:lvl>
  </w:abstractNum>
  <w:abstractNum w:abstractNumId="108">
    <w:nsid w:val="5C10FE21"/>
    <w:multiLevelType w:val="hybridMultilevel"/>
    <w:lvl w:ilvl="0">
      <w:lvlJc w:val="left"/>
      <w:lvlText w:val="%1."/>
      <w:numFmt w:val="decimal"/>
      <w:start w:val="10"/>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11">
    <w:nsid w:val="4BD8591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12">
    <w:nsid w:val="78DF6A55"/>
    <w:multiLevelType w:val="hybridMultilevel"/>
    <w:lvl w:ilvl="0">
      <w:lvlJc w:val="left"/>
      <w:lvlText w:val="%1."/>
      <w:numFmt w:val="decimal"/>
      <w:start w:val="6"/>
    </w:lvl>
    <w:lvl w:ilvl="1">
      <w:lvlJc w:val="left"/>
      <w:lvlText w:val="(%2)"/>
      <w:numFmt w:val="lowerLetter"/>
      <w:start w:val="1"/>
    </w:lvl>
  </w:abstractNum>
  <w:abstractNum w:abstractNumId="113">
    <w:nsid w:val="39B7AAA2"/>
    <w:multiLevelType w:val="hybridMultilevel"/>
    <w:lvl w:ilvl="0">
      <w:lvlJc w:val="left"/>
      <w:lvlText w:val="%1."/>
      <w:numFmt w:val="decimal"/>
      <w:start w:val="7"/>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2019-12-09T04:05:45Z</dcterms:created>
  <dcterms:modified xsi:type="dcterms:W3CDTF">2019-12-09T04:05:45Z</dcterms:modified>
</cp:coreProperties>
</file>