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w:t>
      </w:r>
    </w:p>
    <w:p>
      <w:pPr>
        <w:spacing w:after="0" w:line="166"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5000" w:firstLine="8"/>
        <w:spacing w:after="0" w:line="21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38"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 Title of each class of securities to which transaction applies:</w:t>
      </w:r>
    </w:p>
    <w:p>
      <w:pPr>
        <w:spacing w:after="0" w:line="238"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2) 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4"/>
          <w:szCs w:val="24"/>
          <w:color w:val="auto"/>
        </w:rPr>
      </w:pPr>
    </w:p>
    <w:p>
      <w:pPr>
        <w:ind w:left="260" w:right="3660" w:hanging="252"/>
        <w:spacing w:after="0" w:line="282"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ind w:left="680" w:hanging="672"/>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680" w:hanging="672"/>
        <w:spacing w:after="0" w:line="258" w:lineRule="auto"/>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4"/>
          <w:szCs w:val="24"/>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3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16"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2479675</wp:posOffset>
            </wp:positionH>
            <wp:positionV relativeFrom="page">
              <wp:posOffset>457835</wp:posOffset>
            </wp:positionV>
            <wp:extent cx="2554605" cy="857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invite you to attend the 2024 annual meeting of stockholders (the “Annual Meeting”) of Arcturus Therapeutics Holdings Inc. (the “Company” or “Arcturus”), to be held on June 14, 2024 at 9:00 a.m. Pacific Time, at https://www.cstproxy.com/arcturusrx/2024. The Annual Meeting will be a completely virtual meeting of stockholders, which will be conducted exclusively on the internet. No physical meeting will be held.</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Details regarding how to attend the entirely virtual Annual Meeting and the business to be conducted at the Annual Meeting are more fully described in the accompanying notice of annual meeting of stockholders and proxy statement.</w:t>
      </w:r>
    </w:p>
    <w:p>
      <w:pPr>
        <w:spacing w:after="0" w:line="162"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Your vote is important. Regardless of whether you plan to attend the virtual Annual Meeting, it is important that your shares be represented and voted at the Annual Meeting, and we hope you will vote as soon as possible. You may vote by proxy over the Internet or by mail by following the instructions on the proxy card or voting instruction card. Voting over the Internet, written proxy or voting instruction card will ensure your representation at the Annual Meeting regardless of whether you attend the Annual Meeting.</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Thank you for your ongoing support of, and continued interest in, Arcturus.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38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w w:val="99"/>
              </w:rPr>
              <w:t>/s/ Dr. Peter Farrell</w:t>
            </w:r>
          </w:p>
        </w:tc>
        <w:tc>
          <w:tcPr>
            <w:tcW w:w="44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/s/ Joseph E. Payne</w:t>
            </w:r>
          </w:p>
        </w:tc>
      </w:tr>
      <w:tr>
        <w:trPr>
          <w:trHeight w:val="216"/>
        </w:trPr>
        <w:tc>
          <w:tcPr>
            <w:tcW w:w="3380" w:type="dxa"/>
            <w:vAlign w:val="bottom"/>
          </w:tcPr>
          <w:p>
            <w:pPr>
              <w:jc w:val="center"/>
              <w:ind w:right="1570"/>
              <w:spacing w:after="0"/>
              <w:rPr>
                <w:sz w:val="20"/>
                <w:szCs w:val="20"/>
                <w:color w:val="auto"/>
              </w:rPr>
            </w:pPr>
            <w:r>
              <w:rPr>
                <w:rFonts w:ascii="Times New Roman" w:cs="Times New Roman" w:eastAsia="Times New Roman" w:hAnsi="Times New Roman"/>
                <w:sz w:val="18"/>
                <w:szCs w:val="18"/>
                <w:color w:val="auto"/>
                <w:w w:val="98"/>
              </w:rPr>
              <w:t>Dr. Peter Farrell</w:t>
            </w:r>
          </w:p>
        </w:tc>
        <w:tc>
          <w:tcPr>
            <w:tcW w:w="44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44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2479675</wp:posOffset>
            </wp:positionH>
            <wp:positionV relativeFrom="page">
              <wp:posOffset>457200</wp:posOffset>
            </wp:positionV>
            <wp:extent cx="2554605" cy="857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55460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9:00 a.m. Pacific Time, on June 14,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Virtually via the Internet at https://www.cstproxy.com/arcturusrx/2024. No physical meeting will be held.</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Items of </w:t>
      </w:r>
      <w:r>
        <w:rPr>
          <w:rFonts w:ascii="Times New Roman" w:cs="Times New Roman" w:eastAsia="Times New Roman" w:hAnsi="Times New Roman"/>
          <w:sz w:val="18"/>
          <w:szCs w:val="18"/>
          <w:color w:val="auto"/>
        </w:rPr>
        <w:t>(1) To elect Dr. Peter Farrell, Joseph E. Payne, Andy Sassine, James Barlow, Dr. Edward W. Holmes, Dr. Magda Marquet, Dr. Jing L. Marantz,</w:t>
      </w:r>
      <w:r>
        <w:rPr>
          <w:rFonts w:ascii="Times New Roman" w:cs="Times New Roman" w:eastAsia="Times New Roman" w:hAnsi="Times New Roman"/>
          <w:sz w:val="18"/>
          <w:szCs w:val="18"/>
          <w:b w:val="1"/>
          <w:bCs w:val="1"/>
          <w:color w:val="auto"/>
        </w:rPr>
        <w:t xml:space="preserve"> Business</w:t>
      </w:r>
      <w:r>
        <w:rPr>
          <w:rFonts w:ascii="Times New Roman" w:cs="Times New Roman" w:eastAsia="Times New Roman" w:hAnsi="Times New Roman"/>
          <w:sz w:val="18"/>
          <w:szCs w:val="18"/>
          <w:color w:val="auto"/>
        </w:rPr>
        <w:t>and Dr. John Markels to the Board of Directors (the “Board”), to serve until our next annual meeting of stockholders.</w:t>
      </w:r>
    </w:p>
    <w:p>
      <w:pPr>
        <w:spacing w:after="0" w:line="159" w:lineRule="exact"/>
        <w:rPr>
          <w:sz w:val="20"/>
          <w:szCs w:val="20"/>
          <w:color w:val="auto"/>
        </w:rPr>
      </w:pPr>
    </w:p>
    <w:p>
      <w:pPr>
        <w:ind w:left="660" w:firstLine="9"/>
        <w:spacing w:after="0" w:line="266"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and Restated 2019 Omnibus Equity Incentive Plan (as amended, the “Plan”) to, among other things, increase the maximum number of shares of common stock available to Plan participants thereunder by 2,000,000 shares to an aggregate of 10,750,000 shares (the “Amendment”).</w:t>
      </w:r>
    </w:p>
    <w:p>
      <w:pPr>
        <w:spacing w:after="0" w:line="175"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resolution approving named executive officer compensation.</w:t>
      </w:r>
    </w:p>
    <w:p>
      <w:pPr>
        <w:spacing w:after="0" w:line="225" w:lineRule="exact"/>
        <w:rPr>
          <w:rFonts w:ascii="Times New Roman" w:cs="Times New Roman" w:eastAsia="Times New Roman" w:hAnsi="Times New Roman"/>
          <w:sz w:val="18"/>
          <w:szCs w:val="18"/>
          <w:color w:val="auto"/>
        </w:rPr>
      </w:pPr>
    </w:p>
    <w:p>
      <w:pPr>
        <w:ind w:left="660" w:right="380" w:firstLine="9"/>
        <w:spacing w:after="0" w:line="282" w:lineRule="auto"/>
        <w:tabs>
          <w:tab w:leader="none" w:pos="9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(“Deloitte”), as our independent registered public accounting firm for the fiscal year ending December 31, 2024.</w:t>
      </w:r>
    </w:p>
    <w:p>
      <w:pPr>
        <w:spacing w:after="0" w:line="161" w:lineRule="exact"/>
        <w:rPr>
          <w:rFonts w:ascii="Times New Roman" w:cs="Times New Roman" w:eastAsia="Times New Roman" w:hAnsi="Times New Roman"/>
          <w:sz w:val="18"/>
          <w:szCs w:val="18"/>
          <w:color w:val="auto"/>
        </w:rPr>
      </w:pPr>
    </w:p>
    <w:p>
      <w:pPr>
        <w:ind w:left="920" w:hanging="251"/>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Adjournments </w:t>
      </w:r>
      <w:r>
        <w:rPr>
          <w:rFonts w:ascii="Times New Roman" w:cs="Times New Roman" w:eastAsia="Times New Roman" w:hAnsi="Times New Roman"/>
          <w:sz w:val="18"/>
          <w:szCs w:val="18"/>
          <w:color w:val="auto"/>
        </w:rPr>
        <w:t>Any action on the items of business described above may be considered at the annual meeting at the time and on the date specified above or</w:t>
      </w:r>
    </w:p>
    <w:p>
      <w:pPr>
        <w:spacing w:after="0" w:line="3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and</w:t>
      </w:r>
      <w:r>
        <w:rPr>
          <w:sz w:val="20"/>
          <w:szCs w:val="20"/>
          <w:color w:val="auto"/>
        </w:rPr>
        <w:tab/>
      </w:r>
      <w:r>
        <w:rPr>
          <w:rFonts w:ascii="Times New Roman" w:cs="Times New Roman" w:eastAsia="Times New Roman" w:hAnsi="Times New Roman"/>
          <w:sz w:val="18"/>
          <w:szCs w:val="18"/>
          <w:color w:val="auto"/>
        </w:rPr>
        <w:t>at any time and date to which the annual meeting may be properly adjourned or postponed.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Postponements</w:t>
      </w:r>
    </w:p>
    <w:p>
      <w:pPr>
        <w:sectPr>
          <w:pgSz w:w="11900" w:h="16838" w:orient="portrait"/>
          <w:cols w:equalWidth="0" w:num="1">
            <w:col w:w="11240"/>
          </w:cols>
          <w:pgMar w:left="320" w:top="725"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April 22, 2024. Only stockholders of record of our common stock as of April 22, 2024 are entitled to notice of and to vote at the annual meeting.</w:t>
      </w:r>
    </w:p>
    <w:p>
      <w:pPr>
        <w:spacing w:after="0" w:line="158" w:lineRule="exact"/>
        <w:rPr>
          <w:sz w:val="20"/>
          <w:szCs w:val="20"/>
          <w:color w:val="auto"/>
        </w:rPr>
      </w:pPr>
    </w:p>
    <w:p>
      <w:pPr>
        <w:sectPr>
          <w:pgSz w:w="11900" w:h="16838" w:orient="portrait"/>
          <w:cols w:equalWidth="0" w:num="2">
            <w:col w:w="980" w:space="180"/>
            <w:col w:w="10080"/>
          </w:cols>
          <w:pgMar w:left="320" w:top="725" w:right="33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Meeting Admission</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You are invited to virtually attend the annual meeting if you are a stockholder of record or a beneficial owner of shares of our common stock, in each case, as of April 22, 2024. You may attend the Annual Meeting and vote during the Annual Meeting by visiting https://www.cstproxy.com/arcturusrx/2024 and using your control number to enter the virtual Annual Meeting. If you are not a stockholder of record but hold shares as a beneficial owner in street name, you may be required to provide proof of beneficial ownership.</w:t>
      </w:r>
    </w:p>
    <w:p>
      <w:pPr>
        <w:spacing w:after="0" w:line="176" w:lineRule="exact"/>
        <w:rPr>
          <w:sz w:val="20"/>
          <w:szCs w:val="20"/>
          <w:color w:val="auto"/>
        </w:rPr>
      </w:pPr>
    </w:p>
    <w:p>
      <w:pPr>
        <w:sectPr>
          <w:pgSz w:w="11900" w:h="16838" w:orient="portrait"/>
          <w:cols w:equalWidth="0" w:num="2">
            <w:col w:w="820" w:space="340"/>
            <w:col w:w="10080"/>
          </w:cols>
          <w:pgMar w:left="320" w:top="7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You may vote by proxy over the Internet or by mail by following the instructions on the proxy card or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 card.</w:t>
      </w:r>
    </w:p>
    <w:p>
      <w:pPr>
        <w:spacing w:after="0" w:line="157" w:lineRule="exact"/>
        <w:rPr>
          <w:sz w:val="20"/>
          <w:szCs w:val="20"/>
          <w:color w:val="auto"/>
        </w:rPr>
      </w:pPr>
    </w:p>
    <w:p>
      <w:pPr>
        <w:sectPr>
          <w:pgSz w:w="11900" w:h="16838" w:orient="portrait"/>
          <w:cols w:equalWidth="0" w:num="2">
            <w:col w:w="520" w:space="640"/>
            <w:col w:w="10080"/>
          </w:cols>
          <w:pgMar w:left="320" w:top="725" w:right="339" w:bottom="1440" w:gutter="0" w:footer="0" w:header="0"/>
          <w:type w:val="continuous"/>
        </w:sectPr>
      </w:pPr>
    </w:p>
    <w:p>
      <w:pPr>
        <w:ind w:left="1160"/>
        <w:spacing w:after="0" w:line="284" w:lineRule="auto"/>
        <w:rPr>
          <w:sz w:val="20"/>
          <w:szCs w:val="20"/>
          <w:color w:val="auto"/>
        </w:rPr>
      </w:pPr>
      <w:r>
        <w:rPr>
          <w:rFonts w:ascii="Times New Roman" w:cs="Times New Roman" w:eastAsia="Times New Roman" w:hAnsi="Times New Roman"/>
          <w:sz w:val="18"/>
          <w:szCs w:val="18"/>
          <w:color w:val="auto"/>
        </w:rPr>
        <w:t>For specific instructions on how to vote your shares, please refer to the section entitled “</w:t>
      </w:r>
      <w:r>
        <w:rPr>
          <w:rFonts w:ascii="Times New Roman" w:cs="Times New Roman" w:eastAsia="Times New Roman" w:hAnsi="Times New Roman"/>
          <w:sz w:val="18"/>
          <w:szCs w:val="18"/>
          <w:i w:val="1"/>
          <w:iCs w:val="1"/>
          <w:color w:val="auto"/>
        </w:rPr>
        <w:t>Questions and Answers About the Proxy Materials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Annual Meeting</w:t>
      </w:r>
      <w:r>
        <w:rPr>
          <w:rFonts w:ascii="Times New Roman" w:cs="Times New Roman" w:eastAsia="Times New Roman" w:hAnsi="Times New Roman"/>
          <w:sz w:val="18"/>
          <w:szCs w:val="18"/>
          <w:color w:val="auto"/>
        </w:rPr>
        <w:t>” in the accompanying proxy statement.</w:t>
      </w:r>
    </w:p>
    <w:p>
      <w:pPr>
        <w:sectPr>
          <w:pgSz w:w="11900" w:h="16838" w:orient="portrait"/>
          <w:cols w:equalWidth="0" w:num="1">
            <w:col w:w="11240"/>
          </w:cols>
          <w:pgMar w:left="320" w:top="725" w:right="339" w:bottom="1440" w:gutter="0" w:footer="0" w:header="0"/>
          <w:type w:val="continuous"/>
        </w:sectPr>
      </w:pP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Dr. Peter Farrell</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Dr. Peter Farrell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082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2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108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QUESTIONS AND ANSWERS ABOUT THE PROXY MATERIALS AND ANNUAL MEETING</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AND CORPORATE GOVERNANCE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NUMBER 1. ELECTION OF DIRECTORS</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PROPOSAL NUMBER 2. TO APPROVE THE AMENDMENT TO THE AMENDED AND RESTATED 2019 OMNIBUS EQUITY INCENTIVE</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2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10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PROPOSAL NUMBER 3. TO APPROVE BY NON-BINDING ADVISORY VOTE, THE RESOLUTION APPROVING THE COMPANY’S</w:t>
            </w:r>
          </w:p>
        </w:tc>
        <w:tc>
          <w:tcPr>
            <w:tcW w:w="4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NAMED EXECUTIVE OFFICER COMPENSATION</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Times New Roman" w:cs="Times New Roman" w:eastAsia="Times New Roman" w:hAnsi="Times New Roman"/>
                <w:sz w:val="18"/>
                <w:szCs w:val="18"/>
                <w:color w:val="auto"/>
              </w:rPr>
              <w:t>PROPOSAL NUMBER 4. RATIFICATION OF APPOINTMENT OF INDEPENDENT REGISTERED PUBLIC ACCOUNTING FIRM</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THE AUDIT COMMITTEE</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OWNERSHIP</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PROPOSALS OF STOCKHOLDERS FOR 2025 ANNUAL MEETING</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10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8"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PROXY STATEMENT FOR THE 2024 ANNUAL MEETING OF STOCKHOLDERS TO BE HELD ON JUNE 14, 2024</w:t>
      </w:r>
    </w:p>
    <w:p>
      <w:pPr>
        <w:spacing w:after="0" w:line="175"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information provided in the “Questions and Answers” format below is for your convenience only and is merely a summary of the information contained in this proxy statement. You should read the entire proxy statement carefully. In this proxy statement, we refer to Arcturus Therapeutics Holdings Inc., a Delaware corporation, as Arcturus, the Company, we, us, our and other similar pronouns.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THE PROXY MATERIALS AND ANNUAL MEETING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for use at the 2024 annual meeting of stockholders of Arcturus Therapeutics Holdings Inc., a Delaware corporation, and any postponements or adjournments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June 14, 2024 at 9:00 a.m. Pacific Time, at https://www.cstproxy.com/arcturusrx/2024. The Annual Meeting will be a completely virtual meeting of stockholders.</w:t>
      </w:r>
    </w:p>
    <w:p>
      <w:pPr>
        <w:spacing w:after="0" w:line="16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Stockholders are invited to attend the virtual annual meeting and are requested to vote on the items of business described in this proxy statement. The proxy statement is being mailed on or about May 1, 2024 to all stockholders entitled to vote at the annual meeting.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Who may vote at the annual meeting?</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Only stockholders of record as of the close of business on April 22, 2024, the record date, are entitled to vote at the annual meeting. As of the record date, there were 26,928,041 shares of our common stock issued and outstanding, held by nine holders of record. We do not have cumulative voting rights for the election of directors.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at the close of business on the record date for the annual meeting, your shares were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in your name with our transfer agent, Continental Stock Transfer &amp; Trust Company (“Continental”), then you are a stockholder of record. As a stockholder of record, you have the right to grant your voting proxy directly to the individuals listed on the proxy card or to vote online, by mail, or in person at the annual meeting.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r>
        <w:rPr>
          <w:rFonts w:ascii="Times New Roman" w:cs="Times New Roman" w:eastAsia="Times New Roman" w:hAnsi="Times New Roman"/>
          <w:sz w:val="18"/>
          <w:szCs w:val="18"/>
          <w:color w:val="auto"/>
        </w:rPr>
        <w:t>. If, at the close of business on the record date for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your shares were held, not in your name, but rather in an account at a brokerage firm, bank, or other nominee,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annual meeting. However, since you are not the stockholder of record, you may not vote your shares in person at the annual meeting unless you obtain a valid proxy from your broker, bank or other nominee.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gain admission to the virtual annual meeting or vote my shares at the virtual annual meeting?</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You are entitled to attend the virtual Annual Meeting only if you were a stockholder of record as of the record date for the Annual Meeting, which was April 22, 2024, or you hold a valid proxy for the Annual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Stockholders</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6" w:name="page7"/>
    <w:bookmarkEnd w:id="6"/>
    <w:p>
      <w:pPr>
        <w:ind w:right="60"/>
        <w:spacing w:after="0" w:line="261" w:lineRule="auto"/>
        <w:rPr>
          <w:sz w:val="20"/>
          <w:szCs w:val="20"/>
          <w:color w:val="auto"/>
        </w:rPr>
      </w:pPr>
      <w:r>
        <w:rPr>
          <w:rFonts w:ascii="Times New Roman" w:cs="Times New Roman" w:eastAsia="Times New Roman" w:hAnsi="Times New Roman"/>
          <w:sz w:val="18"/>
          <w:szCs w:val="18"/>
          <w:color w:val="auto"/>
        </w:rPr>
        <w:t>If your shares are registered in your name with Arcturus’ transfer agent and you wish to attend the online-only virtual meeting, go to https://www.cstproxy.com/arcturusrx/2024, enter the control number you received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Beneficial stockholders who wish to attend the online-only virtual meeting must obtain a legal proxy by contacting their account representative at the bank, broker, or other nominee that holds their shares and e-mail a copy (a legible photograph is sufficient) of their legal proxy to our transfer agent, Continental Stock Transfer (“Continental”), proxy@continentalstock.com. Beneficial stockholders who e-mail a valid legal proxy will be issued a meeting control number that will allow them to register to attend and participate in the online-only meeting. After contacting Continental, a beneficial holder will receive an e-mail prior to the meeting with a link and instructions for entering the virtual meeting. Beneficial stockholders should contact Continental at least five business days prior to the meeting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questions at the virtual Annual Meeting?</w:t>
      </w:r>
    </w:p>
    <w:p>
      <w:pPr>
        <w:spacing w:after="0" w:line="229" w:lineRule="exact"/>
        <w:rPr>
          <w:sz w:val="20"/>
          <w:szCs w:val="20"/>
          <w:color w:val="auto"/>
        </w:rPr>
      </w:pPr>
    </w:p>
    <w:p>
      <w:pPr>
        <w:ind w:left="20" w:right="60"/>
        <w:spacing w:after="0" w:line="266" w:lineRule="auto"/>
        <w:rPr>
          <w:sz w:val="20"/>
          <w:szCs w:val="20"/>
          <w:color w:val="auto"/>
        </w:rPr>
      </w:pPr>
      <w:r>
        <w:rPr>
          <w:rFonts w:ascii="Times New Roman" w:cs="Times New Roman" w:eastAsia="Times New Roman" w:hAnsi="Times New Roman"/>
          <w:sz w:val="18"/>
          <w:szCs w:val="18"/>
          <w:color w:val="auto"/>
        </w:rPr>
        <w:t>Stockholders have multiple opportunities to submit questions to the Company for the virtual Annual Meeting. Stockholders who wish to submit a question in advance may do so at https://www.cstproxy.com/arcturusrx/2024. Stockholders may also submit questions online during the meeting at https://www.cstproxy.com/arcturusrx/2024. Given time constraints, some questions may not be addressed during the virtual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the following ways:</w:t>
      </w:r>
    </w:p>
    <w:p>
      <w:pPr>
        <w:spacing w:after="0" w:line="225"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mail. Complete, sign and date the proxy card that accompanies this proxy statement and return it promptly in the postage-prepaid envelope provided. Your completed, signed and dated proxy card must be received prior to the annual meeting.</w:t>
      </w:r>
    </w:p>
    <w:p>
      <w:pPr>
        <w:jc w:val="both"/>
        <w:ind w:left="660" w:right="8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via the Internet. To vote via the Internet, go to www.cstproxyvote.com to complete an electronic proxy card (have your proxy card in hand when you visit the website). You will be asked to provide the company number and control number from your proxy card. Internet voting is available 24 hours a day, 7 days a week, until 11:59 p.m., Eastern time, on June 13, 2024.</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being asked to vote on four proposals:</w:t>
      </w:r>
    </w:p>
    <w:p>
      <w:pPr>
        <w:spacing w:after="0" w:line="225" w:lineRule="exact"/>
        <w:rPr>
          <w:sz w:val="20"/>
          <w:szCs w:val="20"/>
          <w:color w:val="auto"/>
        </w:rPr>
      </w:pPr>
    </w:p>
    <w:p>
      <w:pPr>
        <w:ind w:left="660" w:hanging="315"/>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Dr. Peter Farrell, Joseph E. Payne, Andy Sassine, James Barlow, Dr. Edward W. Holmes, Dr. Magda Marquet, Dr. Jing L. Marantz, and Dr. John H. Markels to the Board, to serve until our next annual meeting of stockholders;</w:t>
      </w:r>
    </w:p>
    <w:p>
      <w:pPr>
        <w:jc w:val="both"/>
        <w:ind w:left="660" w:hanging="315"/>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(the “Amendment”) to the Amended and Restated 2019 Omnibus Equity Incentive Plan (the “Plan”), which among other things, increases the maximum number of shares of common stock available to Plan participants by 2,000,000 shares to 10,750,000 shares (the “Amendment Proposal”); and;</w:t>
      </w:r>
    </w:p>
    <w:p>
      <w:pPr>
        <w:spacing w:after="0" w:line="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non-binding advisory vote, of the resolution approving named executive officer compensation (the “Say on Pay Proposal”);</w:t>
      </w:r>
    </w:p>
    <w:p>
      <w:pPr>
        <w:spacing w:after="0" w:line="9" w:lineRule="exact"/>
        <w:rPr>
          <w:rFonts w:ascii="Times New Roman" w:cs="Times New Roman" w:eastAsia="Times New Roman" w:hAnsi="Times New Roman"/>
          <w:sz w:val="18"/>
          <w:szCs w:val="18"/>
          <w:color w:val="auto"/>
        </w:rPr>
      </w:pPr>
    </w:p>
    <w:p>
      <w:pPr>
        <w:ind w:left="660" w:hanging="315"/>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(“Deloitte”) as our independent registered public accounting firm for our fiscal year ending December 31, 2024.</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if other matters are properly brought before the annual meeting?</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any of Dr. Peter Farrell, Joseph E. Payne, Andy Sassine, James Barlow, Dr. Edward W. Holmes, Dr. Magda Marquet, Dr. Jing L. Marantz or Dr. John Markels is not available as a candidate for director, the persons named as proxy holders will vote your proxy for such other candidate as may be nominated by our Board.</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Board recommends that you vote your shares:</w:t>
      </w:r>
    </w:p>
    <w:p>
      <w:pPr>
        <w:spacing w:after="0" w:line="221" w:lineRule="exact"/>
        <w:rPr>
          <w:sz w:val="20"/>
          <w:szCs w:val="20"/>
          <w:color w:val="auto"/>
        </w:rPr>
      </w:pPr>
    </w:p>
    <w:p>
      <w:pPr>
        <w:ind w:left="660" w:hanging="315"/>
        <w:spacing w:after="0" w:line="26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Dr. Peter Farrell, Joseph E. Payne, Andy Sassine, James Barlow, Dr. Edward W. Holmes, Dr. Magda Marquet, Dr. Jing L. Marantz and Dr. John H. Markels to the Board;</w:t>
      </w:r>
    </w:p>
    <w:p>
      <w:pPr>
        <w:ind w:left="660" w:hanging="31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Proposal; and</w:t>
      </w:r>
    </w:p>
    <w:p>
      <w:pPr>
        <w:spacing w:after="0" w:line="162"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Say on Pay Proposal;</w:t>
      </w:r>
    </w:p>
    <w:p>
      <w:pPr>
        <w:spacing w:after="0" w:line="31" w:lineRule="exact"/>
        <w:rPr>
          <w:rFonts w:ascii="Times New Roman" w:cs="Times New Roman" w:eastAsia="Times New Roman" w:hAnsi="Times New Roman"/>
          <w:sz w:val="18"/>
          <w:szCs w:val="18"/>
          <w:color w:val="auto"/>
        </w:rPr>
      </w:pPr>
    </w:p>
    <w:p>
      <w:pPr>
        <w:ind w:left="660" w:hanging="315"/>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as our independent registered public accounting firm for our fiscal year ending December 31, 2024.</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If you are a stockholder of record, you can change your vote or revoke your proxy at any time before the annual meeting by:</w:t>
      </w:r>
    </w:p>
    <w:p>
      <w:pPr>
        <w:spacing w:after="0" w:line="225" w:lineRule="exact"/>
        <w:rPr>
          <w:sz w:val="20"/>
          <w:szCs w:val="20"/>
          <w:color w:val="auto"/>
        </w:rPr>
      </w:pPr>
    </w:p>
    <w:p>
      <w:pPr>
        <w:ind w:left="660" w:hanging="31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over the Internet (until the applicable deadline set forth above);</w:t>
      </w:r>
    </w:p>
    <w:p>
      <w:pPr>
        <w:spacing w:after="0" w:line="27"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a later-dated proxy card (which automatically revokes the earlier proxy);</w:t>
      </w:r>
    </w:p>
    <w:p>
      <w:pPr>
        <w:spacing w:after="0" w:line="9" w:lineRule="exact"/>
        <w:rPr>
          <w:rFonts w:ascii="Times New Roman" w:cs="Times New Roman" w:eastAsia="Times New Roman" w:hAnsi="Times New Roman"/>
          <w:sz w:val="18"/>
          <w:szCs w:val="18"/>
          <w:color w:val="auto"/>
        </w:rPr>
      </w:pPr>
    </w:p>
    <w:p>
      <w:pPr>
        <w:ind w:left="660" w:hanging="315"/>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written notice of revocation to our corporate secretary at Arcturus Therapeutics Holdings Inc., 10628 Science Center Drive, Suite 250, San Diego, California 92121, Attn: Corporate Secretary; or</w:t>
      </w:r>
    </w:p>
    <w:p>
      <w:pPr>
        <w:ind w:left="660" w:hanging="315"/>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virtually.</w:t>
      </w:r>
    </w:p>
    <w:p>
      <w:pPr>
        <w:spacing w:after="0" w:line="205"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r>
        <w:rPr>
          <w:rFonts w:ascii="Times New Roman" w:cs="Times New Roman" w:eastAsia="Times New Roman" w:hAnsi="Times New Roman"/>
          <w:sz w:val="18"/>
          <w:szCs w:val="18"/>
          <w:color w:val="auto"/>
        </w:rPr>
        <w:t>. If you are the beneficial owner of your shares, you must contact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bank or other nominee holding your shares and follow their instructions to change your vote or revoke your proxy.</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Proxies are solicited by, and on behalf of, our Board. Joseph E. Payne, our President and Chief Executive Officer, and Andy Sassine, our Chief Financial Officer, have been designated as proxies for the annual meeting by our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as described above and, if any other matters are properly brought before the annual meeting, the shares will be voted in accordance with the proxies’ judgment.</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at the annual meeting, each stockholder will be entitled to one vote for each share of our common stock held by them on the record date.</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 for the annual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or represented at the annual meeting for the meeting to be properly held under our bylaws and Delaware law. Holders of at least 33.33% of the voting power of our outstanding common stock entitled to vote at the annual meeting must be present in person (including virtually) or represented by proxy for us to hold and transact business at the annual meeting. On the record date, there were 26,928,041 shares outstanding and entitled to vote. Thus, the holders of at least 8,886,254 shares must be present in person (including virtually) or represented by proxy at the annual meeting to have a quorum.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Abstentions, “WITHHOLD” votes, and “broker non-votes” (as explained below) are counted as present and entitled to vote for purposes of determining a quorum. If there is no quorum, the meeting may be adjourned to another date by the chairman of the meeting or the holders of a majority of the voting power present in person (including virtually) or represented by proxy at the annual meeting and entitled to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are considered “routine” and “non-routine”?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Deloitte as our independent registered public accounting firm for our fiscal year ending December 31, 2024 (Proposal No. 4) is considered routine under the rules of the Nasdaq Stock Market LLC (“Nasdaq”). All other proposals are considered “non-routine” under applicable federal securities rules and the rules of The Nasdaq Stock Market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and broker non-votes?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Abstentions (i.e. shares present at the annual meeting and marked “abstain”) are deemed to be shares presented or represented by proxy and entitled to vote, and are counted for purposes of determining whether a quorum is present. However, abstentions are not counted as a vote either for or against a proposal, and have no effect on the outcome of the matters voted upon.</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broker non-vote occurs when the beneficial owner of shares fails to provide the broker, bank or other nominee that holds the shares with specific instructions on how to vote on any “non-routine” matters brought to a vote at the annual meeting. In this situation, the broker, bank or other nominee will not vote on the “non-routine” matter. Broker non-votes are counted for purposes of determining whether a quorum is present and have no effect on the outcome of the matters voted upon.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Note that if you are a beneficial holder, brokers and other nominees will be entitled to vote your shares on “routine” matters without instructions from you. The only proposal that would be considered “routine” in such event is the proposal for the ratification of the appointment of Deloitte as our independent registered public accounting firm for the fiscal year ending December 31, 2024 (Proposal No. 4). A broker or other nominee will not be entitled to vote your shares on any “non-routine” matters, absent instructions from you. “Non-routine” matters include all proposals other than Proposal No. 4, including the election of directors. Accordingly, we encourage you to provide voting instructions to your broker or other nominee whether or not you plan to attend the meeting.</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69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What is the voting requirement to approve each of the proposals?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Proposal No. 1: Election of Directors. </w:t>
      </w:r>
      <w:r>
        <w:rPr>
          <w:rFonts w:ascii="Times New Roman" w:cs="Times New Roman" w:eastAsia="Times New Roman" w:hAnsi="Times New Roman"/>
          <w:sz w:val="18"/>
          <w:szCs w:val="18"/>
          <w:color w:val="auto"/>
        </w:rPr>
        <w:t>The election of each of Dr. Peter Farrell, Joseph E. Payne, Andy Sassine, James Barlow, Dr. Edward W. Holmes,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Magda Marquet, Dr. Jing L. Marantz and Dr. John H. Markels to the Board requires a plurality of the votes cast by the holders of shares present in person or represented by proxy at the annual meeting and entitled to vote on the election of a director. This means that if each of the nominees receives one or more votes, he or she will be elected as a director. You may vote “FOR” or “WITHHOLD” for each of the nominees. Because the outcome of this proposal will be determined by a plurality vote, shares voted “WITHHOLD” will not generally prevent each of Dr. Peter Farrell, Joseph E. Payne, Andy Sassine, James Barlow, Dr. Edward W. Holmes, Dr. Magda Marquet, Dr. Jing L. Marantz and Dr. John H. Markels from being elected as a director. Shares voted “WITHHOLD” will count towards the quorum requirement for the annual meeting.</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 Amendment to the Plan. The approval of the Amendment to the Plan requires the affirmative vote of a majority of the votes cast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at the annual meeting. You may vote “FOR,” “AGAINST,” or “ABSTAIN” on this proposal. Abstentions will count towards the quorum requirement for the annual meeting but will not count as a vote for or against the proposal.</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Proposal No.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Say on Pay</w:t>
      </w:r>
      <w:r>
        <w:rPr>
          <w:rFonts w:ascii="Times New Roman" w:cs="Times New Roman" w:eastAsia="Times New Roman" w:hAnsi="Times New Roman"/>
          <w:sz w:val="18"/>
          <w:szCs w:val="18"/>
          <w:color w:val="auto"/>
        </w:rPr>
        <w:t>. The approval, on an advisory basis, of the Say on Pay Proposal requires the affirmative vote of a majority of the votes cast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proposal at the annual meeting. You may vote “FOR,” “AGAINST,” or “ABSTAIN” on this proposal. Abstentions will count towards the quorum requirement for the annual meeting but will not count as a vote for or against the proposal.</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No. 4: Ratification of Appointment of Deloitte. </w:t>
      </w:r>
      <w:r>
        <w:rPr>
          <w:rFonts w:ascii="Times New Roman" w:cs="Times New Roman" w:eastAsia="Times New Roman" w:hAnsi="Times New Roman"/>
          <w:sz w:val="18"/>
          <w:szCs w:val="18"/>
          <w:color w:val="auto"/>
        </w:rPr>
        <w:t>The ratification of the appointment of Deloitte requires the affirmative vote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cast on the proposal at the annual meeting. You may vote “FOR,” “AGAINST,” or “ABSTAIN” on this proposal. Abstentions will count towards the quorum requirement for the annual meeting but will not count as a vote for or against the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representative of Continental will tabulate the votes and may act as inspector of elections.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 or fail to provide timely directions to my broker, bank or other nominee?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r>
        <w:rPr>
          <w:rFonts w:ascii="Times New Roman" w:cs="Times New Roman" w:eastAsia="Times New Roman" w:hAnsi="Times New Roman"/>
          <w:sz w:val="18"/>
          <w:szCs w:val="18"/>
          <w:color w:val="auto"/>
        </w:rPr>
        <w:t>. If you are a stockholder of record and you submit a proxy but you do not provide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your shares will be voted:</w:t>
      </w:r>
    </w:p>
    <w:p>
      <w:pPr>
        <w:spacing w:after="0" w:line="156" w:lineRule="exact"/>
        <w:rPr>
          <w:sz w:val="20"/>
          <w:szCs w:val="20"/>
          <w:color w:val="auto"/>
        </w:rPr>
      </w:pPr>
    </w:p>
    <w:p>
      <w:pPr>
        <w:ind w:left="640" w:right="160" w:hanging="328"/>
        <w:spacing w:after="0" w:line="263"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Dr. Peter Farrell, Joseph E. Payne, Andy Sassine, James Barlow, Dr. Edward W. Holmes, Dr. Magda Marquet, Dr. Jing L. Marantz and Dr. John H. Markels to the Board;</w:t>
      </w:r>
    </w:p>
    <w:p>
      <w:pPr>
        <w:ind w:left="640" w:hanging="32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Proposal; and</w:t>
      </w:r>
    </w:p>
    <w:p>
      <w:pPr>
        <w:spacing w:after="0" w:line="162" w:lineRule="exact"/>
        <w:rPr>
          <w:rFonts w:ascii="Times New Roman" w:cs="Times New Roman" w:eastAsia="Times New Roman" w:hAnsi="Times New Roman"/>
          <w:sz w:val="18"/>
          <w:szCs w:val="18"/>
          <w:color w:val="auto"/>
        </w:rPr>
      </w:pPr>
    </w:p>
    <w:p>
      <w:pPr>
        <w:ind w:left="640" w:hanging="32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Say on Pay Proposal;</w:t>
      </w:r>
    </w:p>
    <w:p>
      <w:pPr>
        <w:spacing w:after="0" w:line="31" w:lineRule="exact"/>
        <w:rPr>
          <w:rFonts w:ascii="Times New Roman" w:cs="Times New Roman" w:eastAsia="Times New Roman" w:hAnsi="Times New Roman"/>
          <w:sz w:val="18"/>
          <w:szCs w:val="18"/>
          <w:color w:val="auto"/>
        </w:rPr>
      </w:pPr>
    </w:p>
    <w:p>
      <w:pPr>
        <w:ind w:left="640" w:right="220" w:hanging="328"/>
        <w:spacing w:after="0" w:line="260"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as our independent registered public accounting firm for our fiscal year ending December 31, 2024.</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r>
        <w:rPr>
          <w:rFonts w:ascii="Times New Roman" w:cs="Times New Roman" w:eastAsia="Times New Roman" w:hAnsi="Times New Roman"/>
          <w:sz w:val="18"/>
          <w:szCs w:val="18"/>
          <w:color w:val="auto"/>
        </w:rPr>
        <w:t>. Brokers, banks and other nominees holding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in street name for customers are generally required to vote such shares in the manner directed by their customers. In the absence of timely directions, your broker, bank or other nominee will have discretion to vote your shares on our sole “routine” matter - Proposal No. 4 relating to ratifying the appointment of Deloitte. Absent direction from you, however, your broker, bank or other nominee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have the discretion to vote on Proposal No. 1, 2, or 3.</w:t>
      </w:r>
    </w:p>
    <w:p>
      <w:pPr>
        <w:spacing w:after="0" w:line="2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69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How can I contact Arcturus’ transfer agent?</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You may contact our transfer agent by writing Continental Stock Transfer &amp; Trust Company,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10014. You may also contact our transfer agent via email at cstmail@continentalstock.com or by telephone at (212) 509-4000.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 and who is paying for such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 although we may engage a proxy solicitor in the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choose to access the proxy materials and/or vote over the Internet, or attend the annual meeting virtually, you are responsible for any Internet access charges you may incur.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filed with the Securities and Exchange Commission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printed materials?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receive more than one set of printed materials, your shares may be registered in more than one name and/or are registered in different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follow the voting instructions on each set of printed materials to ensure that all of your shares are voted.</w:t>
      </w:r>
    </w:p>
    <w:p>
      <w:pPr>
        <w:spacing w:after="0" w:line="2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printed copy of the proxy materials. How may I obtain an additional copy of the proxy materials?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an SEC-approved procedure called “householding,” under which we can deliver a single copy of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undertake to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at the address below, or call us at 858-900-2660: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who hold shares in street name may contact their brokerage firm, bank, broker-dealer or other nominee to request information about householding.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Proposals of Stockholders for 2025 Annual Meeting</w:t>
      </w:r>
      <w:r>
        <w:rPr>
          <w:rFonts w:ascii="Times New Roman" w:cs="Times New Roman" w:eastAsia="Times New Roman" w:hAnsi="Times New Roman"/>
          <w:sz w:val="18"/>
          <w:szCs w:val="18"/>
          <w:color w:val="auto"/>
        </w:rPr>
        <w:t>” in this proxy statement for more information regarding the deadlines for the submission of stockholder proposals for our 2025 annual meeting.</w:t>
      </w: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698"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Board is currently composed of eight members. The following table sets forth the names, ages, and certain other information for our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 Since</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Peter Farrell</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2018</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2013</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2018</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Barlow</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2018</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Edward W. Holmes</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September 2019</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Magda Marquet</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2018</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Jing L. Marantz</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w:t>
            </w:r>
          </w:p>
        </w:tc>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2021</w:t>
            </w: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John H. Markels</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2022</w:t>
            </w:r>
          </w:p>
        </w:tc>
      </w:tr>
    </w:tbl>
    <w:p>
      <w:pPr>
        <w:spacing w:after="0" w:line="175" w:lineRule="exact"/>
        <w:rPr>
          <w:sz w:val="20"/>
          <w:szCs w:val="20"/>
          <w:color w:val="auto"/>
        </w:rPr>
      </w:pPr>
    </w:p>
    <w:p>
      <w:pPr>
        <w:jc w:val="both"/>
        <w:ind w:left="20"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Dr. Peter Farrell </w:t>
      </w:r>
      <w:r>
        <w:rPr>
          <w:rFonts w:ascii="Times New Roman" w:cs="Times New Roman" w:eastAsia="Times New Roman" w:hAnsi="Times New Roman"/>
          <w:sz w:val="18"/>
          <w:szCs w:val="18"/>
          <w:color w:val="auto"/>
        </w:rPr>
        <w:t>is the Chairman of our Board, a position he has held since May 2018. In addition, Dr. Farrell is the founder, former long-term CEO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Chairman of ResMed Inc. (NYSE:RMD). Dr. Farrell has been Chairman and a director of ResMed since 1989, when the company began as a management buyout of sleep technology from Baxter Healthcare. Peter was previously Foundation Director of the University of New South Wales (UNSW) Graduate School for Biomedical Engineering (1978-89) while simultaneously serving as Vice President of Research &amp; Development for Baxter Healthcare in Tokyo (1984-89). Dr. Farrell served on the board of directors of NuVasive, Inc., a company focused on the surgical treatment of spine disorders. Dr. Farrell serves on the board of trustees of The Scripps Research Institute in La Jolla and is Chairman of the Boston-based POC NMR diagnostic company, WaveGuide. Since July 2019, Dr. Farrell has been a director of Evolus, Inc. (EOLS). Dr. Farrell is a fellow or honorary fellow of several professional bodies, including the US National Academy of Engineering. He was inducted as 1998 San Diego Entrepreneur of the Year for Health Sciences, 2001 Australian Entrepreneur of the Year and 2005 US National Entrepreneur of the Year for Health Sciences. Dr. Farrell was appointed to the Executive Council of the division of Sleep Medicine at Harvard Medical School in 1998, was appointed Vice Chairman in 2000 (2000-2010), became Chairman in 2010 and served in that capacity for three years. He is on various academic advisory boards including UCSD’s Jacobs School of Engineering, where he was named the 2012 Gordon Fellow, UCSD’s Rady Business School and the MIT Dean of Engineering’s Advisory Council. Dr. Farrell holds a B.E. with honors in chemical engineering from the University of Sydney, an SM in chemical engineering from MIT, a PhD in bioengineering from the University of Washington, Seattle, and a DSc from UNSW for research which resulted in improved treatment for both hemodialysis and peritoneal dialysis patients. Dr. Farrell is nominated for re-election on our Board because of his significant experience as an executive and director of a number of companies in the healthcare sector.</w:t>
      </w:r>
    </w:p>
    <w:p>
      <w:pPr>
        <w:spacing w:after="0" w:line="195"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Joseph E. Payne </w:t>
      </w:r>
      <w:r>
        <w:rPr>
          <w:rFonts w:ascii="Times New Roman" w:cs="Times New Roman" w:eastAsia="Times New Roman" w:hAnsi="Times New Roman"/>
          <w:sz w:val="18"/>
          <w:szCs w:val="18"/>
          <w:color w:val="auto"/>
        </w:rPr>
        <w:t>is our President and Chief Executive Officer, positions he has held since March 2013. Mr. Payne served on our predecessor’s board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2013. He brings with him an exceptional track record of ushering novel therapeutics to the clinic including targeted RNA medicines utilizing lipid-mediated delivery technologies. Mr. Payne’s background includes over 20 years of successful drug discovery experience at Merck Research Labs, DuPont Pharmaceuticals, Bristol-Myers Squibb, Kalypsys, and Nitto Denko Corporation as evidenced by over 40 publications and patents, and several investigational new drug (IND) clinical candidates. His academic training includes a Bachelor’s Degree in Chemistry, magna cum laude from Brigham Young University, a Master of Science in Synthetic Organic Chemistry from the University of Calgary and Executive Training Certification from MIT Sloan School of Management. He served on the board of directors of Vallon Pharmaceuticals Inc., a public clinical-stage company focused on the development and commercialization of novel abuse-deterrent medications for CNS disorders, until April 2023. Mr. Payne is nominated for re-election on our Board because of his position as our President and Chief Executive Officer and his significant experience in the pharmaceutical sector. As a member of our executive team, Mr. Payne serves a vital function in the link between management and our Board, enabling the Board to perform its oversight function with the benefits of management’s perspective on the business.</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Andy Sassine </w:t>
      </w:r>
      <w:r>
        <w:rPr>
          <w:rFonts w:ascii="Times New Roman" w:cs="Times New Roman" w:eastAsia="Times New Roman" w:hAnsi="Times New Roman"/>
          <w:sz w:val="18"/>
          <w:szCs w:val="18"/>
          <w:color w:val="auto"/>
        </w:rPr>
        <w:t>has served as our Chief Financial Officer since January 2019. Mr. Sassine served as one of our directors from May 2018 until June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was reelected as a director in September 2019. Mr. Sassine serves on the board of directors of iCAD Inc. (NASDAQ:ICAD), a leading provider of advanced image analysis, workflow solutions and radiation therapy for early detection and treatment of cancer. Mr. Sassine served in various positions at Fidelity Investments from 1999 to 2012, including, most recently as Portfolio Manager. Between 2004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earned a Bachelor of Arts degree at the University of Iowa in 1987 and an MBA from the Wharton School at the University of Pennsylvania in 1993. Mr. Sassine is nominated for re-election on our Board because of his position as our Chief Financial Officer and his extensive knowledge and experience as a fund manager and board member of other similarly-sized companies.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James Barlow </w:t>
      </w:r>
      <w:r>
        <w:rPr>
          <w:rFonts w:ascii="Times New Roman" w:cs="Times New Roman" w:eastAsia="Times New Roman" w:hAnsi="Times New Roman"/>
          <w:sz w:val="18"/>
          <w:szCs w:val="18"/>
          <w:color w:val="auto"/>
        </w:rPr>
        <w:t>is a member of the board of directors of NAHS Holding, Inc., an Employee Stock Ownership Plan company, whose affiliates provide post-acute care, subacute care, short and long-term rehabilitation, and skilled nursing in the United States. Mr. Barlow is a C-level financial executive with more than 30 years of experience leading teams in the successful strategic achievement of financial and operational goals, and expertise in domestic and international operations, financial planning, forecasting and reporting, restructurings, business development and integrations, treasury and investor relations. As an Executive Officer (Principal Accounting Officer) at Allergan, Inc. from January 2002 to March 2015, he oversaw financial due diligence, integration and structuring for all significant asset purchases, sales, business combinations and licensing transactions, the spin-off of Advanced Medical Optics, the $3.3 billion acquisition of Inamed Corporation and more than $4.5 billion in other transactions. He ensured consistent application of corporate policies and procedures and alignment with global reporting and corporate compliance requirements, made recommendations globally to improve financial operations and participated in robust financial planning/forecasting activities. Prior to joining Allergan, Mr. Barlow served as Chief Financial Officer of Wynn Oil Company, a division of Parker Hannifin Corporation, during 2001, Treasurer and Controller of Wynn’s International, Inc. from 1990 to 2000 and Vice President and Controller of Ford Equipment Leasing Company from 1986 to 1990. From 1983 to 1985 Mr. Barlow worked for the accounting firm Deloitte Haskins and Sells. Mr. Barlow received a Bachelor of Science degree in Accounting, graduating magna cum laude, from Brigham Young University and a Master of Accountancy, graduating with honors—high distinction, from Brigham Young University. He is a certified public accountant (inactive). Mr. Barlow is nominated for re-election on our Board of Directors because of his significant experience as an executive and director of a number of companies in the healthcare sector, and because of his financial and accounting expertise.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Dr. Edward W. Holmes </w:t>
      </w:r>
      <w:r>
        <w:rPr>
          <w:rFonts w:ascii="Times New Roman" w:cs="Times New Roman" w:eastAsia="Times New Roman" w:hAnsi="Times New Roman"/>
          <w:sz w:val="18"/>
          <w:szCs w:val="18"/>
          <w:color w:val="auto"/>
        </w:rPr>
        <w:t>has served as a member of our Board of Directors since September 2019. Dr. Holmes is currently a Distinguished Professor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 at the University of California, Vice Chancellor/Dean of Health Sciences Emeritus at the University of California, San Diego, and CEO/President of the Sanford Consortium for Regenerative Medicine. Dr. Holmes has served as Chair of the Department of Medicine at the University of Pennsylvania, Vice President for Translational Medicine at Stanford University, and Vice Chancellor/Dean of Duke University School of Medicine. Dr. Holmes was the Executive Deputy Chairman of the Biomedical Research Council and the Executive Chairman of the National Medical Research Council in Singapore; he was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 Dr. Holmes is nominated for re-election on our Board because of his significant experience in research, medicine and genetics.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698" w:right="35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Dr. Magda Marquet</w:t>
      </w:r>
      <w:r>
        <w:rPr>
          <w:rFonts w:ascii="Times New Roman" w:cs="Times New Roman" w:eastAsia="Times New Roman" w:hAnsi="Times New Roman"/>
          <w:sz w:val="18"/>
          <w:szCs w:val="18"/>
          <w:color w:val="auto"/>
        </w:rPr>
        <w:t>, Ph.D., joined our Board of Directors in 2018. Dr. Marquet has served as co-founder and co-chief executive officer of ALMA Life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Sciences LLC, an early-stage healthcare investment firm, since 2013. Dr. Marquet also has been a co-founder of AltheaDx, a biotechnology company, since 2009. Dr. Marquet previously served as the co-founder and chairman of Althea Technologies from 2009 to 2019, and previously served as its co-president and co-chief executive officer from 1998 to 2009. Prior to starting Althea Technologies, Dr. Marquet held several positions in product development and pharmaceutical development in companies such as Vical and Amylin Pharmaceuticals. Dr. Marquet served on the board of directors of Pfenex from 2019 until its acquisition by Ligand Pharmaceuticals in October 2020 and now serves on the board of directors of AnaptysBio since January 2021 as well as several private company boards. Dr. Marquet holds a Ph.D. in biochemical engineering from INSA/University of Toulouse, France. Dr. Marquet is nominated for re-election on our Board because of her significant experience as an executive and director of a number of companies in the life sciences sector, and because of her management and clinical expertise.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Dr. Jing L. Marantz, M.D., Ph.D.</w:t>
      </w:r>
      <w:r>
        <w:rPr>
          <w:rFonts w:ascii="Times New Roman" w:cs="Times New Roman" w:eastAsia="Times New Roman" w:hAnsi="Times New Roman"/>
          <w:sz w:val="18"/>
          <w:szCs w:val="18"/>
          <w:color w:val="auto"/>
        </w:rPr>
        <w:t>, joined our Board of Directors in December 2021. Dr. Marantz has served as Chief Medical Officer of Scholar Rock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 Corporation, a clinical stage biopharmaceutical company, since November 2022. From January 2022 to August 2022, Dr. Marantz served as Chief Business Officer of Krystal Biotech, Inc. after serving on its board for a year. From October 2020 to January 2022, Dr. Marantz served as Senior Vice President of Medical Affairs of Acceleron Pharma Inc. until its acquisition by Merck &amp; Co., Inc. From June 2018 to September 2020, Dr. Marantz served as Senior Vice President of Medical Affairs at Alnylam Pharmaceuticals. Prior to Alnylam, Dr. Marantz has held leadership positions at Alexion, Biogen, ARIAD, and Millennium Pharmaceuticals across development, medical affairs, and business development. Previously Dr. Marantz was a management consultant with Strategic Decisions Group and briefly affiliated with Massachusetts General Hospital following a post-doctoral fellowship at the Dana-Farber Cancer Institute. Dr. Marantz received her medical training from Tongji Medical College, a Ph.D. in Biochemistry and Molecular Biology from Medical University of South Carolina, and an MBA from the University of California at Berkeley.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Dr. John H. Markels</w:t>
      </w:r>
      <w:r>
        <w:rPr>
          <w:rFonts w:ascii="Times New Roman" w:cs="Times New Roman" w:eastAsia="Times New Roman" w:hAnsi="Times New Roman"/>
          <w:sz w:val="18"/>
          <w:szCs w:val="18"/>
          <w:color w:val="auto"/>
        </w:rPr>
        <w:t>, Ph.D., joined our Board of Directors in December 2022. Dr. Markels serves on the board of directors of Sangamo Therapeutics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chairs and serves on the advisory boards for the University of California, Berkeley College of Chemistry and University of Delaware Department of Chemical and Biomolecular Engineering, respectively. Dr. Markels retired from Merck &amp; Co., Inc. (“Merck”) in March 2022, most recently as President of Global Vaccines, where he led an integrated team dedicated to discovery and development, supply and access, and global marketing and long-term strategy for the vaccines portfolio. Earlier roles at Merck included President, Latin America from January 2018 to January 2019, SVP, Global Human Health Business Strategy from January 2017 to December 2017, Managing Director, Mexico from November 2013 to January 2017. Prior to his commercial roles, he had a long career in senior leadership positions in global manufacturing, including operations leadership for Europe, Middle East and Africa, Asia Pacific and emerging markets as well as manufacturing technology and product development roles in active pharmaceutical ingredients (API) and vaccines. Dr. Markels received his Ph.D. in chemical engineering from the University of California, Berkeley and his B.S. in chemical engineering from the University of Delaware. Dr. Markels is nominated for re-election on our Board because of his significant experience as an executive and director of a number of companies in the life sciences sector, and because of his management and expertise in the pharmaceutical, manufacturing, and technology sectors.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listing rules of Nasdaq require us to maintain a Board comprised of a majority of independent directors, as determined affirmatively by our Board. In addition, the Nasdaq listing rules require that, subject to specified exceptions, each member of our audit, compensation and nominating and corporate governance committees must be independent. Audit committee members and compensation committee members must also satisfy the independence criteria set forth in Rule 10A-3 and Rule 10C-1, respectively, under the Securities Exchange Act of 1934, as amended (the “Exchange Act”). Under the Nasdaq listing rules, a director will only qualify as an “independent director” if, in the opinion of our Board, the director does not have a relationship that would interfere with the exercise of independent judgment in carrying out his or her responsibilities.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698" w:right="35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undertaken a review of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none of Dr. Farrell, Mr. Barlow, Dr. Holmes Dr. Marquet, Dr. Marantz and Dr. Markels (representing six of our eight directors), has a relationship that would interfere with the exercise of independent judgment in carrying out the responsibilities of a director and that they each are an “independent director” as that term is defined under the Nasdaq listing rules. Mr. Payne is not considered independent due to his position as our President and Chief Executive Officer. Mr. Sassine is not considered independent due to his position as our Chief Financial Officer.</w:t>
      </w:r>
    </w:p>
    <w:p>
      <w:pPr>
        <w:spacing w:after="0" w:line="18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 making these determinations, our Board considered the relationships that each nonemployee director has with us and all other facts and circumstances our Board deemed relevant in determining their independence, including consulting relationships, family relationships and the beneficial ownership of our capital stock by each non-employee director.</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Our Board is currently chaired by Dr. Farrell. Our Board believes that we and our stockholders are currently best served by this leadership structure. As Chairman, Dr. Farrell promotes unified leadership and direction for our Board and management and provides the critical leadership necessary for carrying out our strategic initiatives. Dr. Farrell, together with our Board’s strong committee system and independent directors, allows our Board to maintain effective oversight of our business operations, including independent oversight of our financial statements, executive compensation, selection of director candidates, and corporate governance programs. We believe our current Board’s leadership structure enhances its ability to effectively carry out its roles and responsibilities on behalf of our stockholders.</w:t>
      </w:r>
    </w:p>
    <w:p>
      <w:pPr>
        <w:spacing w:after="0" w:line="187" w:lineRule="exact"/>
        <w:rPr>
          <w:sz w:val="20"/>
          <w:szCs w:val="20"/>
          <w:color w:val="auto"/>
        </w:rPr>
      </w:pPr>
    </w:p>
    <w:p>
      <w:pPr>
        <w:jc w:val="both"/>
        <w:ind w:left="20" w:right="4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directors and executive officers, nor have any of our directors or executive officers been involved in a legal proceeding that would be required to be disclosed pursuant to either 103(c)(2) or 401(f) of Regulation S-K of the Exchange Act.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9" w:lineRule="exact"/>
        <w:rPr>
          <w:sz w:val="20"/>
          <w:szCs w:val="20"/>
          <w:color w:val="auto"/>
        </w:rPr>
      </w:pPr>
    </w:p>
    <w:p>
      <w:pPr>
        <w:jc w:val="both"/>
        <w:ind w:left="20" w:right="20"/>
        <w:spacing w:after="0" w:line="254" w:lineRule="auto"/>
        <w:rPr>
          <w:sz w:val="20"/>
          <w:szCs w:val="20"/>
          <w:color w:val="auto"/>
        </w:rPr>
      </w:pPr>
      <w:r>
        <w:rPr>
          <w:rFonts w:ascii="Times New Roman" w:cs="Times New Roman" w:eastAsia="Times New Roman" w:hAnsi="Times New Roman"/>
          <w:sz w:val="18"/>
          <w:szCs w:val="18"/>
          <w:color w:val="auto"/>
        </w:rPr>
        <w:t>Our Board has an active role, as a whole and also at the committee level, in overseeing risk management. Our Board is responsible for general oversight and regular review of risk management, including financial, strategic, and operational risks. The compensation committee is responsible for overseeing the management of risks relating to our executive compensation plans and arrangements, and whether our compensation policies and programs have the potential to encourage excessive risk taking. The audit committee is responsible for overseeing the management of risks relating to accounting matters and financial reporting. The nominating and corporate governance committee is responsible for overseeing our corporate governance practices and the management of risks associated with Board independence and potential conflicts of interest. Although each committee is responsible for evaluating and overseeing the management of certain risks, the entire Board is regularly informed through discussions from committee members about such risks. The Board believes its leadership structure is consistent with and supports the administration of its risk oversight function.</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During 2023, our Board held five meetings, and each director attended at least 75% of the aggregate of (i) the total number of meetings of our Board held during the period for which he or she has been a director and (ii) the total number of meetings held by all committees of our Board on which he or she served during the periods that he or she served.</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and corporate governance committee. The composition and responsibilities of each of the committees of our Board is described below.</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The members of our audit committee are Mr. Barlow, Dr. Holmes and Dr. Marquet. Effective June 1, 2024, Mr. Markels will join the audit committee in place of Dr. Marquet. Mr. Barlow serves as the chairman. Each of the members of our audit committee is an independent director under the Nasdaq listing rules, satisfies the additional independence criteria for audit committee members and satisfies the requirements for financial literacy under the Nasdaq listing rules and Rule 10A-3 of the Exchange Act, as applicable.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5" w:name="page16"/>
    <w:bookmarkEnd w:id="15"/>
    <w:p>
      <w:pPr>
        <w:ind w:left="20" w:right="40"/>
        <w:spacing w:after="0" w:line="282" w:lineRule="auto"/>
        <w:rPr>
          <w:sz w:val="20"/>
          <w:szCs w:val="20"/>
          <w:color w:val="auto"/>
        </w:rPr>
      </w:pPr>
      <w:r>
        <w:rPr>
          <w:rFonts w:ascii="Times New Roman" w:cs="Times New Roman" w:eastAsia="Times New Roman" w:hAnsi="Times New Roman"/>
          <w:sz w:val="18"/>
          <w:szCs w:val="18"/>
          <w:color w:val="auto"/>
        </w:rPr>
        <w:t>Our Board has also determined that Mr. Barlow qualifies as an audit committee financial expert within the meaning of the applicable rules and regulations of the SEC and satisfies the financial sophistication requirements of the Nasdaq listing rules.</w:t>
      </w:r>
    </w:p>
    <w:p>
      <w:pPr>
        <w:spacing w:after="0" w:line="162"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our Board in monitoring our financial systems and our legal and regulatory compliance. Our audit committee also:</w:t>
      </w:r>
    </w:p>
    <w:p>
      <w:pPr>
        <w:spacing w:after="0" w:line="162" w:lineRule="exact"/>
        <w:rPr>
          <w:sz w:val="20"/>
          <w:szCs w:val="20"/>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work of our independent auditors;</w:t>
      </w:r>
    </w:p>
    <w:p>
      <w:pPr>
        <w:spacing w:after="0" w:line="27"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hiring, discharging and compensation of our independent auditors;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engagements of the independent auditors to render any audit or permissible non-audit services;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qualifications, independence and performance of the independent auditors;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financial statements and our critical accounting policies and estimates;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and effectiveness of our internal controls;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policies with respect to risk assessment and risk management;</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monitors our policies and procedures relating to related person transactions;</w:t>
      </w:r>
    </w:p>
    <w:p>
      <w:pPr>
        <w:spacing w:after="0" w:line="9" w:lineRule="exact"/>
        <w:rPr>
          <w:rFonts w:ascii="Times New Roman" w:cs="Times New Roman" w:eastAsia="Times New Roman" w:hAnsi="Times New Roman"/>
          <w:sz w:val="18"/>
          <w:szCs w:val="18"/>
          <w:color w:val="auto"/>
        </w:rPr>
      </w:pPr>
    </w:p>
    <w:p>
      <w:pPr>
        <w:ind w:left="660" w:hanging="315"/>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and the independent auditors the results of our annual audit, our quarterly financial statements and our publicly filed reports; and</w:t>
      </w:r>
    </w:p>
    <w:p>
      <w:pPr>
        <w:jc w:val="both"/>
        <w:ind w:left="660" w:hanging="315"/>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fulfills our Board’s oversight responsibility with respect to our cybersecurity policies, overseeing our risk management with respect to cybersecurity, reviewing our adoption and implementation of systems, controls and procedures designed to prevent, detect and respond to cyber-attacks or security breaches involving us, and reviewing our cybersecurity insurance requirements.</w:t>
      </w:r>
    </w:p>
    <w:p>
      <w:pPr>
        <w:spacing w:after="0" w:line="186"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audit committee held four meetings during 2023.</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The members of our compensation committee are Dr. Marquet, Dr. Marantz and Mr. Barlow. Dr. Marquet is currently the chairwoman of our compensation committee. Our Board has determined that each member of our compensation committee is an independent director under the current rules of Nasdaq, satisfies the additional independence criteria for compensation committee members under Rule 10C-1 of the Exchange Act and the Nasdaq listing rules, is a “non-employee director” within the meaning of Rule 16b-3 under the Exchange Act, and is an “outside director” for purposes of Section 162(m) of the Internal Revenue Code of 1986, as amended (the “Code”).</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compensation committee oversees our corporate compensation programs. The compensation committee also:</w:t>
      </w:r>
    </w:p>
    <w:p>
      <w:pPr>
        <w:spacing w:after="0" w:line="225" w:lineRule="exact"/>
        <w:rPr>
          <w:sz w:val="20"/>
          <w:szCs w:val="20"/>
          <w:color w:val="auto"/>
        </w:rPr>
      </w:pPr>
    </w:p>
    <w:p>
      <w:pPr>
        <w:ind w:left="660" w:right="20" w:hanging="315"/>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for Board approval policies, plans and arrangements relating to compensation and benefits of our officers and employees;</w:t>
      </w:r>
    </w:p>
    <w:p>
      <w:pPr>
        <w:ind w:left="660" w:right="20" w:hanging="315"/>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for Board approval corporate goals and objectives relevant to the compensation of our Chief Executive Officer and other executive officers;</w:t>
      </w: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executive officers in light of established goals and objectives;</w:t>
      </w:r>
    </w:p>
    <w:p>
      <w:pPr>
        <w:spacing w:after="0" w:line="9"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compensation of our executive officers based on its evaluations;</w:t>
      </w:r>
    </w:p>
    <w:p>
      <w:pPr>
        <w:spacing w:after="0" w:line="9" w:lineRule="exact"/>
        <w:rPr>
          <w:rFonts w:ascii="Times New Roman" w:cs="Times New Roman" w:eastAsia="Times New Roman" w:hAnsi="Times New Roman"/>
          <w:sz w:val="18"/>
          <w:szCs w:val="18"/>
          <w:color w:val="auto"/>
        </w:rPr>
      </w:pPr>
    </w:p>
    <w:p>
      <w:pPr>
        <w:ind w:left="660" w:right="20" w:hanging="315"/>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director compensation levels and practices, and recommends, from time to time, changes in such compensation levels and practices to the Board;</w:t>
      </w: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compensation disclosures required by SEC rules;</w:t>
      </w:r>
    </w:p>
    <w:p>
      <w:pPr>
        <w:spacing w:after="0" w:line="9" w:lineRule="exact"/>
        <w:rPr>
          <w:rFonts w:ascii="Times New Roman" w:cs="Times New Roman" w:eastAsia="Times New Roman" w:hAnsi="Times New Roman"/>
          <w:sz w:val="18"/>
          <w:szCs w:val="18"/>
          <w:color w:val="auto"/>
        </w:rPr>
      </w:pPr>
    </w:p>
    <w:p>
      <w:pPr>
        <w:ind w:left="660" w:right="20" w:hanging="315"/>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a compensation consultant, legal counsel or other external advisors to advise on executive compensation and assess the independence of executive officers in accordance with Nasdaq;</w:t>
      </w:r>
    </w:p>
    <w:p>
      <w:pPr>
        <w:ind w:left="660" w:right="20" w:hanging="315"/>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whether any compensation consultant, legal counsel or other external advisor has a conflict of interest in accordance with the SEC rules; and</w:t>
      </w:r>
    </w:p>
    <w:p>
      <w:pPr>
        <w:ind w:left="660" w:hanging="315"/>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annual compensation committee report required by SEC rules.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is also responsible for assessing and monitoring whether any of our compensation policies and programs have the potential to encourage excessive risk-taking.</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compensation committee held five meetings during 2023.</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was at any time one of our officers or employees. None of our executive officers serves as a member of the board of directors or compensation committee of any entity that has one or more executive officers serving as members of our Board or compensation committee.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Dr. Holmes, Dr. Marantz and Dr. Markels. Dr. Holmes is the chairman of our nominating and corporate governance committee. Our Board has determined that each member of our nominating and corporate governance committee is independent under the Nasdaq listing rules.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in reviewing and recommending nominees for election as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nominating and corporate governance committee also:</w:t>
      </w:r>
    </w:p>
    <w:p>
      <w:pPr>
        <w:spacing w:after="0" w:line="20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and makes recommendations regarding the organization and governance of our Board and its committees;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the performance of members of our Board and makes recommendations regarding committee and chair assignments;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desired qualifications for Board membership and conducts searches for potential members of our Board;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with regard to our corporate governance guidelines.</w:t>
      </w:r>
    </w:p>
    <w:p>
      <w:pPr>
        <w:spacing w:after="0" w:line="207"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approved by our Board and that satisfies the applicable rules and regulations of the SEC and the listing requirements of Nasdaq. The charter is available on the corporate governance section of our website, which is located at http://ir.arcturusrx.com/governance-highlights. Our nominating and corporate governance committee held one meeting during 2023.</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Effective corporate governance is critical for both our long-term performance and maintaining stockholder trust. Our Board is responsible for overseeing the governance, strategy and operation of the Company. Our eight directors come from diverse backgrounds, drawing on their substantial experience across industries and professional designations, including experience related to: biotechnology and pharmaceutical; finance, including investment management and capital markets; healthcare and medical services and operations; philanthropy; public accounting; and higher education.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Board Diversity Matrix</w:t>
            </w:r>
          </w:p>
        </w:tc>
        <w:tc>
          <w:tcPr>
            <w:tcW w:w="2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 Eight</w:t>
            </w:r>
          </w:p>
        </w:tc>
        <w:tc>
          <w:tcPr>
            <w:tcW w:w="3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222222"/>
              </w:rPr>
              <w:t>Board Diversity Matrix (As of April 22, 2024)</w:t>
            </w:r>
          </w:p>
        </w:tc>
        <w:tc>
          <w:tcPr>
            <w:tcW w:w="13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vMerge w:val="continue"/>
          </w:tcPr>
          <w:p>
            <w:pPr>
              <w:spacing w:after="0"/>
              <w:rPr>
                <w:sz w:val="18"/>
                <w:szCs w:val="18"/>
                <w:color w:val="auto"/>
              </w:rPr>
            </w:pPr>
          </w:p>
        </w:tc>
        <w:tc>
          <w:tcPr>
            <w:tcW w:w="238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222222"/>
              </w:rPr>
              <w:t>Female</w:t>
            </w:r>
          </w:p>
        </w:tc>
        <w:tc>
          <w:tcPr>
            <w:tcW w:w="15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222222"/>
              </w:rPr>
              <w:t>Male</w:t>
            </w:r>
          </w:p>
        </w:tc>
        <w:tc>
          <w:tcPr>
            <w:tcW w:w="13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222222"/>
                <w:w w:val="98"/>
              </w:rPr>
              <w:t>Non-Binary</w:t>
            </w:r>
          </w:p>
        </w:tc>
        <w:tc>
          <w:tcPr>
            <w:tcW w:w="24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222222"/>
              </w:rPr>
              <w:t>Did Not Disclose Gender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22222"/>
              </w:rPr>
              <w:t>Part I: Gender Identity</w:t>
            </w:r>
          </w:p>
        </w:tc>
        <w:tc>
          <w:tcPr>
            <w:tcW w:w="2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222222"/>
              </w:rPr>
              <w:t>Directors</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222222"/>
              </w:rPr>
              <w:t>2</w:t>
            </w:r>
          </w:p>
        </w:tc>
        <w:tc>
          <w:tcPr>
            <w:tcW w:w="1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6</w:t>
            </w:r>
          </w:p>
        </w:tc>
        <w:tc>
          <w:tcPr>
            <w:tcW w:w="13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222222"/>
                <w:w w:val="99"/>
              </w:rPr>
              <w:t>—</w:t>
            </w:r>
          </w:p>
        </w:tc>
        <w:tc>
          <w:tcPr>
            <w:tcW w:w="2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222222"/>
                <w:w w:val="99"/>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22222"/>
              </w:rPr>
              <w:t>Part II: Demographic Background</w:t>
            </w:r>
          </w:p>
        </w:tc>
        <w:tc>
          <w:tcPr>
            <w:tcW w:w="2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222222"/>
              </w:rPr>
              <w:t>Asian</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222222"/>
              </w:rPr>
              <w:t>1</w:t>
            </w:r>
          </w:p>
        </w:tc>
        <w:tc>
          <w:tcPr>
            <w:tcW w:w="15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222222"/>
                <w:w w:val="99"/>
              </w:rPr>
              <w:t>—</w:t>
            </w:r>
          </w:p>
        </w:tc>
        <w:tc>
          <w:tcPr>
            <w:tcW w:w="13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222222"/>
                <w:w w:val="99"/>
              </w:rPr>
              <w:t>—</w:t>
            </w:r>
          </w:p>
        </w:tc>
        <w:tc>
          <w:tcPr>
            <w:tcW w:w="2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222222"/>
                <w:w w:val="99"/>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22222"/>
              </w:rPr>
              <w:t>Hispanic or Latinx</w:t>
            </w:r>
          </w:p>
        </w:tc>
        <w:tc>
          <w:tcPr>
            <w:tcW w:w="238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222222"/>
              </w:rPr>
              <w:t>1</w:t>
            </w:r>
          </w:p>
        </w:tc>
        <w:tc>
          <w:tcPr>
            <w:tcW w:w="152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222222"/>
                <w:w w:val="99"/>
              </w:rPr>
              <w:t>—</w:t>
            </w:r>
          </w:p>
        </w:tc>
        <w:tc>
          <w:tcPr>
            <w:tcW w:w="132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222222"/>
                <w:w w:val="99"/>
              </w:rPr>
              <w:t>—</w:t>
            </w:r>
          </w:p>
        </w:tc>
        <w:tc>
          <w:tcPr>
            <w:tcW w:w="24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222222"/>
                <w:w w:val="99"/>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222222"/>
              </w:rPr>
              <w:t>White</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222222"/>
                <w:w w:val="99"/>
              </w:rPr>
              <w:t>—</w:t>
            </w:r>
          </w:p>
        </w:tc>
        <w:tc>
          <w:tcPr>
            <w:tcW w:w="1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88"/>
              </w:rPr>
              <w:t>6</w:t>
            </w:r>
          </w:p>
        </w:tc>
        <w:tc>
          <w:tcPr>
            <w:tcW w:w="13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222222"/>
                <w:w w:val="99"/>
              </w:rPr>
              <w:t>—</w:t>
            </w:r>
          </w:p>
        </w:tc>
        <w:tc>
          <w:tcPr>
            <w:tcW w:w="2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222222"/>
                <w:w w:val="99"/>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22222"/>
              </w:rPr>
              <w:t>Did Not Disclose Demographic Background</w:t>
            </w:r>
          </w:p>
        </w:tc>
        <w:tc>
          <w:tcPr>
            <w:tcW w:w="2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222222"/>
              </w:rPr>
              <w:t>—</w:t>
            </w: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2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In its evaluation of director candidates, including the member or members of the Board eligible for reelection, our nominating and corporate governance committee will consider the following:</w:t>
      </w:r>
    </w:p>
    <w:p>
      <w:pPr>
        <w:spacing w:after="0" w:line="162" w:lineRule="exact"/>
        <w:rPr>
          <w:sz w:val="20"/>
          <w:szCs w:val="20"/>
          <w:color w:val="auto"/>
        </w:rPr>
      </w:pPr>
    </w:p>
    <w:p>
      <w:pPr>
        <w:ind w:left="660" w:hanging="315"/>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size and composition of our Board and the needs of the Board and its respective committees;</w:t>
      </w:r>
    </w:p>
    <w:p>
      <w:pPr>
        <w:spacing w:after="0" w:line="27" w:lineRule="exact"/>
        <w:rPr>
          <w:rFonts w:ascii="Times New Roman" w:cs="Times New Roman" w:eastAsia="Times New Roman" w:hAnsi="Times New Roman"/>
          <w:sz w:val="18"/>
          <w:szCs w:val="18"/>
          <w:color w:val="auto"/>
        </w:rPr>
      </w:pPr>
    </w:p>
    <w:p>
      <w:pPr>
        <w:jc w:val="both"/>
        <w:ind w:left="660" w:hanging="315"/>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such as character, integrity, judgment, diversity of experience, independence, area of expertise, corporate experience, length of service, potential conflicts of interest, other commitments, and the like. Our nominating and corporate governance committee evaluates these factors, among others, and does not assign any particular weighting or priority to any of these factors; and</w:t>
      </w:r>
    </w:p>
    <w:p>
      <w:pPr>
        <w:spacing w:after="0" w:line="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our nominating and corporate governance committee may consider appropriate.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also focuses on issues of diversity, such as diversity in experience, international perspective, background, expertise, skills, age, gender, and ethnicity. The nominating and corporate governance committee does not have a formal policy with respect to diversity; however, our Board and the nominating and corporate governance committee believe that it is essential that members of our Board represent diverse viewpoints. Any nominee for a position on the Board must satisfy the following minimum qualifications:</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levels of personal and professional ethics and integrity;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Proven achievement and competence in the nominee’s field and the ability to exercise sound business judgment;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that are complementary to those of the existing Board;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assist and support management and make significant contributions to our success; and</w:t>
      </w:r>
    </w:p>
    <w:p>
      <w:pPr>
        <w:spacing w:after="0" w:line="9" w:lineRule="exact"/>
        <w:rPr>
          <w:rFonts w:ascii="Times New Roman" w:cs="Times New Roman" w:eastAsia="Times New Roman" w:hAnsi="Times New Roman"/>
          <w:sz w:val="18"/>
          <w:szCs w:val="18"/>
          <w:color w:val="auto"/>
        </w:rPr>
      </w:pPr>
    </w:p>
    <w:p>
      <w:pPr>
        <w:ind w:left="660" w:right="60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member of the Board and the commitment of time and energy necessary to diligently carry out those responsibilities.</w:t>
      </w:r>
    </w:p>
    <w:p>
      <w:pPr>
        <w:spacing w:after="0" w:line="18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If our nominating and corporate governance committee determines that an additional or replacement director is required,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8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After completing its review and evaluation of director candidates, our nominating and corporate governance committee recommends to our full Board the director nominee. Our nominating and corporate governance committee has discretion to decide which individuals to recommend for nomination as directors and our Board has the final authority in determining the selection of director candidates for nomination to our Board.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Requirements for Stockholder Recommendations of a Candidate to our Board</w:t>
      </w:r>
    </w:p>
    <w:p>
      <w:pPr>
        <w:spacing w:after="0" w:line="229"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recommendations for candidates to our Board from our stockholders. A stockholder that wishes to recommend a candidate for consideration by the committee as a potential candidate for director must direct the recommendation in writing to Arcturus Therapeutics Holdings Inc., 10628 Science Center Drive, Suite 250, San Diego, California 92121, Attention: Corporate Secretary, and must include the candidate’s name, home and business contact information, detailed biographical data, relevant qualifications, a signed letter from the candidate confirming willingness to serve, information regarding any relationships between us and the candidate and evidence of the recommending stockholder’s ownership of our stock. Such recommendation must also include a statement from the recommending stockholder in support of the candidate, particularly within the context of the criteria for Board membership, including character, integrity, judgment, diversity of experience, independence, area of expertise, corporate experience, potential conflicts of interest, other commitments and personal references. Our nominating and corporate governance committee will consider the recommendation but will not be obligated to take any further action with respect to the recommendation. See “</w:t>
      </w:r>
      <w:r>
        <w:rPr>
          <w:rFonts w:ascii="Times New Roman" w:cs="Times New Roman" w:eastAsia="Times New Roman" w:hAnsi="Times New Roman"/>
          <w:sz w:val="18"/>
          <w:szCs w:val="18"/>
          <w:i w:val="1"/>
          <w:iCs w:val="1"/>
          <w:color w:val="auto"/>
        </w:rPr>
        <w:t>Stockholder Proposals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Director Nominations Not for Inclusion in Proxy Statement” </w:t>
      </w:r>
      <w:r>
        <w:rPr>
          <w:rFonts w:ascii="Times New Roman" w:cs="Times New Roman" w:eastAsia="Times New Roman" w:hAnsi="Times New Roman"/>
          <w:sz w:val="18"/>
          <w:szCs w:val="18"/>
          <w:color w:val="auto"/>
        </w:rPr>
        <w:t>elsewhere in this proxy statement for additional requirements on the timeliness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recommendations for candidates in connection with next year’s annual meeting.</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In cases where stockholders or other interested parties wish to communicate directly with our non-management directors, messages can be sent to Arcturus Therapeutics Holdings Inc., 10628 Science Center Drive, Suite 250, San Diego, California 92121, Attention: Corporate Secretary. Our corporate secretary monitors these communications and will provide a summary of all received messages to the Board at each regularly scheduled meeting of the Board. Our Board generally meets on a quarterly basis. Where the nature of a communication warrants, our corporate secretary may determine, in his judgment, to obtain the more immediate attention of the appropriate committee of the Board, non-management directors, independent advisors or our management, as our corporate secretary considers appropriate.</w:t>
      </w:r>
    </w:p>
    <w:p>
      <w:pPr>
        <w:spacing w:after="0" w:line="18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Our corporate secretary may decide in the exercise of his or her judgment whether a response to any stockholder or interested party communication is necessary.</w:t>
      </w:r>
    </w:p>
    <w:p>
      <w:pPr>
        <w:spacing w:after="0" w:line="16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This procedure for stockholder and other interested party communications with the non-management directors is administered by our nominating and corporate governance committee. This procedure does not apply to (i) communications to non-management directors from our officers or directors who are stockholders or (ii) stockholder proposals submitted pursuant to Rule 14a-8 under the Exchange Act.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regarding attendance by members of our Board at annual meetings of stockholders. We encourage, but do not require, directors to attend.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Company’s Code of Business Conduct and Ethics (the “Code of Conduct”) is applicable to all directors, officers and employees of the Company and its subsidiaries, including but not limited to the Company’s principal executive officer and principal financial officer.</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copy of the Code of Conduct on the corporate governance section of our website, which is located at http://ir.arcturusrx.com/governance-highlights.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Arcturus, dedication to human capital management is a core component of our corporate governance and culture. Our comprehensive approach to human capital management is grounded in our core values of integrity, excellence, and respect for people, which reflect our commitment to creating a safe, supportive, ethical, and rewarding work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approximately 180 full-time employees and no part-time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Practices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currently have a formal Environmental, Social and Governance Policy (“ESG Policy”) in place, but plan to do so in the future. We anticipate that the ESG Policy, when adopted by the Board, will include “Human Capital Management” as a key component, and focus on various topics, which may or may not include (1) hiring, promotion and talent development; (2) health and safety; (3) compensation and benefits; and (4) diversity and inclusion. Although we have not adopted a formal ESG Policy, our management and leadership incorporates the foregoing and other environmental, social and governance considerations in all matters related to human capital and human capital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Pursuant to our Insider Trading Policy, officers, and employees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our securities.</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related footnotes show the compensation paid during the year ended December 31, 2023 to our non-employee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or Paid in</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760" w:type="dxa"/>
            <w:vAlign w:val="bottom"/>
          </w:tcPr>
          <w:p>
            <w:pPr>
              <w:spacing w:after="0"/>
              <w:rPr>
                <w:sz w:val="19"/>
                <w:szCs w:val="19"/>
                <w:color w:val="auto"/>
              </w:rPr>
            </w:pPr>
          </w:p>
        </w:tc>
      </w:tr>
      <w:tr>
        <w:trPr>
          <w:trHeight w:val="23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Awards ($) (1)</w:t>
            </w: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Compensation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r>
      <w:tr>
        <w:trPr>
          <w:trHeight w:val="209"/>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Peter Farrell</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55,000</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273,000</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$ 328,000</w:t>
            </w: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James Barlow</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273,000</w:t>
            </w:r>
          </w:p>
        </w:tc>
        <w:tc>
          <w:tcPr>
            <w:tcW w:w="220" w:type="dxa"/>
            <w:vAlign w:val="bottom"/>
          </w:tcPr>
          <w:p>
            <w:pPr>
              <w:spacing w:after="0"/>
              <w:rPr>
                <w:sz w:val="18"/>
                <w:szCs w:val="18"/>
                <w:color w:val="auto"/>
              </w:rPr>
            </w:pPr>
          </w:p>
        </w:tc>
        <w:tc>
          <w:tcPr>
            <w:tcW w:w="20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$ 330,500</w:t>
            </w: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Magda Marquet</w:t>
            </w:r>
          </w:p>
        </w:tc>
        <w:tc>
          <w:tcPr>
            <w:tcW w:w="168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273,000</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$ 318,000</w:t>
            </w: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Edward W. Holmes</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52,500</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273,000</w:t>
            </w:r>
          </w:p>
        </w:tc>
        <w:tc>
          <w:tcPr>
            <w:tcW w:w="220" w:type="dxa"/>
            <w:vAlign w:val="bottom"/>
          </w:tcPr>
          <w:p>
            <w:pPr>
              <w:spacing w:after="0"/>
              <w:rPr>
                <w:sz w:val="18"/>
                <w:szCs w:val="18"/>
                <w:color w:val="auto"/>
              </w:rPr>
            </w:pPr>
          </w:p>
        </w:tc>
        <w:tc>
          <w:tcPr>
            <w:tcW w:w="20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$ 325,500</w:t>
            </w: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Jing L. Marantz</w:t>
            </w:r>
          </w:p>
        </w:tc>
        <w:tc>
          <w:tcPr>
            <w:tcW w:w="168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273,000</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$ 318,000</w:t>
            </w:r>
          </w:p>
        </w:tc>
      </w:tr>
      <w:tr>
        <w:trPr>
          <w:trHeight w:val="23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John H. Markels</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47,500</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273,000</w:t>
            </w:r>
          </w:p>
        </w:tc>
        <w:tc>
          <w:tcPr>
            <w:tcW w:w="220" w:type="dxa"/>
            <w:vAlign w:val="bottom"/>
          </w:tcPr>
          <w:p>
            <w:pPr>
              <w:spacing w:after="0"/>
              <w:rPr>
                <w:sz w:val="20"/>
                <w:szCs w:val="20"/>
                <w:color w:val="auto"/>
              </w:rPr>
            </w:pPr>
          </w:p>
        </w:tc>
        <w:tc>
          <w:tcPr>
            <w:tcW w:w="206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$ 320,500</w:t>
            </w:r>
          </w:p>
        </w:tc>
      </w:tr>
    </w:tbl>
    <w:p>
      <w:pPr>
        <w:spacing w:after="0" w:line="204" w:lineRule="exact"/>
        <w:rPr>
          <w:sz w:val="20"/>
          <w:szCs w:val="20"/>
          <w:color w:val="auto"/>
        </w:rPr>
      </w:pPr>
    </w:p>
    <w:p>
      <w:pPr>
        <w:ind w:left="80"/>
        <w:spacing w:after="0"/>
        <w:tabs>
          <w:tab w:leader="none" w:pos="420" w:val="left"/>
        </w:tabs>
        <w:rPr>
          <w:sz w:val="20"/>
          <w:szCs w:val="20"/>
          <w:color w:val="auto"/>
        </w:rPr>
      </w:pPr>
      <w:r>
        <w:rPr>
          <w:rFonts w:ascii="Times New Roman" w:cs="Times New Roman" w:eastAsia="Times New Roman" w:hAnsi="Times New Roman"/>
          <w:sz w:val="18"/>
          <w:szCs w:val="18"/>
          <w:color w:val="auto"/>
        </w:rPr>
        <w:t>(1)</w:t>
        <w:tab/>
        <w:t>Represents annual option awards, which vest as set forth below in “</w:t>
      </w:r>
      <w:r>
        <w:rPr>
          <w:rFonts w:ascii="Times New Roman" w:cs="Times New Roman" w:eastAsia="Times New Roman" w:hAnsi="Times New Roman"/>
          <w:sz w:val="18"/>
          <w:szCs w:val="18"/>
          <w:i w:val="1"/>
          <w:iCs w:val="1"/>
          <w:color w:val="auto"/>
        </w:rPr>
        <w:t>Annual Equity Grants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229"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Our director compensation policy is intended to provide a total compensation package that enables us to attract and retain qualified and experienced individuals to serve as directors and to align our directors’ interests with those of our stockholders.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Annual Cash Compensation</w:t>
      </w:r>
    </w:p>
    <w:p>
      <w:pPr>
        <w:spacing w:after="0" w:line="227"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The annual retainers payable to non-employee directors for service on the Board and its committees are (i) $35,000 for service on the Board, (ii) $5,000 for service on each of the compensation committee and the nominating and corporate governance committee, (ii) $7,500 for service on the audit committee,</w:t>
      </w:r>
    </w:p>
    <w:p>
      <w:pPr>
        <w:ind w:left="20" w:right="20" w:firstLine="6"/>
        <w:spacing w:after="0" w:line="260" w:lineRule="auto"/>
        <w:tabs>
          <w:tab w:leader="none" w:pos="3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$20,000 for the Chairman of the Board, (iv) an additional $5,000 for the chairman of each of the compensation committee and the nominating and corporate governance committee, and (v) an additional $10,000 for the chairman of the audit committee.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Inaugural Equity Grants</w:t>
      </w:r>
    </w:p>
    <w:p>
      <w:pPr>
        <w:spacing w:after="0" w:line="227"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Each non-employee director who joins the board receives an equity award of an option to purchase 20,000 shares of our common stock, which vests monthly over a two-year period from the date of grant.</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Annual Equity Grants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non-employee director received an annual equity award of an option to purchase 11,622 shares of our common stock, which vests monthly over a one-year period from the date of grant, together with 3,378 deferred stock units. New directors receive an annual equity grant that is prorated based on the number of days of their service in the year of grant.</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is currently composed of eight directors. At the annual meeting, each director will be elected to our Board by the holders of our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such director’s earlier death, resignation or removal.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recommended for nomination and our Board nominated each of Dr. Peter Farrell, Joseph E. Payne, Andy Sassine, James Barlow, Dr. Edward W. Holmes, Dr. Magda Marquet, Dr. Jing L. Marantz and Dr. John H. Markels, for election as a director at the annual meeting. If elected, each will serve as a director until our next annual meeting and until his or her respective successor is duly elected and qualified. For more information concerning each of the nominees, please see the section entitled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nominees has agreed to serve if elected, and management has no reason to believe that he or she will be unavailable to serve. In the event he or she is unable or declines to serve as a director at the time of the annual meeting, proxies will be voted for any nominee who may be proposed by the nominating and corporate governance committee and designated by the present Board to fill the vacancy.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directors elected to the Board will be elected by a plurality of the votes cast by the holders of shares present in person (including virtually) or represented by proxy and entitled to vote on the election of a director. In other words, if each of the nominees receives a single “FOR” vote, he or she will be elected as a director. Shares represented by executed proxies will be voted, if authority to do so is not expressly withheld, to elect of each of Dr. Peter Farrell, Joseph E. Payne, Andy Sassine, James Barlow, Dr. Edward W. Holmes, Dr. Magda Marquet, Dr. Jing L. Marantz and Dr. John H. Markels, as a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recommends a vote “FOR” the election to the Board of each of Dr. Peter Farrell, Joseph E. Payne, Andy Sassine, James Barlow, Dr.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Edward W. Holmes, Dr. Magda Marquet, Dr. Jing L. Marantz and Dr. John H. Markels, as a director.</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698" w:right="359" w:bottom="1440" w:gutter="0" w:footer="0" w:header="0"/>
        </w:sectPr>
      </w:pPr>
    </w:p>
    <w:bookmarkStart w:id="21" w:name="page22"/>
    <w:bookmarkEnd w:id="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NUMBER 2</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TO APPROVE THE AMENDMENT TO THE AMENDED AND RESTATED 2019 OMNIBUS EQUITY INCENTIVE PLAN</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approve the Amendment to the existing Arcturus Therapeutics Holdings Inc. Amended and Restated 2019 Omnibus Equity Incentive Plan (as amended, the “Plan”). Upon recommendation of the compensation committee, the Board approved the Amendment, subject to receipt of stockholder approval, and has recommended that stockholders approve this Proposal No. 2 to approve the Amendment. Equity-based compensation is an important component of our compensation philosophy because it provides employees with long-term exposure to the Company’s performance and aligns employees’ interests with those of our stockholders. Approval of the Amendment will allow us to continue to grant equity compensation awards to our employees, officers, and directors in furtherance of this philosophy.</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approve the Amendment, which includes the following material amendment (along with certain other clarifying changes):</w:t>
      </w:r>
    </w:p>
    <w:p>
      <w:pPr>
        <w:spacing w:after="0" w:line="162" w:lineRule="exact"/>
        <w:rPr>
          <w:sz w:val="20"/>
          <w:szCs w:val="20"/>
          <w:color w:val="auto"/>
        </w:rPr>
      </w:pPr>
    </w:p>
    <w:p>
      <w:pPr>
        <w:ind w:left="660" w:right="3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number of shares authorized for use in making awards under the Plan by 2,000,000 shares to 10,750,000, which will result in an aggregate 2,300,984 shares being available for future grants if the Amendment is approved.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officers and directors have an interest in this Proposal No. 2 due to their participation in the Plan.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reason for seeking stockholder approval of Proposal No. 2 is to satisfy certain requirements of (i) the Internal Revenue Code of 1986 (the “Code”), related to incentive stock option plans and (ii) applicable Nasdaq Marketplace Rules. Additionally, the Board believes that to enable the Company to continue to attract and retain personnel of the highest caliber, provide incentive for officers, directors, employees and other key persons and to promote the well-being of the Company, it is in the best interest of the Company and its stockholders to provide to officers, directors, employees, consultants and other independent contractors who perform services for the Company, through the granting of stock options, restricted stock, deferred stock or other stock-based awards, the opportunity to participate in the value and/or appreciation in value of the Company’s common stock.</w:t>
      </w:r>
    </w:p>
    <w:p>
      <w:pPr>
        <w:spacing w:after="0" w:line="18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 strongly believe that the approval of the Amendment is essential to our continued success. The Company’s directors and officers further believe that equity awards motivate high levels of performance, align the interests of our employees and stockholders by giving directors, employees and consultants the perspective of an owner with an equity stake in the Company, and provide an effective means of recognizing their contributions to the success of the Company.</w:t>
      </w:r>
    </w:p>
    <w:p>
      <w:pPr>
        <w:spacing w:after="0" w:line="180"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If our stockholders do not approve this Proposal No. 2, we will be unable to use equity compensation to the extent needed to provide competitive compensation to motivate our employees. If this Proposal No. 2 is not approved at the Annual Meeting, we could be required to increase cash compensation to attract, retain and motivate our employees, which may compromise funding of our development programs.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officers and directors believe that equity awards are necessary to remain competitive in our industry and are essential to recruiting and retaining the highly qualified employees, directors and consultants who help the Company meet its goals. If the Amendment is not approved at the Annual Meeting and we are then unable to offer equity awards as a component of compensation on agreeable terms, we will be at a disadvantage relative to other companies which will be able to offer more attractive and broad-based compensation packages to their executive officers, directors, and other key employees. The Company’s officers and directors believe that the ability to grant equity awards is, now more than ever, critical to the future success of the Company and in the best interests of the Company’s stockholders.</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98" w:right="439" w:bottom="1440" w:gutter="0" w:footer="0" w:header="0"/>
        </w:sectPr>
      </w:pPr>
    </w:p>
    <w:bookmarkStart w:id="22" w:name="page23"/>
    <w:bookmarkEnd w:id="22"/>
    <w:p>
      <w:pPr>
        <w:ind w:right="60"/>
        <w:spacing w:after="0" w:line="261" w:lineRule="auto"/>
        <w:rPr>
          <w:sz w:val="20"/>
          <w:szCs w:val="20"/>
          <w:color w:val="auto"/>
        </w:rPr>
      </w:pPr>
      <w:r>
        <w:rPr>
          <w:rFonts w:ascii="Times New Roman" w:cs="Times New Roman" w:eastAsia="Times New Roman" w:hAnsi="Times New Roman"/>
          <w:sz w:val="18"/>
          <w:szCs w:val="18"/>
          <w:color w:val="auto"/>
        </w:rPr>
        <w:t>Equity awards form a core component of our compensation philosophies at it relates to our officers, other employees and non-employee directors. This Proposal No. 2 will give us flexibility as to any compensation packages we offer, which we believe is critical during times of extremely volatility and uncertainty. As a result, we believe our ability to hire, appoint, and retain key personnel would be negatively impacted by a failure to approve this Proposal No. 2.</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general description of the Amendment set forth below is qualified in its entirety by and subject to the full text of the form of proposed amendment,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If our stockholders fail to approve the Amendment, the Amendment will not be given effect and the current plan will continue as in effect prior to the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the Proposed Amendment to the Amended and Restated 2019 Omnibus Equity Incentive Plan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adoption of the Amendment, up to a maximum of 4,094,428 shares of common stock have been authorized for settlement of awards granted under the Plan prior to effecting the Amendment. The Amendment increases the number of shares of common stock that are available for delivery pursuant to Awards granted under the Plan by 2,000,000 to 10,750,000 shares. As of the Record Date, the total number of shares remaining in reserve for issuance under the Plan was 300,984. The Board and management, as described herein, believe that these available shares are insufficient for future business purposes of the Plan. If this Proposal No. 2 is approved, an aggregate of 2,300,984 shares will be available for future grant under the Plan. Up to a maximum of 2,300,984 shares may be issued pursuant to the exercise of incentive stock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the Plan, as Amended by the Amendment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Plan covers the grant of awards to the Company’s employees (including officers), non-employee consultants and non-employee directors and those of the Company’s affiliates. As of December 31, 2023, approximately 180 employees (including officers) and six non-employee directors were eligible to participate in the Plan. In addition, the Plan permits the grant of awards (other than incentive stock options) to individuals who are expected to become an employee to, non-employee consultant or non-employee director of the Company or any of its affiliates within a reasonable period of time after the grant of an award. Any award granted to any individual who is expected to become an employee, non-employee consultant or non-employee director will be automatically terminated and cancelled without consideration if the individual does not begin performing services for the Company or any of its affiliate within twelve (12) months after the grant date. For purposes of the Plan, the Company’s affiliates include any corporation, partnership, limited liability company, joint venture or other entity, with respect to which we, directly or indirectly, own either (i) stock of a corporation possessing more than fifty percent (50%) of the total combined voting power of all classes of stock entitled to vote, or more than fifty percent (50%) of the total value of all shares of all classes of stock of such corporation, or (ii) an aggregate of more than fifty percent (50%) of the profits interest or capital interest of any non-corporate entity.</w:t>
      </w:r>
    </w:p>
    <w:p>
      <w:pPr>
        <w:spacing w:after="0" w:line="19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administers the Plan. The compensation committee may delegate any or all of its administrative authority to the Company’s Chief Executive Officer or to a management committee except with respect to awards to executive officers who are subject to Section 16 of the Exchange Act. In addition, the full Board must serve as the committee with respect to any awards to the Company’s non-employee directors.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stock delivered to settle awards made under the Plan may be authorized and unissued shares or treasury shares, including shares repurchased by the Company for purposes of the Plan. If any shares subject to any award granted under the Plan (other than a substitute award as described below) is forfeited or otherwise terminated without delivery of all or a portion of such shares, including on payment in shares on exercise of a stock appreciation right (or if such shares are returned to the Company due to a forfeiture restriction under such award), the shares subject to such awards will again be available for issuance under the Plan. Any shares that are withheld or applied as payment (either actually or by attestation) for shares issued upon exercise of an award or for the withholding or payment of taxes due upon exercise of the award will not be treated as having been delivered under the Plan and will, at the discretion of the Company, be available for grant under the Plan.</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3" w:name="page24"/>
    <w:bookmarkEnd w:id="23"/>
    <w:p>
      <w:pPr>
        <w:ind w:right="40"/>
        <w:spacing w:after="0" w:line="255" w:lineRule="auto"/>
        <w:rPr>
          <w:sz w:val="20"/>
          <w:szCs w:val="20"/>
          <w:color w:val="auto"/>
        </w:rPr>
      </w:pPr>
      <w:r>
        <w:rPr>
          <w:rFonts w:ascii="Times New Roman" w:cs="Times New Roman" w:eastAsia="Times New Roman" w:hAnsi="Times New Roman"/>
          <w:sz w:val="18"/>
          <w:szCs w:val="18"/>
          <w:color w:val="auto"/>
        </w:rPr>
        <w:t>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the Company or repurchase or exchange of our shares or other securities, or other rights to purchase shares of the Company’s securities or other similar transaction or event affects the common stock such that the committee determines that an adjustment is appropriate in order to prevent dilution or enlargement of the benefits (or potential benefits) provided to grantees under the Plan, the committee will make an equitable change or adjustment as it deems appropriate in the number and kind of securities subject to awards (whether or not then outstanding) and the related exercise price relating to an award in order to prevent dilution or enlargement of the benefits or potential benefits intended to be made available under the Plan.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Other than in the case of substitute awards, (i) a non-employee director who is a lead independent director or a director chair or a newly-appointed director may not be granted awards for cash or shares that together with any awards granted outside of the Plan have a fair market value (determined as of the date of grant) in excess of $2,000,000 in a single calendar year and (ii) any other non-employee director may not be granted awards for cash or shares that together with any awards granted outside of the Plan have a fair market value (determined as of the date of grant) in excess of $1,000,000 in a single calendar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permits the granting of any or all of the following types of awards to all grantees: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including incentive stock options (“ISOs”);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(“SARs”);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stock and restricted stock units;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units and performance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shares;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awards under the Plan are granted for no consideration other than prior and future services. Awards granted under the Plan may, in the discretion of the committee, be granted alone or in addition to, in tandem with or in substitution for, any other award under the Plan or other plan of ours; provided, however, that if SARs are granted in tandem with ISOs, the SARs and ISOs must have the same grant date and term and the exercise price of the SARs may not be less than the exercise price of the ISOs. The material terms of each award will be set forth in a written award agreement between the grantee and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 and SARs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committee is authorized to grant SARs and stock options (including ISOs except that an ISO may only be granted to an employee of the Company or one of its subsidiary corporations). A stock option allows a grantee to purchase a specified number of shares of the common stock at a predetermined price per share (the “exercise price”) during a fixed period measured from the date of grant. A SAR entitles the grantee to receive the excess of the fair market value of a specified number of shares on the date of exercise over a predetermined exercise price per share. The exercise price of an option or an SAR will be determined by the committee and set forth in the applicable award agreement but (other than in the case of substitute awards) the exercise price may not be less than the fair market value of a share of common stock on the grant date. The term of each option or SAR is determined by the committee and set forth in the applicable award agreement, except that the term may not exceed 10 years. Options may be exercised by payment of the purchase price through one or more of the following means: payment in cash (including personal check or wire transfer), by delivering shares of the common stock previously owned by the grantee, or with the approval of the committee, by delivery of shares of common stock acquired upon the exercise of such option or by delivering restricted shares. The committee may also permit a grantee to pay the exercise price of an option through the sale of shares acquired upon exercise of the option through a broker-dealer to whom the grantee has delivered irrevocable instructions to deliver sales proceeds sufficient to pay the purchase price and any applicable tax withholding amounts to the Company.</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committee may award restricted shares consisting of shares of common stock which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applicable award agreement. Upon termination of the grantee’s affiliation with the Company during the restriction period (or, if applicable, upon the failure to satisfy the specified performance objectives during the restriction period), the restricted shares will be forfeited as provided in the applicable award agreement. Stock dividends and deferred cash dividends issued with respect to restricted shares will be subject to the same restrictions and other terms as apply to the restricted shares with respect to which such dividends are issued.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Stock and Restricted Stock Units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committee may also grant deferred stock awards and/or restricted stock unit awards. A deferred stock award is the grant of a right to receive a specified number of shares of common stock at the end of specified deferral periods or upon the occurrence of a specified event, which satisfies the requirements of Section 409A of the Code. A restricted stock unit award is the grant of a right to receive a specified number of shares of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lapse without the issuance of the shares underlying such award.</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Restricted stock units and deferred stock awards carry no voting or other rights associated with stock ownership until the shares underlying the award are delivered in settlement of the award. Unless otherwise determined by the Committee, a grantee will have the rights to receive dividend equivalents in respect of deferred stock and/or restricted stock units, which dividend equivalents will be deemed reinvested in additional shares of deferred stock or restricted stock units, as applicable, and which will remain subject to the same forfeiture conditions applicable to the deferred stock or restricted stock units to which such dividend equivalents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Units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committee may grant performance units, which entitle a grantee to cash or shares conditioned upon the fulfillment of certain performance conditions and other restrictions as specified by the committee and reflected in the applicable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applicable award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committee may grant performance shares, which entitle a grantee to a certain number of shares of common stock, conditioned upon the fulfillment of certain performance conditions and other restrictions as specified by the committee and reflected in the applicable award agreement. The committee will determine the terms and conditions of such awards, including performance and other restrictions placed on these awards, which will be reflected in the applicable award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Bonus Shares</w:t>
      </w:r>
    </w:p>
    <w:p>
      <w:pPr>
        <w:spacing w:after="0" w:line="2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committee may grant fully vested shares of common stock as bonus shares in recognition of past performance or as an inducement to become an employee, non-employee consultant or director on such terms and conditions as specified in the applicable award agreement.</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Dividend Equivalents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committee is authorized to grant dividend equivalents, which provide a grantee the right to receive payment equal to the dividends paid on a specified number of shares of common stock. Dividend equivalents may be paid directly to grantees or may be deferred for later delivery under the Plan. No dividend equivalents may be granted with respect to options or SARs. If deferred such dividend equivalents may be credited with interest or may be deemed to be invested in shares of common stock or in other property. Any dividend equivalents granted in conjunction with any award that is subject to forfeiture conditions will remain subject to the same forfeiture conditions applicable to the award to which such dividend equivalents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Stock-Based Awards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Plan authorizes the committee to grant awards that are valued in whole or in part by reference to or otherwise based on the Company’s securities. The committee determines the terms and conditions of such awards, including whether awards are paid in shares or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Similar Corporate Transaction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there is a merger or consolidation of the Company with or into another corporation or a sale of substantially all of the Company’s stock, or, collectively, a Corporate Transaction, and the outstanding awards are not assumed by surviving company (or its parent company) or replaced with economically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common stock and the option or SAR is not assumed or replaced by the surviving company (or its parent company), such options and SARs will be cancelled without any payment to the grantee.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Amendments to the Plan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Plan may be amended, altered, suspended, discontinued or terminated by the Board without further stockholder approval, unless such approval of an amendment or alteration is required by law or regulation or under the rules of any stock exchange or automated quotation system on which the common stock is then listed or quoted. Thus, stockholder approval will not necessarily be required for amendments which might increase the cost of the Plan or broaden eligibility. Stockholder approval will not be deemed to be required under laws or regulations that condition favorable treatment of grantees on such approval, although the Board may, in its discretion, seek stockholder approval in any circumstance in which it deems such approval advisable.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terms of any outstanding option or stock appreciation right may not be amended: (i) to reduce the exercise price of such option or stock appreciation right, or (ii) cancel any outstanding option or stock appreciation right in exchange for other options or stock appreciation rights with an exercise price that is less than the exercise price of the cancelled option or stock appreciation right or for any cash payment (or shares having a fair market value) in an amount that exceeds the excess of the fair market value of the shares underlying such cancelled option or stock appreciation right over the aggregate exercise price of such option or stock appreciation right or for any other award, or (iii) take any other action with respect to an option or stock appreciation right that would be treated as a repricing under the rules and regulations on the principal securities exchange on which the shares are traded, in each case without stockholder approval. The foregoing restrictions will not apply (i) unless the Company has a class of stock that is registered under Section 12 of the Exchange Act or (ii) to any adjustment allowed under the provisions of the Plan relating to adjustments for changes in capitalization, corporate transactions, or a liquidation or dissolution.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26" w:name="page27"/>
    <w:bookmarkEnd w:id="26"/>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subject to the terms of the Plan, no amendment or termination of the Plan may materially and adversely affect the right of a grantee without the consent of the grantee under any award granted under the Plan.</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Unless earlier terminated by the Board, the Plan will terminate when no shares remain reserved and available for issuance or, if earlier, on the tenth anniversary of the most recent effective date of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summarizes the certain Federal income tax consequences of the Plan based on current provisions of the Code, which are subject to change. This summary is not intended to be exhaustive and does not address all matters which may be relevant to a particular grantee based on his or her specific circumstances. The summary expressly does not discuss the income tax laws of any state, municipality, or non-U.S. taxing jurisdiction, or the gift, estate, excise (including the rules applicable to deferred compensation under Code Section 409A or golden parachute excise taxes under Code Section 4999), or other tax laws other than federal income tax law. The following is not intended or written to be used, and cannot be used, for the purposes of avoiding taxpayer penalties. Because individual circumstances may vary, the Company advises all grantees to consult their own tax advisors concerning the tax implications of awards granted under the Plan.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A recipient of a stock option will not have taxable income upon the grant of the stock option. For stock options that are not incentive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the grantee will recognize ordinary income upon exercise in an amount equal to the value of any cash received, plus the difference between the fair market value of the freely transferable and non-forfeitable shares received by the grantee on the date of exercise and the exercise price. The grantee’s tax basis in such shares will be the fair market value of such shares on the date the option is exercised. Any gain or loss recognized upon any later disposition of the shares generally will be a long-term or short-term capital gain or loss.</w:t>
      </w:r>
    </w:p>
    <w:p>
      <w:pPr>
        <w:spacing w:after="0" w:line="18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acquisition of shares upon exercise of an incentive stock option will not result in any taxable income to the grantee, except, possibly, for purposes of the alternative minimum tax. The gain or loss recognized by the grantee on a later sale or other disposition of such shares will either be long-term capital gain or loss or ordinary income, depending upon whether the grantee holds the shares for the legally-required period (currently two years from the date of grant and one year from the date of exercise). If the shares are not held for the legally-required period, the grantee will recognize ordinary income equal to the lesser of (i) the difference between the fair market value of the shares on the date of exercise and the exercise price, or (ii) the difference between the sales price and the exercise price. If the grantee holds the shares for the legally required holding period, the grantee’s tax basis in such shares will be the exercise price paid for the shares.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Generally, a company can claim a federal income tax deduction equal to the amount recognized as ordinary income by a grantee in connection with the exercise of a stock option, but not relating to a grantee’s capital gains. Accordingly, the Company will not be entitled to any tax deduction with respect to an incentive stock option if the grantee holds the shares for the legally-required period.</w:t>
      </w:r>
    </w:p>
    <w:p>
      <w:pPr>
        <w:spacing w:after="0" w:line="174"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Restricted Shares. </w:t>
      </w:r>
      <w:r>
        <w:rPr>
          <w:rFonts w:ascii="Times New Roman" w:cs="Times New Roman" w:eastAsia="Times New Roman" w:hAnsi="Times New Roman"/>
          <w:sz w:val="17"/>
          <w:szCs w:val="17"/>
          <w:color w:val="auto"/>
        </w:rPr>
        <w:t>Unless a grantee makes the election described below, a grant of restricted shares will not result in taxable income to the grantee 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deduction for the Company in the year of grant. The value of such restricted shares will be taxable to a grantee as ordinary income in the year in which the restrictions lapse. Alternatively, a grantee may elect to treat as income in the year of grant the fair market value of the restricted stock on the date of grant, provided the grantee makes the election within 30 days after the date of such grant. If such an election were made, the grantee would not be allowed to deduct at a later date the amount included as taxable income if the grantee should forfeit the shares of restricted stock. The amount of ordinary income recognized by a grantee is deductible by the Company in the year such income is recognized by the grantee, provided such amount constitutes reasonable compensation to the grantee. If the election described above is not made, then prior to the lapse of restrictions, dividends paid on the shares subject to such restrictions will be taxable to the grantee as additional compensation in the year received, and the Company will be allowed a corresponding deduction.</w:t>
      </w:r>
    </w:p>
    <w:p>
      <w:pPr>
        <w:spacing w:after="0" w:line="17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Generally, when a grantee receives payment in settlement of any other award granted under the Plan, the amount of cash and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shares received will be ordinary income to such grantee, and the Company will be allowed a corresponding deduction for federal income tax purposes.</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7" w:name="page28"/>
    <w:bookmarkEnd w:id="27"/>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Generally, when a grantee receives payment with respect to dividend equivalents, the amount of cash and the fair market value of any shares or other property received will be ordinary income to such grantee. The Company will be entitled to a federal income tax deduction in an amount equal to the amount the grantee includes in income.</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the grantee is an employee or former employee, the amount the grantee recognizes as ordinary income in connection with an award (other than an incentive stock option) is subject to tax withholding.</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Limitations on Deductions. </w:t>
      </w:r>
      <w:r>
        <w:rPr>
          <w:rFonts w:ascii="Times New Roman" w:cs="Times New Roman" w:eastAsia="Times New Roman" w:hAnsi="Times New Roman"/>
          <w:sz w:val="18"/>
          <w:szCs w:val="18"/>
          <w:color w:val="auto"/>
        </w:rPr>
        <w:t>Code Section 162(m) as amended by the Tax Cuts and Jobs Act, limits the Federal income tax deductibility of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to any covered employee to $1 million per fiscal year. A “covered employee” is any individual who (i) is the Company’s principal executive officer or principal financial officer at any time during the then current fiscal year, (ii) is one of the three highest paid named executive officers (other than the principal executive officer or principal financial officer) during the then current fiscal year or (iii) was a covered employee in any prior fiscal year beginning after December 31, 2016.</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w:t>
      </w:r>
      <w:r>
        <w:rPr>
          <w:rFonts w:ascii="Times New Roman" w:cs="Times New Roman" w:eastAsia="Times New Roman" w:hAnsi="Times New Roman"/>
          <w:sz w:val="18"/>
          <w:szCs w:val="18"/>
          <w:color w:val="auto"/>
        </w:rPr>
        <w:t>Under Section 409A of the Code. Any award that is deemed to be a deferral arrangement (excluding certain exempted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deferrals) will be subject to Code Section 409A. Generally, Code Section 409A imposes accelerated inclusion in income and tax penalties on the recipient of deferred compensation that does not satisfy the requirements of Code Section 409A. Options and restricted shares granted under the Amended and Restated Omnibus Plan will typically be exempt from Code Section 409A. Other awards may result in the deferral of compensation. Awards under the Plan that may result in the deferral of compensation are intended to be structured to meet applicable requirements under Code Section 409A. Certain grantee elections and the timing of distributions relating to such awards must also meet requirements under Code Section 409A in order for income taxation to be deferred and tax penalties avoided by the grantee upon vesting of the award.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Inducement Equity Incentive Plan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October 2021, the Company adopted the 2021 Inducement Equity Incentive Plan effective as of October 15, 2021 which covered the award of up to 1,000,000 shares of common stock at the time (the “Inducement Plan”). On October 20, 2021, the Company filed a Form S-8 with the United States Securities and Exchange Commission to register the 1,000,000 shares issuable pursuant to awards under the Inducement Plan. As of December 31, 2023, a total of 119,952 shares remained available for future issuance under the Inducement Plan.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approval of the Amendment requires the affirmative “FOR” vote of a majority of the votes cast on the proposal at the annual meeting. You may vote “FOR,” “AGAINST,” or “ABSTAIN” on this proposal.</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Board recommends a vote “FOR” the Approval of the Amendment.</w:t>
      </w: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NUMBER 3</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TO APPROVE, BY NON-BINDING ADVISORY VOTE, THE RESOLUTION APPROVING THE COMPANY’S NAMED EXECUTIVE OFFICER COMPENSATION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Section 14A of the Exchange Act and the related rules of the SEC, the Company is asking its stockholders to vote to approve, on an advisory (non-binding) basis, the compensation of our named executive officers as disclosed in this proxy statement. This proposal, commonly known as a “say-on-pay” proposal, gives our stockholders the opportunity to express their views on the compensation of our named executive officers. This vote is not intended to address any specific item of compensation, but rather the overall compensation of our named executive officers and the principles, policies and practices described in this proxy statement. Accordingly, the following advisory resolution is submitted for stockholder vote at the annual meeting: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RESOLVED, that the stockholders of Arcturus Therapeutics Holdings Inc. (the “Company”) approve, on an advisory basis, the compensation of the Company’s named executive officers as disclosed in this proxy statement pursuant to the compensation disclosure rules of the Securities and Exchange Commission, including the compensation tables regarding named executive officer compensation and the narrative disclosures that accompany the compensation tables.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“say-on-pay” vote is non-binding, the board of directors and the compensation committee will carefully review and consider the voting results when evaluating our named executive officer compensation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Say on Pay Proposal requires the affirmative “FOR” vote of a majority of the votes cast on the proposal at the annual meeting. You may vote “FOR,” “AGAINST,” or “ABSTAIN” on this proposal.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“FOR” the approval of the non-binding advisory resolution approving the Company’s Named Executive Officer compensation.</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NUMBER 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07"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Deloitte as the independent registered public accounting firm to audit our consolidated financial statements for the year ending December 31, 2024.</w:t>
      </w:r>
    </w:p>
    <w:p>
      <w:pPr>
        <w:spacing w:after="0" w:line="162"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Notwithstanding such appointment and even if our stockholders ratify such appointment, our audit committee, in its discretion, may appoint another independent registered public accounting firm at any time during the year if it believes that such a change would be in the best interests of Arcturus and its stockholders. Our audit committee is submitting the appointment of Deloitte to our stockholders because we value our stockholders’ views on such appointment and as a matter of good corporate governance. If the appointment is not ratified by our stockholders, our audit committee may consider appointing another independent registered public accounting firm. A representative of Deloitte is expected to be present virtually at the annual meeting, and will be available to respond to appropriate questions following the virtual annual meeting, but is not expected to make a statement.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Change of Independent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5, 2024, the audit committee authorized the dismissal Ernst &amp; Young LLP (“E&amp;Y”) as the Company’s independent registered public accounting firm, and E&amp;Y was dismissed as the Company’s independent registered public accounting firm as of such date. E&amp;Y served as the Company’s independent registered public accounting firm for the fiscal years ended December 31, 2023 and 2022 and the subsequent periods through April 5, 2024. E&amp;Y’s report on the Company’s consolidated financial statements as of and for the years ended December 31, 2023 and 2022 did not contain an adverse opinion or disclaimer of opinion, and were not qualified or modified as to uncertainty, audit scope or accounting principles.</w:t>
      </w:r>
    </w:p>
    <w:p>
      <w:pPr>
        <w:spacing w:after="0" w:line="18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During the Company’s two most recent fiscal years ended December 31, 2023 and 2022 and the subsequent interim period through April 5, 2024: (i) there were no disagreements between the Company and E&amp;Y on any matters of accounting principles or practices, financial statement disclosure, or auditing scope or procedure, which disagreements, if not resolved to the satisfaction of E&amp;Y, would have caused them to make reference to the subject matter of the disagreements in connection with their opinion on the Company’s consolidated financial statements; and (ii) there were no “reportable events” (as described in Item 304(a)(1)(v) of Regulation S-K).</w:t>
      </w:r>
    </w:p>
    <w:p>
      <w:pPr>
        <w:spacing w:after="0" w:line="183"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Effective April 5, 2024, the audit committee authorized the appointment of Deloitte as the Company’s new independent registered public accounting firm for the fiscal year ending December 31, 2024, and Deloitte was appointed as the Company’s independent registered public accounting firm. The decision to change the Company's principal independent accountants was the result of a competitive process undertaken by management and the audit committee as well as the Company's focus on reducing its general and administrative expenses. During the Company’s two most recent fiscal years ended December 31, 2023 and 2022, and the subsequent interim period through April 5, 2024, neither the Company nor anyone acting on behalf of the Company had consulted Deloitte regarding either: (i) the application of accounting principles to a specified transaction, either completed or proposed, or the type of audit opinion that might be rendered on the Company’s financial statements, nor did Deloitte provide a written report or oral advice to the Company that Deloitte concluded was an important factor considered by the Company in reaching a decision as to the accounting, auditing or financial reporting issues; or (ii) any matter that was either the subject of a “disagreement” (as defined in Item 304(a)(1)(iv) of Regulation S-K and the related instructions) or a “reportable event” (as described in Item 304(a)(1)(v) of Regulation S-K).</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to us and our subsidiaries by E&amp;Y, an independent registered public accounting firm, which served as our principal accountant for the years ended December 31, 2023 and 2022, respectively.</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29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7"/>
        </w:trPr>
        <w:tc>
          <w:tcPr>
            <w:tcW w:w="49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7"/>
                <w:szCs w:val="27"/>
                <w:color w:val="auto"/>
                <w:vertAlign w:val="superscript"/>
              </w:rPr>
              <w:t>(1)</w:t>
            </w:r>
          </w:p>
        </w:tc>
        <w:tc>
          <w:tcPr>
            <w:tcW w:w="330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1,345</w:t>
            </w:r>
          </w:p>
        </w:tc>
        <w:tc>
          <w:tcPr>
            <w:tcW w:w="5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9"/>
                <w:szCs w:val="29"/>
                <w:color w:val="auto"/>
                <w:vertAlign w:val="superscript"/>
              </w:rPr>
              <w:t>(2)</w:t>
            </w:r>
          </w:p>
        </w:tc>
        <w:tc>
          <w:tcPr>
            <w:tcW w:w="29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9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1,362</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w:t>
            </w:r>
          </w:p>
        </w:tc>
      </w:tr>
      <w:tr>
        <w:trPr>
          <w:trHeight w:val="20"/>
        </w:trPr>
        <w:tc>
          <w:tcPr>
            <w:tcW w:w="4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80" w:hanging="215"/>
        <w:spacing w:after="0" w:line="261" w:lineRule="auto"/>
        <w:rPr>
          <w:sz w:val="20"/>
          <w:szCs w:val="20"/>
          <w:color w:val="auto"/>
        </w:rPr>
      </w:pPr>
      <w:r>
        <w:rPr>
          <w:rFonts w:ascii="Times New Roman" w:cs="Times New Roman" w:eastAsia="Times New Roman" w:hAnsi="Times New Roman"/>
          <w:sz w:val="18"/>
          <w:szCs w:val="18"/>
          <w:color w:val="auto"/>
        </w:rPr>
        <w:t>(1)Includes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p>
      <w:pPr>
        <w:ind w:left="280" w:hanging="215"/>
        <w:spacing w:after="0" w:line="260" w:lineRule="auto"/>
        <w:rPr>
          <w:sz w:val="20"/>
          <w:szCs w:val="20"/>
          <w:color w:val="auto"/>
        </w:rPr>
      </w:pPr>
      <w:r>
        <w:rPr>
          <w:rFonts w:ascii="Times New Roman" w:cs="Times New Roman" w:eastAsia="Times New Roman" w:hAnsi="Times New Roman"/>
          <w:sz w:val="18"/>
          <w:szCs w:val="18"/>
          <w:color w:val="auto"/>
        </w:rPr>
        <w:t>(2)Tax fees are fees for services (including tax services provided in connection with our redomicile to the United States) rendered by our respective principal accountants in connection with tax compliance, tax planning and tax advice.</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fees described above were pre-approved by the audit committee. No fees were paid to Deloitte for accounting services for the years ended December 31, 2023 and 2022.</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229"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In 2023, there were no other professional services provided by E&amp;Y or Deloitte that would have required our audit committee to consider their compatibility with maintaining the independence of E&amp;Y or Deloitte.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left="20" w:right="20"/>
        <w:spacing w:after="0" w:line="256" w:lineRule="auto"/>
        <w:rPr>
          <w:sz w:val="20"/>
          <w:szCs w:val="20"/>
          <w:color w:val="auto"/>
        </w:rPr>
      </w:pPr>
      <w:r>
        <w:rPr>
          <w:rFonts w:ascii="Times New Roman" w:cs="Times New Roman" w:eastAsia="Times New Roman" w:hAnsi="Times New Roman"/>
          <w:sz w:val="18"/>
          <w:szCs w:val="18"/>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Ratification of the appointment of Deloitte as our independent registered public accounting firm for the year ending December 31, 2024 requires the affirmative “FOR” vote of a majority of the votes cast on the proposal at the annual meeting. You may vote “FOR,” “AGAINST,” or “ABSTAIN” on this proposal.</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left="20"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a vote “FOR” the ratification of the appointment of Deloitte as our independent registered public accounting firm for the year ending December 31, 2024.</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The audit committee is a committee of our Board comprised solely of independent directors as required by the listing standards of Nasdaq and rules and regulations of the SEC. The audit committee operates under a written charter approved by our Board, which is available on the corporate governance section of our web site at http://ir.arcturusrx.com/governance-highlights. The audit committee held four meetings in 2023. The meetings of the audit committee are designed to facilitate and encourage communication among the audit committee, us and our independent auditor. The composition of the audit committee, the attributes of its members and the responsibilities of the audit committee, as reflected in its charter, are intended to comply with applicable requirements for corporate audit committees. The audit committee reviews and assesses the adequacy of its charter and its performance on an annual basis.</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31" w:name="page32"/>
    <w:bookmarkEnd w:id="31"/>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With respect to our financial reporting process, our management is responsible for (i) establishing and maintaining internal controls and (ii) preparing our consolidated financial statements. Arcturus’ independent registered public accounting firm is responsible for performing an independent audit of Arcturus’ consolidated financial statements in accordance with the auditing standards of the Public Company Accounting Oversight Board (United States), or PCAOB, and to issue a report thereon. It is the responsibility of the audit committee to oversee these activities. Specifically, the audit committee is responsible for the appointment, compensation, and general oversight of the external auditor, as well as fee negotiations with the external auditor. It is not the responsibility of the audit committee to prepare Arcturus financial statements. These are the fundamental responsibilities of management. In the performance of its oversight function, the audit committee has:</w:t>
      </w:r>
    </w:p>
    <w:p>
      <w:pPr>
        <w:spacing w:after="0" w:line="189" w:lineRule="exact"/>
        <w:rPr>
          <w:sz w:val="20"/>
          <w:szCs w:val="20"/>
          <w:color w:val="auto"/>
        </w:rPr>
      </w:pPr>
    </w:p>
    <w:p>
      <w:pPr>
        <w:ind w:left="700" w:hanging="328"/>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fiscal year 2023 with the management of Arcturus;</w:t>
      </w:r>
    </w:p>
    <w:p>
      <w:pPr>
        <w:spacing w:after="0" w:line="27" w:lineRule="exact"/>
        <w:rPr>
          <w:rFonts w:ascii="Times New Roman" w:cs="Times New Roman" w:eastAsia="Times New Roman" w:hAnsi="Times New Roman"/>
          <w:sz w:val="18"/>
          <w:szCs w:val="18"/>
          <w:color w:val="auto"/>
        </w:rPr>
      </w:pPr>
    </w:p>
    <w:p>
      <w:pPr>
        <w:ind w:left="700" w:right="280" w:hanging="328"/>
        <w:spacing w:after="0" w:line="250"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E&amp;Y, Arcturus’ independent registered public accounting firm for fiscal year 2023, the matters required to be discussed by Auditing Standard No. 16, Communications with Audit Committees, as amended (AICPA, Professional Standards, Vol. 1, section 380), and as adopted by the PCAOB in Rule 3200T; and</w:t>
      </w:r>
    </w:p>
    <w:p>
      <w:pPr>
        <w:spacing w:after="0" w:line="1" w:lineRule="exact"/>
        <w:rPr>
          <w:rFonts w:ascii="Times New Roman" w:cs="Times New Roman" w:eastAsia="Times New Roman" w:hAnsi="Times New Roman"/>
          <w:sz w:val="18"/>
          <w:szCs w:val="18"/>
          <w:color w:val="auto"/>
        </w:rPr>
      </w:pPr>
    </w:p>
    <w:p>
      <w:pPr>
        <w:ind w:left="700" w:hanging="328"/>
        <w:spacing w:after="0" w:line="260"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E&amp;Y as required by applicable requirements of the PCAOB regarding E&amp;Y’s communications with the audit committee concerning independence, and has discussed with E&amp;Y its independence.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the various discussions with management and E&amp;Y, the audit committee recommended to our Board that the audited financial statements be included in our annual report on Form 10-K for the fiscal year ended December 31, 2023 for filing with the SEC.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Barlow</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Edward Holmes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Magda Marquet</w:t>
      </w:r>
    </w:p>
    <w:p>
      <w:pPr>
        <w:spacing w:after="0" w:line="20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i w:val="1"/>
          <w:iCs w:val="1"/>
          <w:color w:val="auto"/>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Arcturus under the Securities Act of 1933, as amended (the “Securities Act”), or the Exchange Act, except to the extent Arcturus specifically requests that the information be treated as “soliciting material” or specifically incorporates it by reference.</w:t>
      </w: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names of our executive officers, their ages, their positions with us and other biographical information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Pr>
          <w:p>
            <w:pPr>
              <w:spacing w:after="0"/>
              <w:rPr>
                <w:sz w:val="20"/>
                <w:szCs w:val="20"/>
                <w:color w:val="auto"/>
              </w:rPr>
            </w:pPr>
          </w:p>
        </w:tc>
        <w:tc>
          <w:tcPr>
            <w:tcW w:w="666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7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45</w:t>
            </w: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Scientific Officer and Chief Operating Officer</w:t>
            </w: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Lance Kurata</w:t>
            </w: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54</w:t>
            </w: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Biographical information for Joseph E. Payne and Andy Sassine is set forth above in the section titled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Dr. Padmanabh Chivukula </w:t>
      </w:r>
      <w:r>
        <w:rPr>
          <w:rFonts w:ascii="Times New Roman" w:cs="Times New Roman" w:eastAsia="Times New Roman" w:hAnsi="Times New Roman"/>
          <w:sz w:val="18"/>
          <w:szCs w:val="18"/>
          <w:color w:val="auto"/>
        </w:rPr>
        <w:t>has served as our Chief Scientific Officer and Chief Operating Officer since 2013. Dr. Chivukula has an exceptional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technically solid foundation in nanoparticle technology. From 2008 until February 2013, Dr. Chivukula was employed by Nitto Denko Corporation, where his titles included Group Leader and Chief Scientist. Dr. Chivukula brings over 15 years of experience in drug delivery and therapeutic drug development, including leading the polymeric RNAi research department at Nitto. Dr. Chivukula has a Ph.D. in Pharmaceutical Chemistry from the University of Utah where he specialized in nano particle technology.</w:t>
      </w:r>
    </w:p>
    <w:p>
      <w:pPr>
        <w:spacing w:after="0" w:line="179" w:lineRule="exact"/>
        <w:rPr>
          <w:sz w:val="20"/>
          <w:szCs w:val="20"/>
          <w:color w:val="auto"/>
        </w:rPr>
      </w:pPr>
    </w:p>
    <w:p>
      <w:pPr>
        <w:jc w:val="both"/>
        <w:ind w:left="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Lance Kurata </w:t>
      </w:r>
      <w:r>
        <w:rPr>
          <w:rFonts w:ascii="Times New Roman" w:cs="Times New Roman" w:eastAsia="Times New Roman" w:hAnsi="Times New Roman"/>
          <w:sz w:val="18"/>
          <w:szCs w:val="18"/>
          <w:color w:val="auto"/>
        </w:rPr>
        <w:t>has served as our Chief Legal Officer since August 2020. Prior to joining Arcturus, Mr. Kurata was Partner and Chair of West Coast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Transactions at Mintz, Levin, Cohn, Ferris, Glovsky and Popeo, PC. From 2002 to 2006, he was a partner at Fish &amp; Richardson, where he was a member of the corporate group and nationwide head of the technology transactions practice. From 1996 until 2002, Mr. Kurata practiced corporate law at Brobeck Phleger &amp; Harrison, specializing in strategic collaborations, public and private financings, mergers and acquisitions and corporate governance. Mr. Kurata obtained his B.A. from University of California, Los Angeles and he earned his J.D. from Stanford Law School.</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Discussion and Analysis is designed to provide our stockholders with an understanding of our executive compensation philosophy and decision-making process. It discusses the principles underlying the structure of the compensation arrangements for our Chief Executive Officer, Chief Financial Officer and our other two most highly compensated executive officers who were serving as executive officers on December 31, 2023 (the “NEOs”). Unless noted otherwise, any reference within the Compensation Discussion and Analysis to decisions made by the board of directors refers to the decisions made by the independent members of the board of directors only. This Compensation Discussion and Analysis primarily focuses on the compensation of our NEOs, as identified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920" w:type="dxa"/>
            <w:vAlign w:val="bottom"/>
          </w:tcPr>
          <w:p>
            <w:pPr>
              <w:ind w:left="44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79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7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Chief Scientific Officer, Chief Operating Officer</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79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Lance Kurata</w:t>
            </w:r>
          </w:p>
        </w:tc>
        <w:tc>
          <w:tcPr>
            <w:tcW w:w="79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compensation programs for the NEOs are determined and approved by our board of directors, acting at the recommendation of the compensation committee. The compensation committee takes into account Mr. Payne’s recommendations regarding the compensation for our executive officers, although Mr. Payne does not participate in the deliberations or determinations of his own compensation. The other NEOs do not have any role in determining or recommending the form or amount of compensation paid to any of our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Performance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the appropriate level of compensation for our executive officers, we take into account the overall performance of the Company against the specific annual corporate objectives established by the board of directors at the beginning of that year, as well as qualitative considerations related to drug discovery and development, drug commercialization, and financial activities (including financing).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biotechnology industry is characterized by stock price volatility and, as a result, our focus on pay-for-performance is based on an assessment of the level of the Company’s achievement against those specific objectives. For more information, see the section titled “Company Performance Objectives” in this proxy statement. In addition to considering the Company’s accomplishments and progress each year, we also think it is important to consider the long-term performance of the executive leadership team. We believe that the skills, creativity and dedication of executive leadership have led to significant accomplishments from January 2023 through December 2023.</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vaccines franchise, led by our self-amplifying mRNA-based COVID-19 program, made significant strides in 2023, highlighted by the marketing authorization approval in Japan of ARCT-154. The approval is the world’s first for a self-amplifying RNA (sa-mRNA) COVID-19 Vaccine. In August 2023, we successfully completed the 12-month safety follow-up of the pivotal Phase 1/2/3 study in Vietnam of ARCT-154 that completed dosing in April 2022 of over 19,000 participants. In February 2023, Meiji Seika Pharma Co., Ltd. (“Meiji”), a Japanese leader in the area of infectious disease, completed dosing of a Phase 3 clinical trial of ARCT-154 in Japan to evaluate the safety and immunogenicity of a booster dose of ARCT-154, and to assess the non-inferiority of ARCT-154 to a licensed mRNA vaccine, administered as a booster. Meiji conducted the study under its exclusive partnership with CSL Seqirus for distribution of ARCT-154 in Japan. The study enrolled 828 adult participants, with half in the ARCT-154 group and half in a comparator group (Comirnaty®, Pfizer-BioNTech). The results of this study demonstrated that a booster dose of ARCT-154 elicited a numerically higher immune response (meeting the non-inferiority criteria) against the original Wuhan-Hu-1 virus strain and a superior immune response against Omicron BA.4/5 subvariant of SARS-CoV-2 virus compared to a booster dose of the conventional mRNA vaccine Comirnaty®. These Phase 3 study results were used to support the approval of ARCT-154 in Japan for primary immunization and as a booster dose.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4" w:name="page35"/>
    <w:bookmarkEnd w:id="34"/>
    <w:p>
      <w:pPr>
        <w:ind w:right="180"/>
        <w:spacing w:after="0" w:line="255" w:lineRule="auto"/>
        <w:rPr>
          <w:sz w:val="20"/>
          <w:szCs w:val="20"/>
          <w:color w:val="auto"/>
        </w:rPr>
      </w:pPr>
      <w:r>
        <w:rPr>
          <w:rFonts w:ascii="Times New Roman" w:cs="Times New Roman" w:eastAsia="Times New Roman" w:hAnsi="Times New Roman"/>
          <w:sz w:val="18"/>
          <w:szCs w:val="18"/>
          <w:color w:val="auto"/>
        </w:rPr>
        <w:t>The above accomplishments, milestones and advancements, together with those achieved by the Company since inception, directly resulted in (1) the development, launch and advancement by the Company of a significant drug candidate pipeline; (2) non-clinical and clinical development of the Company’s LUNAR-COVID program; (3) the development and launch of an organization and infrastructure designed to execute on the Company’s mission of becoming a leading RNA medicines company; and (4) the establishment of a collaboration that will continue to provided significant economic and clinical benefits, and which we believe has significant future economic potential based on anticipated royalties and sales. We believe that the compensation programs and awards to our NEOs should be evaluated within the context of these significant accomplishments and performance over a sustained period of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Objectives and Philosophy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continue the execution and growth of our business as described above, we believe that it is vital that we continue to retain and attract experienced and skilled senior leadership by offering competitive base compensation and benefits, significant performance-based incentives, and the potential for long-term equity compensation. Our goal is to structure a meaningful portion of executive compensation such that it will only have value if management is successful in building significant long-term value for our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executive compensation programs are intended to achieve the following four fundamental goals and objectives: (1) to incentivize and reward sustained long-term performance by aligning significant elements of executive compensation with our stockholders’ interests, (2) to attract and retain an experienced, highly qualified and motivated executive management team to lead our business, (3) to provide economic rewards for achieving high levels of our performance and individual contribution, and (4) to pay compensation that is competitive, taking into account the experience, skills and performance of the executives required to build and maintain the organization necessary to support our mission to become a leading RNA medicines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structuring our executive compensation programs to achieve our goals and objectives, we are guided by the following philosophies:</w:t>
      </w:r>
    </w:p>
    <w:p>
      <w:pPr>
        <w:spacing w:after="0" w:line="225" w:lineRule="exact"/>
        <w:rPr>
          <w:sz w:val="20"/>
          <w:szCs w:val="20"/>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Stockholders’ Interests. Our compensation model should be designed to align the economic interests of our executives with those of our stockholders.</w:t>
      </w: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 Our compensation model should deliver compensation at or above industry market levels for exceptional performance and deliver compensation below the market levels of our industry for years in which the Company does not perform well. Further, all of the time-based equity awards are granted as stock options, which we believe are also inherently performance based as they only provide value to the executive if stockholders realize a positive return on their investment.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Rewards Program. The total compensation program must balance pay for performance elements with selected static non-performance based elements in order to create a total rewards program that is competitive and will help us attract and retain highly qualified and motivated executives.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Approach. The level of compensation provided to executives must take into account each executive’s role, experience, tenure, performance and expected contributions to our future success.</w:t>
      </w:r>
    </w:p>
    <w:p>
      <w:pPr>
        <w:ind w:left="66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Achievement of Business Goals. The compensation program should be structured so that executives are appropriately incentivized to achieve our short- and long-term goals that are viewed as fundamental to driving value in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assesses executive compensation on an annual basis and makes annual equity grants in December of each year. During 2023 the total compensation reported in the Summary Compensation table for our CEO was about 12.5% lower than the amount reported in 2022, while our stock price increased by approximately 86% in the same period.</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Below we provide a summary of our executive compensation practices, including both the practices that we follow and those that we do not follow, in each case based on whether we believe they serve the long-term interests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Compensation Principles and Practices</w:t>
      </w:r>
    </w:p>
    <w:p>
      <w:pPr>
        <w:spacing w:after="0" w:line="227" w:lineRule="exact"/>
        <w:rPr>
          <w:sz w:val="20"/>
          <w:szCs w:val="20"/>
          <w:color w:val="auto"/>
        </w:rPr>
      </w:pPr>
    </w:p>
    <w:p>
      <w:pPr>
        <w:ind w:left="380" w:right="280" w:hanging="318"/>
        <w:spacing w:after="0" w:line="256"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Pay-for-Performance</w:t>
      </w:r>
      <w:r>
        <w:rPr>
          <w:rFonts w:ascii="Times New Roman" w:cs="Times New Roman" w:eastAsia="Times New Roman" w:hAnsi="Times New Roman"/>
          <w:sz w:val="18"/>
          <w:szCs w:val="18"/>
          <w:color w:val="auto"/>
        </w:rPr>
        <w:t>. A substantial majority of the compensation awarded to our NEOs is either tied to specific company-wide goals or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in the form of stock option awards that will only have value if the price of our stock increases after the grant date. There were no full value equity awards that guarantee value if the stock price does not increase, also known as restricted share or restricted stock units, granted to NEOs in 2023.</w:t>
      </w:r>
    </w:p>
    <w:p>
      <w:pPr>
        <w:spacing w:after="0" w:line="1" w:lineRule="exact"/>
        <w:rPr>
          <w:rFonts w:ascii="MS PGothic" w:cs="MS PGothic" w:eastAsia="MS PGothic" w:hAnsi="MS PGothic"/>
          <w:sz w:val="18"/>
          <w:szCs w:val="18"/>
          <w:color w:val="auto"/>
        </w:rPr>
      </w:pPr>
    </w:p>
    <w:p>
      <w:pPr>
        <w:jc w:val="both"/>
        <w:ind w:left="380" w:right="8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Modest Perquisites. </w:t>
      </w:r>
      <w:r>
        <w:rPr>
          <w:rFonts w:ascii="Times New Roman" w:cs="Times New Roman" w:eastAsia="Times New Roman" w:hAnsi="Times New Roman"/>
          <w:sz w:val="18"/>
          <w:szCs w:val="18"/>
          <w:color w:val="auto"/>
        </w:rPr>
        <w:t>We provide only modest perquisites and nearly all of those perquisites are in the form of insurance benefits that we believe 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with industry practice for executive compensation. We do not provide perquisites such as personal travel reimbursement, tax services or financial planning.</w:t>
      </w:r>
    </w:p>
    <w:p>
      <w:pPr>
        <w:spacing w:after="0" w:line="1" w:lineRule="exact"/>
        <w:rPr>
          <w:rFonts w:ascii="MS PGothic" w:cs="MS PGothic" w:eastAsia="MS PGothic" w:hAnsi="MS PGothic"/>
          <w:sz w:val="18"/>
          <w:szCs w:val="18"/>
          <w:color w:val="auto"/>
        </w:rPr>
      </w:pPr>
    </w:p>
    <w:p>
      <w:pPr>
        <w:ind w:left="380" w:right="24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Periodic Peer Group Review</w:t>
      </w:r>
      <w:r>
        <w:rPr>
          <w:rFonts w:ascii="Times New Roman" w:cs="Times New Roman" w:eastAsia="Times New Roman" w:hAnsi="Times New Roman"/>
          <w:sz w:val="18"/>
          <w:szCs w:val="18"/>
          <w:color w:val="auto"/>
        </w:rPr>
        <w:t>. The compensation committee periodically reviews the Company’s compensation peer group and uses the market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context, although it does not target any specific percentile.</w:t>
      </w:r>
    </w:p>
    <w:p>
      <w:pPr>
        <w:ind w:left="380" w:right="8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Double Trigger</w:t>
      </w:r>
      <w:r>
        <w:rPr>
          <w:rFonts w:ascii="Times New Roman" w:cs="Times New Roman" w:eastAsia="Times New Roman" w:hAnsi="Times New Roman"/>
          <w:sz w:val="18"/>
          <w:szCs w:val="18"/>
          <w:color w:val="auto"/>
        </w:rPr>
        <w:t>. Our severance policy (the “Severance Policy”) only provides our executive officers with acceleration of unvested equity awards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them if they are terminated (without cause or constructively) in connection with a change of control transaction or within 18 months following a change of control transaction. We do not provide accelerated vesting of equity awards on a change in control alone.</w:t>
      </w:r>
    </w:p>
    <w:p>
      <w:pPr>
        <w:spacing w:after="0" w:line="1" w:lineRule="exact"/>
        <w:rPr>
          <w:rFonts w:ascii="MS PGothic" w:cs="MS PGothic" w:eastAsia="MS PGothic" w:hAnsi="MS PGothic"/>
          <w:sz w:val="18"/>
          <w:szCs w:val="18"/>
          <w:color w:val="auto"/>
        </w:rPr>
      </w:pPr>
    </w:p>
    <w:p>
      <w:pPr>
        <w:ind w:left="380" w:right="50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Reasonable Post-Employment and Change of Control Severance Arrangements</w:t>
      </w:r>
      <w:r>
        <w:rPr>
          <w:rFonts w:ascii="Times New Roman" w:cs="Times New Roman" w:eastAsia="Times New Roman" w:hAnsi="Times New Roman"/>
          <w:sz w:val="18"/>
          <w:szCs w:val="18"/>
          <w:color w:val="auto"/>
        </w:rPr>
        <w:t>. We believe that our severance arrangements with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are reasonable and in line with industry practice.</w:t>
      </w:r>
    </w:p>
    <w:p>
      <w:pPr>
        <w:jc w:val="both"/>
        <w:ind w:left="380" w:right="460" w:hanging="318"/>
        <w:spacing w:after="0" w:line="265" w:lineRule="auto"/>
        <w:tabs>
          <w:tab w:leader="none" w:pos="380" w:val="left"/>
        </w:tabs>
        <w:numPr>
          <w:ilvl w:val="0"/>
          <w:numId w:val="23"/>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Regular Review of Share Utilization for Equity Compensation</w:t>
      </w:r>
      <w:r>
        <w:rPr>
          <w:rFonts w:ascii="Times New Roman" w:cs="Times New Roman" w:eastAsia="Times New Roman" w:hAnsi="Times New Roman"/>
          <w:sz w:val="17"/>
          <w:szCs w:val="17"/>
          <w:color w:val="auto"/>
        </w:rPr>
        <w:t>. We regularly evaluate equity spending by reviewing overhang levels (the dilutive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impact of equity compensation on stockholders) and annual run rates (the aggregate shares awarded as a percentage of total outstanding shares).</w:t>
      </w:r>
    </w:p>
    <w:p>
      <w:pPr>
        <w:ind w:left="380" w:right="18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Mitigate Undue Risk</w:t>
      </w:r>
      <w:r>
        <w:rPr>
          <w:rFonts w:ascii="Times New Roman" w:cs="Times New Roman" w:eastAsia="Times New Roman" w:hAnsi="Times New Roman"/>
          <w:sz w:val="18"/>
          <w:szCs w:val="18"/>
          <w:color w:val="auto"/>
        </w:rPr>
        <w:t>. We have designed our executive compensation program to mitigate undue risk associated with compensation by,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things, awarding a substantial portion of executive compensation in the form of long-term compensation with multi-year vesting (i.e. stock options with multi-year vesting requirements).</w:t>
      </w:r>
    </w:p>
    <w:p>
      <w:pPr>
        <w:spacing w:after="0" w:line="1" w:lineRule="exact"/>
        <w:rPr>
          <w:rFonts w:ascii="MS PGothic" w:cs="MS PGothic" w:eastAsia="MS PGothic" w:hAnsi="MS PGothic"/>
          <w:sz w:val="18"/>
          <w:szCs w:val="18"/>
          <w:color w:val="auto"/>
        </w:rPr>
      </w:pPr>
    </w:p>
    <w:p>
      <w:pPr>
        <w:ind w:left="380" w:right="22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Utilize Independent Compensation Consulting Firm</w:t>
      </w:r>
      <w:r>
        <w:rPr>
          <w:rFonts w:ascii="Times New Roman" w:cs="Times New Roman" w:eastAsia="Times New Roman" w:hAnsi="Times New Roman"/>
          <w:sz w:val="18"/>
          <w:szCs w:val="18"/>
          <w:color w:val="auto"/>
        </w:rPr>
        <w:t>. The compensation committee regularly consults with an independent compensation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which provides no other services to the Company. For more information on our independent compensation consultant, please see “Board Meetings and Committees—Compensation Committee” above.</w:t>
      </w:r>
    </w:p>
    <w:p>
      <w:pPr>
        <w:spacing w:after="0" w:line="1" w:lineRule="exact"/>
        <w:rPr>
          <w:rFonts w:ascii="MS PGothic" w:cs="MS PGothic" w:eastAsia="MS PGothic" w:hAnsi="MS PGothic"/>
          <w:sz w:val="18"/>
          <w:szCs w:val="18"/>
          <w:color w:val="auto"/>
        </w:rPr>
      </w:pPr>
    </w:p>
    <w:p>
      <w:pPr>
        <w:ind w:left="380" w:right="18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No Stock Option Repricing Without Stockholder Approval</w:t>
      </w:r>
      <w:r>
        <w:rPr>
          <w:rFonts w:ascii="Times New Roman" w:cs="Times New Roman" w:eastAsia="Times New Roman" w:hAnsi="Times New Roman"/>
          <w:sz w:val="18"/>
          <w:szCs w:val="18"/>
          <w:color w:val="auto"/>
        </w:rPr>
        <w:t>. Our equity incentive plans prohibit us from repricing, exchanging or otherwise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for underwater stock options.</w:t>
      </w:r>
    </w:p>
    <w:p>
      <w:pPr>
        <w:ind w:left="380" w:right="34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No Inclusion of the Value of Equity Awards in Severance Calculations. </w:t>
      </w:r>
      <w:r>
        <w:rPr>
          <w:rFonts w:ascii="Times New Roman" w:cs="Times New Roman" w:eastAsia="Times New Roman" w:hAnsi="Times New Roman"/>
          <w:sz w:val="18"/>
          <w:szCs w:val="18"/>
          <w:color w:val="auto"/>
        </w:rPr>
        <w:t>Our post-termination and change of control severance arrangements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value of equity awards in annual compensation for purposes of determining cash severance amounts.</w:t>
      </w:r>
    </w:p>
    <w:p>
      <w:pPr>
        <w:ind w:left="380" w:right="32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No Fixed Employment Terms or Guaranteed Future Compensation</w:t>
      </w:r>
      <w:r>
        <w:rPr>
          <w:rFonts w:ascii="Times New Roman" w:cs="Times New Roman" w:eastAsia="Times New Roman" w:hAnsi="Times New Roman"/>
          <w:sz w:val="18"/>
          <w:szCs w:val="18"/>
          <w:color w:val="auto"/>
        </w:rPr>
        <w:t>. We do not have employment contracts with our executive officers that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terms of employment or guaranteed future compensation levels.</w:t>
      </w:r>
    </w:p>
    <w:p>
      <w:pPr>
        <w:ind w:left="380" w:right="680" w:hanging="318"/>
        <w:spacing w:after="0" w:line="250"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No Funded Pension or Retirement Plans</w:t>
      </w:r>
      <w:r>
        <w:rPr>
          <w:rFonts w:ascii="Times New Roman" w:cs="Times New Roman" w:eastAsia="Times New Roman" w:hAnsi="Times New Roman"/>
          <w:sz w:val="18"/>
          <w:szCs w:val="18"/>
          <w:color w:val="auto"/>
        </w:rPr>
        <w:t>. We do not provide any guaranteed or funded retirement plan benefits other than matching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401(k) plan.</w:t>
      </w:r>
    </w:p>
    <w:p>
      <w:pPr>
        <w:ind w:left="380" w:right="60" w:hanging="318"/>
        <w:spacing w:after="0" w:line="255" w:lineRule="auto"/>
        <w:tabs>
          <w:tab w:leader="none" w:pos="380" w:val="left"/>
        </w:tabs>
        <w:numPr>
          <w:ilvl w:val="0"/>
          <w:numId w:val="23"/>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No Hedging Transactions, Share Pledging, or Short Sales by Employees or Directors</w:t>
      </w:r>
      <w:r>
        <w:rPr>
          <w:rFonts w:ascii="Times New Roman" w:cs="Times New Roman" w:eastAsia="Times New Roman" w:hAnsi="Times New Roman"/>
          <w:sz w:val="18"/>
          <w:szCs w:val="18"/>
          <w:color w:val="auto"/>
        </w:rPr>
        <w:t>. Our insider trading policy prohibits any employee or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engaging in hedging transactions, short sales or trading in any derivative security of the Company. This policy also prohibits pledging our shares on margin.</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Stockholder Say-on-Pay Votes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our stockholders with the opportunity periodically to cast an advisory vote on our executive compensation program (referred to as a “say-on-pay vote”). At our annual meeting of stockholders held in June 2023, approximately 72.4% of the votes cast on the say-on-pay proposal were voted in favor of the proposal, and a majority of stockholders present at the meeting selected “One Year” for their preference as to how frequently we should seek future advisory votes on the compensation of our named executive officers. As a result, we will be seeking an advisory say-on-pay vote at this year’s annual meeting of stockholders. After considering the 2023 say-on-pay vote, including the compensation views expressed by our largest shareholders through regular outreach conducted by management, the compensation committee reaffirmed the fundamental design and elements of our executive compensation program and did not make any material changes to the structure of our executive compensation program. The board of directors and compensation committee will continue to consider the outcome of our say-on-pay proposals and direct stockholder feedback when making future compensation decisions for the NEOs.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Elements of Our Compensation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elements of our current executive compensation programs for NEOs consist primarily of the following:</w:t>
      </w:r>
    </w:p>
    <w:p>
      <w:pPr>
        <w:spacing w:after="0" w:line="225" w:lineRule="exact"/>
        <w:rPr>
          <w:sz w:val="20"/>
          <w:szCs w:val="20"/>
          <w:color w:val="auto"/>
        </w:rPr>
      </w:pPr>
    </w:p>
    <w:p>
      <w:pPr>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Each NEO earned an annual base salary during 2023 as a minimum guarantee of compensation to secure their ongoing employment and dedication.</w:t>
      </w:r>
    </w:p>
    <w:p>
      <w:pPr>
        <w:jc w:val="both"/>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Compensation. Each NEO was eligible to earn an incentive cash compensation payment for the 2023 performance period based on qualitative assessment of the Company’s progress against its corporate goals and his individual performance and/or contribution to such progress. The purpose is to drive short-term performance as milestones towards the goal of creating long-term value for stockholders.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Each NEO was awarded a stock option grant during 2023, subject to a time-based vesting schedule. The purpose of the stock option grants to reward growth in the stock price, with a multi-year vesting schedule to support retention of key employees and a long-term value orientation.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review peer group company data regarding the mix of current and long-term incentive compensation and between cash and non-cash compensation, though we have not adopted any formal policies or guidelines for allocations among these various compensation elements. However, consistent with our pay for performance philosophy, we believe that a greater component of overall direct compensation for the NEOs relative to other employees should be performance-based.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Peer Company Data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periodically review the compensation practices of our peer group companies identified below, and we consider the following factors: geographical region, company stage of development, company size and market capitalization.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Company having a combination of multiple drug candidates in diverse therapeutic areas, a mix of wholly-owned and partnered drug candidates, and a technology platform with the potential to enable multiple drug candidates in future years, it is very challenging to identify truly comparable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peers from which benchmark compensation information was reviewed were of similar size and commercial stage. The Company’s 2023 compensation decisions were made using data from a 2022 study of similar companies with median 2022 market capitalization that was close to our 2022 market capitalization size at the time at the time the peers were chosen. Most peer companies reviewed in 2023 were drug development and vaccine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outside compensation committee, F.W. Cook, facilitated determination of the composition of our 2022 peer group used as market context 2023 compensation decisions, and our market capitalization was approximately $416 million when the 2022 peer group compensation data were originally reviewed, which placed our size near the median of the peer group at the time of approximately $572 million. The 2022 peer group of companies reviewed as context when determining 2023 compensation decisions consisted of the following companies: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color w:val="auto"/>
        </w:rPr>
        <w:t>AnaptysBio</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Arbutus BioPharma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Cytokinetics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Editas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Epizyme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Geron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Heron Therapeutics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Inovio Pharmaceuticals</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Kura Oncology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RegenXBio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Sangamo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Sorrento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Sutro BioPharma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Travere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Vaxart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Viking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WaVe Life Sci</w:t>
      </w:r>
    </w:p>
    <w:p>
      <w:pPr>
        <w:spacing w:after="0" w:line="415" w:lineRule="exact"/>
        <w:rPr>
          <w:sz w:val="20"/>
          <w:szCs w:val="20"/>
          <w:color w:val="auto"/>
        </w:rPr>
      </w:pPr>
    </w:p>
    <w:p>
      <w:pPr>
        <w:sectPr>
          <w:pgSz w:w="11900" w:h="16838" w:orient="portrait"/>
          <w:cols w:equalWidth="0" w:num="2">
            <w:col w:w="4900" w:space="720"/>
            <w:col w:w="5620"/>
          </w:cols>
          <w:pgMar w:left="320" w:top="702" w:right="339" w:bottom="1440" w:gutter="0" w:footer="0" w:header="0"/>
        </w:sectPr>
      </w:pPr>
    </w:p>
    <w:p>
      <w:pPr>
        <w:spacing w:after="0" w:line="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reviewed and discussed the compensation data for the peer group companies to help inform executive compensation decisions, we do not set compensation at any specific level or percentile based solely on the peer group data. The peer group data is used by us as only one reference point taken into account in making compensation decisions. We do not use peer group or industry survey data as a standalone tool for setting compensation due to the unique aspects of our business and the need to attract and retain particular highly qualified executives with unique experience, skills and other individual facts and circumstances. However, we generally believe that reviewing and analyzing this information is an important component of our executive compensation decision-making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 salary provides NEOs with a specified minimum level of cash compensation, which we believe is important to attract and retain their services. We determine base salary by considering competitive pay practices, cost of labor and compensation trends, individual performance and promotions, level and scope of responsibility, experience, internal pay equity, and our commercial stage. We do not use a formula or assign a particular weight to any one factor and the determination of base salary levels is subjective.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Salary increases reflected the rapid maturation of the Company, as well as industry conditions. The CEO was provided an 11% increase to reflect pending product commercialization during 2023.The base salary earned by each NEO during 2023 is reported below in the Summary Compensation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salary increases in 2022 for 2023 were as follows: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0"/>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2022 Salary</w:t>
            </w: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2023 Salary</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8"/>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5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Increase ($)</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Increase (%)</w:t>
            </w:r>
          </w:p>
        </w:tc>
      </w:tr>
      <w:tr>
        <w:trPr>
          <w:trHeight w:val="189"/>
        </w:trPr>
        <w:tc>
          <w:tcPr>
            <w:tcW w:w="47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Joseph E. Payne</w:t>
            </w:r>
          </w:p>
        </w:tc>
        <w:tc>
          <w:tcPr>
            <w:tcW w:w="1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r>
      <w:tr>
        <w:trPr>
          <w:trHeight w:val="23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630,000</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698,000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68,000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6"/>
        </w:trPr>
        <w:tc>
          <w:tcPr>
            <w:tcW w:w="48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Dr. Padmanabh Chivukula</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Scientific Officer, Chief Operating Officer</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6"/>
        </w:trPr>
        <w:tc>
          <w:tcPr>
            <w:tcW w:w="48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Andy Sassine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6"/>
        </w:trPr>
        <w:tc>
          <w:tcPr>
            <w:tcW w:w="48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Lance Kurata</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435,000</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25"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In December 2023, we reviewed the base salaries of the NEOs and increased them by a minimum of 5% for 2024 in recognition of continued commercialization progress.</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Incentive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Incentive Compensation Policy. </w:t>
      </w:r>
      <w:r>
        <w:rPr>
          <w:rFonts w:ascii="Times New Roman" w:cs="Times New Roman" w:eastAsia="Times New Roman" w:hAnsi="Times New Roman"/>
          <w:sz w:val="18"/>
          <w:szCs w:val="18"/>
          <w:color w:val="auto"/>
        </w:rPr>
        <w:t>We believe that our short-term incentive compensation program (“Incentive Compensation Policy”) for the NEOs rewards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achievement of important short-term objectives that advance us toward our long-term strategic objectives. Our Incentive Compensation Policy applies to all executive officers. Consistent with our compensation philosophy of paying for performance and maintaining a flexible approach, we use the Incentive Compensation Policy to incentivize the NEOs to achieve important corporate goals while at the same time encouraging and rewarding excellent individual performance by recognizing and rewarding differences in performance between individual executives.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Design. </w:t>
      </w:r>
      <w:r>
        <w:rPr>
          <w:rFonts w:ascii="Times New Roman" w:cs="Times New Roman" w:eastAsia="Times New Roman" w:hAnsi="Times New Roman"/>
          <w:sz w:val="18"/>
          <w:szCs w:val="18"/>
          <w:color w:val="auto"/>
        </w:rPr>
        <w:t>The board of directors establishes important annual corporate goals each year that include clinical development, research,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organizational and financial goals which we believe are essential to building long-term stockholder value and are used to assess annual corporate performance. The corporate objectives are not weighted formally nor were they formally tied to a cash bonus plan in 2023, so there is a degree of qualitative judgment in the final score. At the end of 2023, the progress against the corporate objectives and against unexpected areas of opportunity, specifically the progress toward development of a vaccine for COVID-19, were considered when determining executive bonuses.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2023 corporate performance was determined, the individual performance and future contribution of NEOs was reviewed by the compensation committee in consultation with Mr. Payne (other than his own performance). Mr. Payne’s individual performance is separately reviewed by the compensation committee.</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Target Annual Short-Term Incentive Compensation for 2023. </w:t>
      </w:r>
      <w:r>
        <w:rPr>
          <w:rFonts w:ascii="Times New Roman" w:cs="Times New Roman" w:eastAsia="Times New Roman" w:hAnsi="Times New Roman"/>
          <w:sz w:val="18"/>
          <w:szCs w:val="18"/>
          <w:color w:val="auto"/>
        </w:rPr>
        <w:t>The NEOs were each assigned a target annual incentive for 2023 ranging from 40% to 60%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salary. The table below shows the target annual incentive assigned by us to each NEO for 2023 both as a dollar amount and as a percentage of base salary.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Target</w:t>
            </w:r>
          </w:p>
        </w:tc>
      </w:tr>
      <w:tr>
        <w:trPr>
          <w:trHeight w:val="216"/>
        </w:trPr>
        <w:tc>
          <w:tcPr>
            <w:tcW w:w="5140" w:type="dxa"/>
            <w:vAlign w:val="bottom"/>
          </w:tcPr>
          <w:p>
            <w:pPr>
              <w:spacing w:after="0"/>
              <w:rPr>
                <w:sz w:val="18"/>
                <w:szCs w:val="18"/>
                <w:color w:val="auto"/>
              </w:rPr>
            </w:pPr>
          </w:p>
        </w:tc>
        <w:tc>
          <w:tcPr>
            <w:tcW w:w="454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Annual</w:t>
            </w:r>
          </w:p>
        </w:tc>
      </w:tr>
      <w:tr>
        <w:trPr>
          <w:trHeight w:val="216"/>
        </w:trPr>
        <w:tc>
          <w:tcPr>
            <w:tcW w:w="5140" w:type="dxa"/>
            <w:vAlign w:val="bottom"/>
          </w:tcPr>
          <w:p>
            <w:pPr>
              <w:spacing w:after="0"/>
              <w:rPr>
                <w:sz w:val="18"/>
                <w:szCs w:val="18"/>
                <w:color w:val="auto"/>
              </w:rPr>
            </w:pPr>
          </w:p>
        </w:tc>
        <w:tc>
          <w:tcPr>
            <w:tcW w:w="454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8"/>
              </w:rPr>
              <w:t>Annual</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Incentive for</w:t>
            </w:r>
          </w:p>
        </w:tc>
      </w:tr>
      <w:tr>
        <w:trPr>
          <w:trHeight w:val="216"/>
        </w:trPr>
        <w:tc>
          <w:tcPr>
            <w:tcW w:w="5140" w:type="dxa"/>
            <w:vAlign w:val="bottom"/>
          </w:tcPr>
          <w:p>
            <w:pPr>
              <w:spacing w:after="0"/>
              <w:rPr>
                <w:sz w:val="18"/>
                <w:szCs w:val="18"/>
                <w:color w:val="auto"/>
              </w:rPr>
            </w:pPr>
          </w:p>
        </w:tc>
        <w:tc>
          <w:tcPr>
            <w:tcW w:w="454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Incentive for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6"/>
        </w:trPr>
        <w:tc>
          <w:tcPr>
            <w:tcW w:w="5140" w:type="dxa"/>
            <w:vAlign w:val="bottom"/>
          </w:tcPr>
          <w:p>
            <w:pPr>
              <w:spacing w:after="0"/>
              <w:rPr>
                <w:sz w:val="18"/>
                <w:szCs w:val="18"/>
                <w:color w:val="auto"/>
              </w:rPr>
            </w:pPr>
          </w:p>
        </w:tc>
        <w:tc>
          <w:tcPr>
            <w:tcW w:w="45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 of Base</w:t>
            </w: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5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Salary)</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4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418,800</w:t>
            </w:r>
          </w:p>
        </w:tc>
        <w:tc>
          <w:tcPr>
            <w:tcW w:w="1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4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275,000</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4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275,000</w:t>
            </w:r>
          </w:p>
        </w:tc>
        <w:tc>
          <w:tcPr>
            <w:tcW w:w="15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Lance Kurata</w:t>
            </w:r>
          </w:p>
        </w:tc>
        <w:tc>
          <w:tcPr>
            <w:tcW w:w="4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200,000</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40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Performance Objectives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2023 corporate objectives were as follows:</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ARCT-810: Phase 2 (EU) complete sufficient enrollment to establish interim biological POC data (i.e. biomarker changes);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ARCT-032: Phase 1 (NZ) complete enrollment of 32 subjects &amp; determine feasibility of dosing (i.e. safety/tolerability);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 in a high impact peer-reviewed journal;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ARCT-154: Complete Phase 3 enrollment in Japan, Interim Data Analysis, NDA filing to PMDA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ARCT-154: MAA/BLA filed;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Bivalent: Candidate Nomination, IND/CTA Filing, initiate Phase 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BARDA: Nominate Pandemic Flu Development Candidate;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$100M (non-dilutive): Includes CSL Milestones, Meiji Financials, CFF Funding, Cancer (or other) pharma partnership deal;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$100M (dilutive): Assumes CSL Audit Plan $45M milestone achieved, OTC data POC, CF through Phase 1 with no safety issues ;</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On-time; SOX404: Compliant;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Policies / Compliance: Implementation and Monitoring;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New filings and maintenance; trade secrets database, trademark registrations;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held in good standing by management team.</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Actual Annual Incentives Earned for 2023</w:t>
      </w:r>
    </w:p>
    <w:p>
      <w:pPr>
        <w:spacing w:after="0" w:line="22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 xml:space="preserve">The board of directors also recognized certain accomplishments directly related to management efforts including those listed above in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Highlights</w:t>
      </w:r>
      <w:r>
        <w:rPr>
          <w:rFonts w:ascii="Times New Roman" w:cs="Times New Roman" w:eastAsia="Times New Roman" w:hAnsi="Times New Roman"/>
          <w:sz w:val="18"/>
          <w:szCs w:val="18"/>
          <w:color w:val="auto"/>
        </w:rPr>
        <w:t>. In particular, the Committee considered the rapid progress towards development of a next-generation COVID-19 vaccine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RNA technology and completion of valuable non-dilutive funding for such efforts.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compensation committee, in consultation with Mr. Payne, determined that the individual contribution of each NEO was critical to the Company’s successful 2023 performance. Given the Company’s corporate objectives, bonuses for 2023 were paid to each of the NEOs as follows: 30% of Mr. Payne’s target bonus, 25% of Dr. Chivukula’s target bonus, 25% of Mr. Sassine’s target bonus, and 20% of Mr. Kurata’s target bonus. The amount of each NEO’s bonus for the 2023 fiscal year is reported in the Summary Compensation Table, and all were lower than the bonuses paid in the year prior.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 Equity Awards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accordance with our objective of aligning executive compensation with our stockholders’ interests, our current long-term incentive program for the NEOs generally consists of an annual award of equity compensation that is subject to a multi-year vesting or earn-out schedule. We believe that equity compensation is an effective tool for aligning the interests of our NEOs, who are responsible for driving our success, with the interests of our stockholders. Stock options are our preferred form of long-term incentive compensation because we believe they are inherently performance-based, with value delivered only if the price of our common stock appreciates following the grant. The number of options reported as long-term incentive compensation awards to the NEOs during 2023 was lower than reported in the Summary Compensation Table and the Grants of Plan Based Award tables of the 2022 proxy statement for all NEOs.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of Control Benefits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employment of an NEO is terminated by us without cause or by the NEO for a designated good reason outside of the context of a change of control transaction, the NEO would be entitled to severance benefits under his employment agreement with the Company. These severance benefits include a cash severance payment based on the NEO’s then-current base salary and a pro rata amount of his annual incentive bonus, and payment of COBRA premiums. In order to attract and retain these NEOs in a competitive environment for highly skilled senior executive talent in the biotechnology and pharmaceutical industry and to provide an incentive to obtain a broad release of claims in favor of the Company, we determined it was beneficial to offer each of them severance protection in the case of a termination without cause or constructive termination outside the context of a change of control transaction. These NEOs would also be entitled to certain termination benefits upon a termination of employment because of death or disability.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2021, after consulting with the compensation committee’s independent compensation consultant, the Board adopted a written Severance Policy covering all senior executives of the Company. Termination and change of control payments under the Severance Policy are without duplication of any severance payments provided for in an individual employment agreement (such that the higher amount would apply). The primary changes effected by the Severance Policy are to (i) implement new and more internally equitable amounts for cash severance, (ii) make certain clean-up changes to the severance provisions in the NEOs’ employment agreements (the “Employment Agreements”), and (iii) require non-solicitation and non-disparagement restrictive covenants as a condition of receiving severance.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Severance Policy, the NEOs are entitled to certain severance benefits if their employment is terminated in connection with a change of control. Severance benefits under the Severance Policy are structured on a “double-trigger” basis, meaning that the executive must experience a termination without cause or resign for a specifically defined good reason in connection with the change of control in order for severance benefits to become payable under the Severance Policy. Like the severance benefits under the Employment Agreements, we believe that these change of control severance benefits are an important element of a competitive total compensation program. Additionally, we believe that providing change of control benefits should eliminate, or at least reduce, any reluctance of our NEOs and other key employees covered by the Severance Policy to diligently consider and pursue potential change of control opportunities that may be in the best interests of our stockholders. At the same time, by providing change of control benefits only upon the occurrence of an additional triggering event occurring in connection with the change of control transaction resulting in a job loss, we believe that this Severance Policy helps preserve the value of our key personnel for any potential acquiror.</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Severance Policy, the executive would be entitled to accelerated equity award vesting if their employment is terminated within 18 months of a change of control. The other severance benefits under the Severance Policy are generally similar to the severance benefits described above, provided that (i) the executive is also entitled to a lump sum payment in an amount equal to his target annual bonus for the year of termination, (ii) pro-rata target bonus for the year of termination, and (iii) Company-paid COBRA coverage is extended by several additional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“Potential Payments Upon Termination or Change of Control” section below describes and quantifies the severance and other benefits potentially payable to the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establishing competitive benefit packages for employees is an important factor in attracting and retaining highly-qualified personnel, including the NEOs. The NEOs are eligible to participate in all of our employee benefit plans, such as medical, dental, vision, group life, disability insurance, commuting benefits, employee stock purchase plan and the 401(k) plan, in each case generally on the same basis as other employees. We do not offer a tax-qualified defined-benefit pension plan or any non-qualified defined benefit retirement plans, nor do we provide material perquisites to our executives.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162(m)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Section 162(m) of the Code (“Section 162(m)”) disallows a federal income tax deduction for public corporations of remuneration in excess of $1 million paid in any fiscal year to certain specified executive officers. For taxable years beginning before January 1, 2018 (i) these executive officers consisted of a public corporation’s chief executive officer and up to three other executive officers (other than the chief financial officer) whose compensation is required to be disclosed to stockholders under the Exchange Act because they are our most highly-compensated executive officers and (ii) qualifying “performance-based compensation” was not subject to this deduction limit if specified requirements are met.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Tax Cuts and Jobs Act of 2017, which was signed into law on December 22, 2017 (the “Tax Act”), the remuneration of a public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 from the deduction limit for “performance-based compensation” is no longer available. In addition, under the Tax Act, once an executive becomes a “covered employee” under Section 162(m), the individual will continue to be a “covered employee” as long as he or she remains employed by the company. Consequently, all remuneration in excess of $1 million paid to a covered executive will not be deductible unless it qualifies for transitional relief applicable to certain binding, written performance-based compensation arrangements that were in place as November 2, 2017 or transitional relief for applicable to certain newly public companies. These changes will cause more of our compensation to be non-deductible under Section 162(m) and will eliminate the Company’s ability to structure performance-based awards to be exempt from Section 162(m).</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designing our executive compensation program and determining the compensation of our executive officers, including our named executive officers, the compensation committee considers a variety of factors, including the potential impact of the Section 162(m) deduction limit. While the compensation committee is mindful of the benefit of the full deductibility of compensation, it believes that we should not be constrained by the requirements of Section 162(m) where those requirements would impair our flexibility in compensating our executive officers in a manner that can best promote our corporate objectives. Therefore, the compensation committee has not adopted a policy that would require that all compensation be deductible, though it does consider the deductibility of compensation when making compensation decisions. The compensation committee may authorize compensation payments that are not fully tax deductible if it believes that such payments are appropriate to attract and retain executive talent or meet other business objectives.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Processes and Procedures for Executive Compensation</w:t>
      </w:r>
    </w:p>
    <w:p>
      <w:pPr>
        <w:spacing w:after="0" w:line="22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Our compensation committee assists the Board in discharging its responsibilities relating to oversight of the compensation of our chief executive officer and our other executive officers, including reviewing and making recommendations to our Board with respect to the compensation, plans, policies and programs for our chief executive officer and our other executive officers and administering our equity compensation plans for our executive officers and employees.</w:t>
      </w:r>
    </w:p>
    <w:p>
      <w:pPr>
        <w:spacing w:after="0" w:line="180"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Our compensation committee annually reviews the compensation, plans, policies and programs for our chief executive officer and our other executive officers. In connection therewith, our compensation committee considers, among other things, each executive officer’s performance in light of established individual and corporate goals and objectives and the recommendations of our chief executive officer. In particular, our compensation committee considers the recommendations of our chief executive officer when reviewing base salary and incentive compensation levels of our executive officers and when setting specific individual and corporate performance guidelines under our annual executive incentive bonus plan. Our chief executive officer has no input and is not present during voting or deliberations about his own compensation. Our compensation committee may delegate its authority to a subcommittee, but it may not delegate any power or authority required by agreement, law, regulation or listing standard to be exercised by the compensation committee as a whole.</w:t>
      </w:r>
    </w:p>
    <w:p>
      <w:pPr>
        <w:spacing w:after="0" w:line="19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has authority to review and recommend to the Board compensation programs for our outside directors, although this role has been predominantly undertaken by our compensation committee, in consultation with members of our full Board. Management generally does not have a role in the setting of director compensation. Our nominating and corporate governance committee may delegate its authority to a subcommittee, but it may not delegate any power or authority required by agreement, law, regulation or listing standard to be exercised by the nominating and corporate governance committee as a whole.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Our named executive officers (“NEOs”) for the year ended December 31, 2023, which consist of all individuals who served as our principal executive officer and principal financial officer during 2023 and our two other most highly compensated executive officers who were serving as executive officers at the end of the last completed fiscal year, are Joseph E. Payne, our President and Chief Executive Officer; Dr. Padmanabh Chivukula, our Chief Scientific Officer and Chief Operating Officer; Andy Sassine, our Chief Financial Officer, and Lance Kurata, our Chief Legal Officer.</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3"/>
                <w:szCs w:val="23"/>
                <w:color w:val="auto"/>
              </w:rPr>
            </w:pPr>
          </w:p>
        </w:tc>
        <w:tc>
          <w:tcPr>
            <w:tcW w:w="1000" w:type="dxa"/>
            <w:vAlign w:val="bottom"/>
          </w:tcPr>
          <w:p>
            <w:pPr>
              <w:ind w:left="30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3"/>
                <w:szCs w:val="23"/>
                <w:color w:val="auto"/>
              </w:rPr>
            </w:pPr>
          </w:p>
        </w:tc>
        <w:tc>
          <w:tcPr>
            <w:tcW w:w="10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1"/>
              </w:rPr>
              <w:t>($)</w:t>
            </w:r>
            <w:r>
              <w:rPr>
                <w:rFonts w:ascii="Times New Roman" w:cs="Times New Roman" w:eastAsia="Times New Roman" w:hAnsi="Times New Roman"/>
                <w:sz w:val="29"/>
                <w:szCs w:val="29"/>
                <w:b w:val="1"/>
                <w:bCs w:val="1"/>
                <w:color w:val="auto"/>
                <w:w w:val="91"/>
                <w:vertAlign w:val="superscript"/>
              </w:rPr>
              <w:t>(2)</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3"/>
                <w:szCs w:val="23"/>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698,000</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208,500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3,986,000</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4,892,500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630,000</w:t>
            </w:r>
          </w:p>
        </w:tc>
        <w:tc>
          <w:tcPr>
            <w:tcW w:w="12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504,000</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4,460,000</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5,594,000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960,000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137,500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2,491,000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3,178,500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Scientific Officer, Chief Operating Officer</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262,500</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2,318,500</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3,106,000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137,500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2,182,500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Director</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301,875</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2,318,500</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3,145,375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Lance Kurata</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2,095,000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435,000</w:t>
            </w:r>
          </w:p>
        </w:tc>
        <w:tc>
          <w:tcPr>
            <w:tcW w:w="12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304,500</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442,500</w:t>
            </w:r>
          </w:p>
        </w:tc>
        <w:tc>
          <w:tcPr>
            <w:tcW w:w="10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1,182,000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right="40" w:firstLine="6"/>
        <w:spacing w:after="0" w:line="282" w:lineRule="auto"/>
        <w:tabs>
          <w:tab w:leader="none" w:pos="28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in this column were the cash bonuses approved by the Board and/or compensation committee of the Board after reviewing completion and progress against the corporate goals for 2023.</w:t>
      </w:r>
    </w:p>
    <w:p>
      <w:pPr>
        <w:spacing w:after="0" w:line="161" w:lineRule="exact"/>
        <w:rPr>
          <w:rFonts w:ascii="Times New Roman" w:cs="Times New Roman" w:eastAsia="Times New Roman" w:hAnsi="Times New Roman"/>
          <w:sz w:val="18"/>
          <w:szCs w:val="18"/>
          <w:color w:val="auto"/>
        </w:rPr>
      </w:pPr>
    </w:p>
    <w:p>
      <w:pPr>
        <w:jc w:val="both"/>
        <w:ind w:right="20" w:firstLine="8"/>
        <w:spacing w:after="0" w:line="256"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this column do not reflect take-home or salable value from the options granted, but rather reflects a theoretical present value of the grant opportunity computed in accordance with FASB ASC 718. The actual economic value that may be realized by the applicable NEO could be quite different than the amounts shown and is currently not equal to the amounts shown. Includes the value of stock options determined using the grant date fair value computed in accordance with FASB ASC 718. See Note 2 to the consolidated financial statements of the Company for the fiscal years ended December 31, 2021, December 31, 2022, and December 31, 2023 in the Form 10-K filed by the Company on March 14, 2024, for additional description of the assumptions used in the valuation..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GRANTS OF PLAN-BASED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certain information regarding the December 2023 options which represent equity awards approved and granted to our named executive officers during the fiscal year ended December 31, 2023. These equity awards were granted under the Amended and Restated 2019 Omnibus Equity Incentive Plan, as amended.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Price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3"/>
                <w:szCs w:val="23"/>
                <w:color w:val="auto"/>
              </w:rPr>
            </w:pPr>
          </w:p>
        </w:tc>
        <w:tc>
          <w:tcPr>
            <w:tcW w:w="15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Joseph Payne</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12/15/2023</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3,986,240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Dr. Padmanabh Chivukula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12/15/2023</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125,000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2,491,400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Andy Sassine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12/15/2023</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1,494,840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Lance Kurata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12/15/2023</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1,494,840</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3" w:name="page44"/>
    <w:bookmarkEnd w:id="43"/>
    <w:p>
      <w:pPr>
        <w:ind w:left="20" w:right="600" w:firstLine="6"/>
        <w:spacing w:after="0" w:line="282" w:lineRule="auto"/>
        <w:tabs>
          <w:tab w:leader="none" w:pos="2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and approval date fair values of option awards granted during the fiscal years ended December 31, 2023, calculated in accordance with FASB ASC Topic 718.</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2023 OPTION EXERCISES AND STOCK VESTED</w:t>
      </w:r>
    </w:p>
    <w:p>
      <w:pPr>
        <w:spacing w:after="0" w:line="229"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None of the NEOs exercised any options during the fiscal year ended December 31, 2023. None of the NEOs held any restricted stock awards during the fiscal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Agreements With Our Named Executive Officers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termination and change of control payments provided for under the employment agreements summarized below are without duplication of any severance payments provided for under the Company’s Severance Policy (such that the higher amount would apply). For a summary of the Severance Policy, see “</w:t>
      </w:r>
      <w:r>
        <w:rPr>
          <w:rFonts w:ascii="Times New Roman" w:cs="Times New Roman" w:eastAsia="Times New Roman" w:hAnsi="Times New Roman"/>
          <w:sz w:val="18"/>
          <w:szCs w:val="18"/>
          <w:i w:val="1"/>
          <w:iCs w:val="1"/>
          <w:color w:val="auto"/>
        </w:rPr>
        <w:t>Severance and Change of Control Benefits</w:t>
      </w:r>
      <w:r>
        <w:rPr>
          <w:rFonts w:ascii="Times New Roman" w:cs="Times New Roman" w:eastAsia="Times New Roman" w:hAnsi="Times New Roman"/>
          <w:sz w:val="18"/>
          <w:szCs w:val="18"/>
          <w:color w:val="auto"/>
        </w:rPr>
        <w:t>.” The annual base salary amounts and performance bonus targets provided for under the employment agreements, summarized below, are subject to increase upon approval by the compensation committee of the Board as described elsewhere in this proxy statement. See “Base Salary” and “Short-Term Incentive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13, 2019, we entered into an Employment Agreement (the “Payne Agreement”) with Joseph E. Payne, our President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Payne Agreement provides for the following compensation and benefits to Mr. Payne:</w:t>
      </w:r>
    </w:p>
    <w:p>
      <w:pPr>
        <w:spacing w:after="0" w:line="20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$630,000, paid in bi-monthly installments.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of up to 60% of annual base salary. The bonus will be subject to the achievement of certain criteria, as determined by our Board and compensation committee.</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travel and other expenses incurred by Mr. Payne in connection with his service as President and Chief Executive Officer.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unrelated to change in control of, Mr. Payne will be entitled to receive (i) severance pay in the form of continuation of payment installments of Mr. Payne’s final base salary for 18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18 months following his termination of employment.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in connection with a change in control us, Mr. Payne will be entitled to receive a lump sum severance payment equal to (i) eighteen months’ annual base salary, (ii) an amount equal to his target annual bonus for the year of termination and (iii) an amount equal to a pro rata portion of his target annual bonus for the year of termination. Mr. Payne will also be entitled to payment of certain health insurance coverage premiums (COBRA) for up to 18 months following termination. In addition, Mr. Payne’s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Payne’s termination as set forth in the applicable equity award.</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Andy Sassine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13, 2019, we entered into an Employment Agreement (the “Sassine Agreement”) with Andy Sassine, our Chief Financial Officer. The Sassine Agreement provides for the following compensation and benefits to Mr. Sassine:</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$525,000, paid in bi-monthly installments.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of up to 50% of annual base salary. The bonus will be subject to the achievement of certain criteria, as determined by our Board and compensation committee.</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travel and other expenses incurred by Mr. Sassine in connection with his service as Chief Financial Officer.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unrelated to change in control of us, Mr. Sassine will be entitled to receive (i) severance pay in the form of continuation of payment installments of Mr. Sassine’s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12 months following his termination of employment.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in connection with a change in control of us, Mr. Sassine will be entitled to receive a lump sum severance payment equal to (i) one year’s annual base salary, (ii) an amount equal to his target annual bonus for the year of termination and (iii) an amount equal to a pro rata portion of his target annual bonus for the year of termination. Mr. Sassine will also be entitled to payment of certain health insurance coverage premiums (COBRA) for up to 12 months following termination. In addition, Mr. Sassine’s unvested option awards and any other unvested time-based vesting equity awards then held by him will accelerate and become immediately vested and exercisable, if applicable, and no longer subject to repurchase, if applicable, upon such termination and will remain exercisable, if applicable, following Mr. Sassine’s termination as set forth in the applicable equity award.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Padmanabh Chivukula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13, 2019, we entered into an Employment Agreement (the “Chivukula Agreement”) with Dr. Padmanabh Chivukula, our Chief Scientific Officer and Chief Operating Officer. The Chivukula Agreement provides for the following compensation and benefits to Dr. Chivukula:</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$525,000, paid in bi-monthly installments.</w:t>
      </w:r>
    </w:p>
    <w:p>
      <w:pPr>
        <w:spacing w:after="0" w:line="27"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of up to 50% of annual base salary. The bonus will be subject to the achievement of certain criteria, as determined by the Board and compensation committee.</w:t>
      </w:r>
    </w:p>
    <w:p>
      <w:pPr>
        <w:ind w:left="660" w:right="5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travel and other expenses incurred by Dr. Chivukula in connection with his service as Chief Scientific Officer and Chief Operating Officer.</w:t>
      </w:r>
    </w:p>
    <w:p>
      <w:pPr>
        <w:ind w:left="660" w:right="12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unrelated to change in control of us, Dr. Chivukula will be entitled to receive (i) severance pay in the form of continuation of payment installments of Dr. Chivukula’s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12 months following his termination of employment.</w:t>
      </w:r>
    </w:p>
    <w:p>
      <w:pPr>
        <w:spacing w:after="0" w:line="1" w:lineRule="exact"/>
        <w:rPr>
          <w:rFonts w:ascii="Times New Roman" w:cs="Times New Roman" w:eastAsia="Times New Roman" w:hAnsi="Times New Roman"/>
          <w:sz w:val="18"/>
          <w:szCs w:val="18"/>
          <w:color w:val="auto"/>
        </w:rPr>
      </w:pPr>
    </w:p>
    <w:p>
      <w:pPr>
        <w:ind w:left="660" w:right="20" w:hanging="328"/>
        <w:spacing w:after="0" w:line="25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in connection with a change in control of us, Dr. Chivukula will be entitled to receive a lump sum severance payment equal to (i) one year’s annual base salary, (ii) an amount equal to his target annual bonus for the year of termination and (iii) an amount equal to a pro rata portion of his target annual bonus for the year of termination. Dr. Chivukula will also be entitled to payment of certain health insurance coverage premiums (COBRA) for up to twelve (12) months following termination. In addition, Dr. Chivukula’s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Dr. Chivukula’s termination as set forth in the applicable equity award.</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Lance Kurata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10, 2020, we entered into an Employment Agreement (the “Kurata Agreement”) with Lance Kurata, our Chief Legal Officer. The Kurata Agreement provides for the following compensation and benefits to Mr. Kurata:</w:t>
      </w:r>
    </w:p>
    <w:p>
      <w:pPr>
        <w:spacing w:after="0" w:line="162" w:lineRule="exact"/>
        <w:rPr>
          <w:sz w:val="20"/>
          <w:szCs w:val="20"/>
          <w:color w:val="auto"/>
        </w:rPr>
      </w:pPr>
    </w:p>
    <w:p>
      <w:pPr>
        <w:ind w:left="660" w:hanging="315"/>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$375,000, paid in bi-monthly installments.</w:t>
      </w:r>
    </w:p>
    <w:p>
      <w:pPr>
        <w:spacing w:after="0" w:line="27" w:lineRule="exact"/>
        <w:rPr>
          <w:rFonts w:ascii="Times New Roman" w:cs="Times New Roman" w:eastAsia="Times New Roman" w:hAnsi="Times New Roman"/>
          <w:sz w:val="18"/>
          <w:szCs w:val="18"/>
          <w:color w:val="auto"/>
        </w:rPr>
      </w:pPr>
    </w:p>
    <w:p>
      <w:pPr>
        <w:ind w:left="660" w:hanging="315"/>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of up to 40% of annual base salary. The bonus will be subject to the achievement of certain criteria, as determined by the Board and compensation committee.</w:t>
      </w:r>
    </w:p>
    <w:p>
      <w:pPr>
        <w:ind w:left="660" w:hanging="315"/>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travel and other expenses incurred by Mr. Kurata in connection with his service as Chief Legal Officer.</w:t>
      </w:r>
    </w:p>
    <w:p>
      <w:pPr>
        <w:spacing w:after="0" w:line="9" w:lineRule="exact"/>
        <w:rPr>
          <w:rFonts w:ascii="Times New Roman" w:cs="Times New Roman" w:eastAsia="Times New Roman" w:hAnsi="Times New Roman"/>
          <w:sz w:val="18"/>
          <w:szCs w:val="18"/>
          <w:color w:val="auto"/>
        </w:rPr>
      </w:pPr>
    </w:p>
    <w:p>
      <w:pPr>
        <w:jc w:val="both"/>
        <w:ind w:left="660" w:hanging="315"/>
        <w:spacing w:after="0" w:line="25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unrelated to change in control of us, Mr. Kurata will be entitled to receive (i) severance pay in the form of continuation of payment installments of Mr. Kurata final base salary for 12 months, (ii) a pro rata portion of his annual bonus (as calculated by the compensation committee and Board at the end of the bonus period and paid in a lump sum when annual bonuses are paid to other executive officers), and (iii) payment of certain health insurance coverage premiums (COBRA) for up to 12 months following his termination of employment.</w:t>
      </w:r>
    </w:p>
    <w:p>
      <w:pPr>
        <w:spacing w:after="0" w:line="1" w:lineRule="exact"/>
        <w:rPr>
          <w:rFonts w:ascii="Times New Roman" w:cs="Times New Roman" w:eastAsia="Times New Roman" w:hAnsi="Times New Roman"/>
          <w:sz w:val="18"/>
          <w:szCs w:val="18"/>
          <w:color w:val="auto"/>
        </w:rPr>
      </w:pPr>
    </w:p>
    <w:p>
      <w:pPr>
        <w:jc w:val="both"/>
        <w:ind w:left="660" w:hanging="315"/>
        <w:spacing w:after="0" w:line="25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termination without cause or resignation for good reason in connection with a change in control of us, Mr. Kurata will be entitled to receive a lump sum severance payment equal to (i) one year’s annual base salary, (ii) an amount equal to his target annual bonus for the year of termination and (iii) an amount equal to a pro rata portion of his target annual bonus for the year of termination. Mr. Kurata will also be entitled to payment of certain health insurance coverage premiums (COBRA) for up to twelve (12) months following termination. In addition, Mr. Kurata’s unvested option award and any other unvested time-based vesting equity awards then held by him will accelerate and become immediately vested and exercisable, if applicable, and no longer subject to repurchase, if applicable, upon such termination and will remain exercisable, if applicable, following Mr. Kurata’s termination as set forth in the applicable equity award.</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Current Agreements With Our Named Executive Officers</w:t>
      </w:r>
      <w:r>
        <w:rPr>
          <w:rFonts w:ascii="Times New Roman" w:cs="Times New Roman" w:eastAsia="Times New Roman" w:hAnsi="Times New Roman"/>
          <w:sz w:val="18"/>
          <w:szCs w:val="18"/>
          <w:color w:val="auto"/>
        </w:rPr>
        <w:t>” for a description of the circumstances that would trigger payments or the provision of other benefits to each of our named executive officers in connection with their termination without cause or resignation for good reason in connection with a change in control. See “</w:t>
      </w:r>
      <w:r>
        <w:rPr>
          <w:rFonts w:ascii="Times New Roman" w:cs="Times New Roman" w:eastAsia="Times New Roman" w:hAnsi="Times New Roman"/>
          <w:sz w:val="18"/>
          <w:szCs w:val="18"/>
          <w:i w:val="1"/>
          <w:iCs w:val="1"/>
          <w:color w:val="auto"/>
        </w:rPr>
        <w:t>Termination and Change of Control Potential Payments and Benefits Table</w:t>
      </w:r>
      <w:r>
        <w:rPr>
          <w:rFonts w:ascii="Times New Roman" w:cs="Times New Roman" w:eastAsia="Times New Roman" w:hAnsi="Times New Roman"/>
          <w:sz w:val="18"/>
          <w:szCs w:val="18"/>
          <w:color w:val="auto"/>
        </w:rPr>
        <w:t>” for details on the amounts of such payments.</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Under the employment agreements with our named executive officers, “good reason” constitutes a resignation from employment with the Company in connection with the occurrence of any of the following without the executive’s prior written consent: (i) a material reduction in the executive’s base salary, unless pursuant to a salary reduction program applicable generally to the Company’s senior executives; (ii) a material reduction in the executive’s duties (including responsibilities and/or authorities), provided that (A) a change in job position (including a change in title) shall not be deemed a “material reduction” in and of itself unless the executive’s new duties are materially reduced from the prior duties, and (B) a reduction in duties which results from the hiring of an individual not previously employed by the Company to serve as its President and/or Chief Executive Officer shall not be deemed a “material reduction” (e.g., where an executive undertakes temporary additional responsibilities until a President and/or Chief Executive Officer is appointed); or (iii) relocation of the executive’s principal place of employment to a place that increases the executive’s one-way commute by more than 50 miles as compared to the executive’s then-current principal place of employment immediately prior to such relocation.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for an executive to resign for good reason, each of the following requirements must be met: (i) the executive must provide written notice to the Board within 30 days after the first occurrence of the event giving rise to good reason setting forth the basis for the executive’s resignation, (ii) the executive must allow the Company at least 30 days from receipt of such written notice to cure such event, (iii) such event is not reasonably cured by the Company within such 30 day period (the “Cure Period”), and (iv) the executive must resign from all positions the executive then holds with the Company not later than 30 days after the expiration of the Cure Period.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May 1, 2021, the Board adopted a written Severance Policy covering all senior executives of the Company. Termination and change of control payments under the Severance Policy will not duplicate any severance payments provided for in an individual employment agreement (such that the higher amount would apply). For a summary of the Severance Policy, see “Severance and Change of Control Benefits.” Pursuant to the Severance Policy, in order to receive any payments upon a termination or change of control, our named executive officers must execute a general release of all known and unknown claims, as drafted in the Company’s discretion, in a severance agreement acceptable to the Company within the applicable deadline set forth therein, but in no event later than twenty-one days following the executive’s termination date, and permit the release to become effective and irrevocable in accordance with its terms.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Options granted to our officers and certain of our directors may contain acceleration provisions upon certain merger, acquisition, or change of control transactions. If the relationship between us and an executive officer or a director is terminated, except for cause (as defined in the various option plan agreements), options that are vested will generally remain exercisable for ninety days or thirty-six months after such termination depending on whether the options were granted to an executive officer or director. Generally, any benefits conferred on an executive officer as a result of a change of control require such officer to execute a signed and dated general release of known and unknown claims in a termination agreement acceptable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AND CHANGE OF CONTROL POTENTIAL PAYMENTS AND BENEFITS 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disclosed in the table below are based on the payments and benefit costs that would have been incurred by the Company if the named executive officer's employment had terminated as of the last business day of the fiscal year ended December 31, 2023. The amounts included below do not include payments and benefits to the extent they are provided on a non-discriminatory basis to salaried employees generally upon termination of employment. Where applicable, the value of one of our shares of common stock on December 31, 2023 was $32.97, which was the closing market price of our common stock on the Nasdaq on such date.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2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gridSpan w:val="3"/>
          </w:tcPr>
          <w:p>
            <w:pPr>
              <w:jc w:val="right"/>
              <w:ind w:right="2150"/>
              <w:spacing w:after="0"/>
              <w:rPr>
                <w:sz w:val="20"/>
                <w:szCs w:val="20"/>
                <w:color w:val="auto"/>
              </w:rPr>
            </w:pPr>
            <w:r>
              <w:rPr>
                <w:rFonts w:ascii="Times New Roman" w:cs="Times New Roman" w:eastAsia="Times New Roman" w:hAnsi="Times New Roman"/>
                <w:sz w:val="18"/>
                <w:szCs w:val="18"/>
                <w:b w:val="1"/>
                <w:bCs w:val="1"/>
                <w:color w:val="auto"/>
              </w:rPr>
              <w:t>Change of Control</w:t>
            </w:r>
          </w:p>
        </w:tc>
      </w:tr>
      <w:tr>
        <w:trPr>
          <w:trHeight w:val="187"/>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Accelerated</w:t>
            </w:r>
          </w:p>
        </w:tc>
      </w:tr>
      <w:tr>
        <w:trPr>
          <w:trHeight w:val="216"/>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Vesting upon</w:t>
            </w:r>
          </w:p>
        </w:tc>
      </w:tr>
      <w:tr>
        <w:trPr>
          <w:trHeight w:val="216"/>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qualifying</w:t>
            </w:r>
          </w:p>
        </w:tc>
      </w:tr>
      <w:tr>
        <w:trPr>
          <w:trHeight w:val="216"/>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termination or if Award</w:t>
            </w:r>
          </w:p>
        </w:tc>
      </w:tr>
      <w:tr>
        <w:trPr>
          <w:trHeight w:val="216"/>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not Assumed,</w:t>
            </w:r>
          </w:p>
        </w:tc>
      </w:tr>
      <w:tr>
        <w:trPr>
          <w:trHeight w:val="225"/>
        </w:trPr>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c>
          <w:tcPr>
            <w:tcW w:w="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Substituted or</w:t>
            </w:r>
          </w:p>
        </w:tc>
      </w:tr>
      <w:tr>
        <w:trPr>
          <w:trHeight w:val="216"/>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40" w:type="dxa"/>
            <w:vAlign w:val="bottom"/>
          </w:tcPr>
          <w:p>
            <w:pPr>
              <w:spacing w:after="0"/>
              <w:rPr>
                <w:sz w:val="18"/>
                <w:szCs w:val="18"/>
                <w:color w:val="auto"/>
              </w:rPr>
            </w:pPr>
          </w:p>
        </w:tc>
        <w:tc>
          <w:tcPr>
            <w:tcW w:w="2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Involuntary Termination without</w:t>
            </w:r>
          </w:p>
        </w:tc>
        <w:tc>
          <w:tcPr>
            <w:tcW w:w="420" w:type="dxa"/>
            <w:vAlign w:val="bottom"/>
          </w:tcPr>
          <w:p>
            <w:pPr>
              <w:spacing w:after="0"/>
              <w:rPr>
                <w:sz w:val="18"/>
                <w:szCs w:val="18"/>
                <w:color w:val="auto"/>
              </w:rPr>
            </w:pPr>
          </w:p>
        </w:tc>
        <w:tc>
          <w:tcPr>
            <w:tcW w:w="26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Continued by</w:t>
            </w:r>
          </w:p>
        </w:tc>
      </w:tr>
      <w:tr>
        <w:trPr>
          <w:trHeight w:val="216"/>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without Cause or Resignation for</w:t>
            </w:r>
          </w:p>
        </w:tc>
        <w:tc>
          <w:tcPr>
            <w:tcW w:w="140" w:type="dxa"/>
            <w:vAlign w:val="bottom"/>
          </w:tcPr>
          <w:p>
            <w:pPr>
              <w:spacing w:after="0"/>
              <w:rPr>
                <w:sz w:val="18"/>
                <w:szCs w:val="18"/>
                <w:color w:val="auto"/>
              </w:rPr>
            </w:pPr>
          </w:p>
        </w:tc>
        <w:tc>
          <w:tcPr>
            <w:tcW w:w="27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Cause or Resignation for Good</w:t>
            </w:r>
          </w:p>
        </w:tc>
        <w:tc>
          <w:tcPr>
            <w:tcW w:w="420" w:type="dxa"/>
            <w:vAlign w:val="bottom"/>
          </w:tcPr>
          <w:p>
            <w:pPr>
              <w:spacing w:after="0"/>
              <w:rPr>
                <w:sz w:val="18"/>
                <w:szCs w:val="18"/>
                <w:color w:val="auto"/>
              </w:rPr>
            </w:pPr>
          </w:p>
        </w:tc>
        <w:tc>
          <w:tcPr>
            <w:tcW w:w="26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the Acquiring</w:t>
            </w:r>
          </w:p>
        </w:tc>
      </w:tr>
      <w:tr>
        <w:trPr>
          <w:trHeight w:val="248"/>
        </w:trPr>
        <w:tc>
          <w:tcPr>
            <w:tcW w:w="2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Good Reason</w:t>
            </w:r>
          </w:p>
        </w:tc>
        <w:tc>
          <w:tcPr>
            <w:tcW w:w="140" w:type="dxa"/>
            <w:vAlign w:val="bottom"/>
          </w:tcPr>
          <w:p>
            <w:pPr>
              <w:spacing w:after="0"/>
              <w:rPr>
                <w:sz w:val="21"/>
                <w:szCs w:val="21"/>
                <w:color w:val="auto"/>
              </w:rPr>
            </w:pPr>
          </w:p>
        </w:tc>
        <w:tc>
          <w:tcPr>
            <w:tcW w:w="2760" w:type="dxa"/>
            <w:vAlign w:val="bottom"/>
          </w:tcPr>
          <w:p>
            <w:pPr>
              <w:jc w:val="center"/>
              <w:ind w:right="30"/>
              <w:spacing w:after="0" w:line="247" w:lineRule="exact"/>
              <w:rPr>
                <w:sz w:val="20"/>
                <w:szCs w:val="20"/>
                <w:color w:val="auto"/>
              </w:rPr>
            </w:pPr>
            <w:r>
              <w:rPr>
                <w:rFonts w:ascii="Times New Roman" w:cs="Times New Roman" w:eastAsia="Times New Roman" w:hAnsi="Times New Roman"/>
                <w:sz w:val="17"/>
                <w:szCs w:val="17"/>
                <w:b w:val="1"/>
                <w:bCs w:val="1"/>
                <w:color w:val="auto"/>
                <w:w w:val="96"/>
              </w:rPr>
              <w:t>Reason</w:t>
            </w:r>
            <w:r>
              <w:rPr>
                <w:rFonts w:ascii="Times New Roman" w:cs="Times New Roman" w:eastAsia="Times New Roman" w:hAnsi="Times New Roman"/>
                <w:sz w:val="28"/>
                <w:szCs w:val="28"/>
                <w:b w:val="1"/>
                <w:bCs w:val="1"/>
                <w:color w:val="auto"/>
                <w:w w:val="96"/>
                <w:vertAlign w:val="superscript"/>
              </w:rPr>
              <w:t>(1)</w:t>
            </w:r>
          </w:p>
        </w:tc>
        <w:tc>
          <w:tcPr>
            <w:tcW w:w="420" w:type="dxa"/>
            <w:vAlign w:val="bottom"/>
          </w:tcPr>
          <w:p>
            <w:pPr>
              <w:spacing w:after="0"/>
              <w:rPr>
                <w:sz w:val="21"/>
                <w:szCs w:val="21"/>
                <w:color w:val="auto"/>
              </w:rPr>
            </w:pPr>
          </w:p>
        </w:tc>
        <w:tc>
          <w:tcPr>
            <w:tcW w:w="2600" w:type="dxa"/>
            <w:vAlign w:val="bottom"/>
          </w:tcPr>
          <w:p>
            <w:pPr>
              <w:jc w:val="center"/>
              <w:ind w:right="210"/>
              <w:spacing w:after="0" w:line="247" w:lineRule="exact"/>
              <w:rPr>
                <w:sz w:val="20"/>
                <w:szCs w:val="20"/>
                <w:color w:val="auto"/>
              </w:rPr>
            </w:pPr>
            <w:r>
              <w:rPr>
                <w:rFonts w:ascii="Times New Roman" w:cs="Times New Roman" w:eastAsia="Times New Roman" w:hAnsi="Times New Roman"/>
                <w:sz w:val="17"/>
                <w:szCs w:val="17"/>
                <w:b w:val="1"/>
                <w:bCs w:val="1"/>
                <w:color w:val="auto"/>
                <w:w w:val="98"/>
              </w:rPr>
              <w:t>Entity</w:t>
            </w:r>
            <w:r>
              <w:rPr>
                <w:rFonts w:ascii="Times New Roman" w:cs="Times New Roman" w:eastAsia="Times New Roman" w:hAnsi="Times New Roman"/>
                <w:sz w:val="28"/>
                <w:szCs w:val="28"/>
                <w:b w:val="1"/>
                <w:bCs w:val="1"/>
                <w:color w:val="auto"/>
                <w:w w:val="98"/>
                <w:vertAlign w:val="superscript"/>
              </w:rPr>
              <w:t>(2)</w:t>
            </w:r>
          </w:p>
        </w:tc>
      </w:tr>
      <w:tr>
        <w:trPr>
          <w:trHeight w:val="238"/>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0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Joseph Payne</w:t>
            </w:r>
            <w:r>
              <w:rPr>
                <w:rFonts w:ascii="Times New Roman" w:cs="Times New Roman" w:eastAsia="Times New Roman" w:hAnsi="Times New Roman"/>
                <w:sz w:val="28"/>
                <w:szCs w:val="28"/>
                <w:b w:val="1"/>
                <w:bCs w:val="1"/>
                <w:color w:val="auto"/>
                <w:vertAlign w:val="superscript"/>
              </w:rPr>
              <w:t>(4) (5)</w:t>
            </w: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r>
      <w:tr>
        <w:trPr>
          <w:trHeight w:val="209"/>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Severance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1,464,000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1,464,000</w:t>
            </w:r>
          </w:p>
        </w:tc>
        <w:tc>
          <w:tcPr>
            <w:tcW w:w="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6"/>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Treatment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34,783,350</w:t>
            </w:r>
          </w:p>
        </w:tc>
      </w:tr>
      <w:tr>
        <w:trPr>
          <w:trHeight w:val="229"/>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and Welfare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12,600</w:t>
            </w:r>
          </w:p>
        </w:tc>
        <w:tc>
          <w:tcPr>
            <w:tcW w:w="4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r>
      <w:tr>
        <w:trPr>
          <w:trHeight w:val="223"/>
        </w:trPr>
        <w:tc>
          <w:tcPr>
            <w:tcW w:w="2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1,476,600</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1,476,600</w:t>
            </w: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34,783,350</w:t>
            </w:r>
          </w:p>
        </w:tc>
      </w:tr>
      <w:tr>
        <w:trPr>
          <w:trHeight w:val="177"/>
        </w:trPr>
        <w:tc>
          <w:tcPr>
            <w:tcW w:w="20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Dr. Padmanabh</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r>
      <w:tr>
        <w:trPr>
          <w:trHeight w:val="289"/>
        </w:trPr>
        <w:tc>
          <w:tcPr>
            <w:tcW w:w="2000" w:type="dxa"/>
            <w:vAlign w:val="bottom"/>
            <w:tcBorders>
              <w:bottom w:val="single" w:sz="8" w:color="auto"/>
            </w:tcBorders>
            <w:shd w:val="clear" w:color="auto" w:fill="CCEEFF"/>
          </w:tcPr>
          <w:p>
            <w:pPr>
              <w:spacing w:after="0" w:line="288" w:lineRule="exact"/>
              <w:rPr>
                <w:sz w:val="20"/>
                <w:szCs w:val="20"/>
                <w:color w:val="auto"/>
              </w:rPr>
            </w:pPr>
            <w:r>
              <w:rPr>
                <w:rFonts w:ascii="Times New Roman" w:cs="Times New Roman" w:eastAsia="Times New Roman" w:hAnsi="Times New Roman"/>
                <w:sz w:val="18"/>
                <w:szCs w:val="18"/>
                <w:b w:val="1"/>
                <w:bCs w:val="1"/>
                <w:color w:val="auto"/>
              </w:rPr>
              <w:t>Chivukula</w:t>
            </w:r>
            <w:r>
              <w:rPr>
                <w:rFonts w:ascii="Times New Roman" w:cs="Times New Roman" w:eastAsia="Times New Roman" w:hAnsi="Times New Roman"/>
                <w:sz w:val="29"/>
                <w:szCs w:val="29"/>
                <w:b w:val="1"/>
                <w:bCs w:val="1"/>
                <w:color w:val="auto"/>
                <w:vertAlign w:val="superscript"/>
              </w:rPr>
              <w:t>(3) (5)</w:t>
            </w:r>
          </w:p>
        </w:tc>
        <w:tc>
          <w:tcPr>
            <w:tcW w:w="26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8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7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2600" w:type="dxa"/>
            <w:vAlign w:val="bottom"/>
            <w:tcBorders>
              <w:bottom w:val="single" w:sz="8" w:color="auto"/>
            </w:tcBorders>
            <w:shd w:val="clear" w:color="auto" w:fill="CCEEFF"/>
          </w:tcPr>
          <w:p>
            <w:pPr>
              <w:spacing w:after="0"/>
              <w:rPr>
                <w:sz w:val="24"/>
                <w:szCs w:val="24"/>
                <w:color w:val="auto"/>
              </w:rPr>
            </w:pPr>
          </w:p>
        </w:tc>
      </w:tr>
      <w:tr>
        <w:trPr>
          <w:trHeight w:val="209"/>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Severance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825,000</w:t>
            </w:r>
          </w:p>
        </w:tc>
        <w:tc>
          <w:tcPr>
            <w:tcW w:w="4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Treatment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20,276,550</w:t>
            </w:r>
          </w:p>
        </w:tc>
      </w:tr>
      <w:tr>
        <w:trPr>
          <w:trHeight w:val="230"/>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Health and Welfare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42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223"/>
        </w:trPr>
        <w:tc>
          <w:tcPr>
            <w:tcW w:w="2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833,400</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833,400</w:t>
            </w:r>
          </w:p>
        </w:tc>
        <w:tc>
          <w:tcPr>
            <w:tcW w:w="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20,276,550</w:t>
            </w:r>
          </w:p>
        </w:tc>
      </w:tr>
      <w:tr>
        <w:trPr>
          <w:trHeight w:val="250"/>
        </w:trPr>
        <w:tc>
          <w:tcPr>
            <w:tcW w:w="20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Andy Sassine</w:t>
            </w:r>
            <w:r>
              <w:rPr>
                <w:rFonts w:ascii="Times New Roman" w:cs="Times New Roman" w:eastAsia="Times New Roman" w:hAnsi="Times New Roman"/>
                <w:sz w:val="28"/>
                <w:szCs w:val="28"/>
                <w:b w:val="1"/>
                <w:bCs w:val="1"/>
                <w:color w:val="auto"/>
                <w:vertAlign w:val="superscript"/>
              </w:rPr>
              <w:t>(3)(5)</w:t>
            </w: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r>
      <w:tr>
        <w:trPr>
          <w:trHeight w:val="210"/>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Severance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825,000</w:t>
            </w:r>
          </w:p>
        </w:tc>
        <w:tc>
          <w:tcPr>
            <w:tcW w:w="4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6"/>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Treatment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20,853,525</w:t>
            </w:r>
          </w:p>
        </w:tc>
      </w:tr>
      <w:tr>
        <w:trPr>
          <w:trHeight w:val="229"/>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and Welfare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4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r>
      <w:tr>
        <w:trPr>
          <w:trHeight w:val="223"/>
        </w:trPr>
        <w:tc>
          <w:tcPr>
            <w:tcW w:w="2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833,400</w:t>
            </w: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833,400</w:t>
            </w: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20,853,525</w:t>
            </w:r>
          </w:p>
        </w:tc>
      </w:tr>
      <w:tr>
        <w:trPr>
          <w:trHeight w:val="250"/>
        </w:trPr>
        <w:tc>
          <w:tcPr>
            <w:tcW w:w="2000" w:type="dxa"/>
            <w:vAlign w:val="bottom"/>
            <w:tcBorders>
              <w:bottom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Lance Kurata</w:t>
            </w:r>
            <w:r>
              <w:rPr>
                <w:rFonts w:ascii="Times New Roman" w:cs="Times New Roman" w:eastAsia="Times New Roman" w:hAnsi="Times New Roman"/>
                <w:sz w:val="28"/>
                <w:szCs w:val="28"/>
                <w:b w:val="1"/>
                <w:bCs w:val="1"/>
                <w:color w:val="auto"/>
                <w:vertAlign w:val="superscript"/>
              </w:rPr>
              <w:t>(3)(5)</w:t>
            </w:r>
          </w:p>
        </w:tc>
        <w:tc>
          <w:tcPr>
            <w:tcW w:w="2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8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7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2600" w:type="dxa"/>
            <w:vAlign w:val="bottom"/>
            <w:tcBorders>
              <w:bottom w:val="single" w:sz="8" w:color="auto"/>
            </w:tcBorders>
            <w:shd w:val="clear" w:color="auto" w:fill="CCEEFF"/>
          </w:tcPr>
          <w:p>
            <w:pPr>
              <w:spacing w:after="0"/>
              <w:rPr>
                <w:sz w:val="21"/>
                <w:szCs w:val="21"/>
                <w:color w:val="auto"/>
              </w:rPr>
            </w:pPr>
          </w:p>
        </w:tc>
      </w:tr>
      <w:tr>
        <w:trPr>
          <w:trHeight w:val="209"/>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Severance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700,000</w:t>
            </w:r>
          </w:p>
        </w:tc>
        <w:tc>
          <w:tcPr>
            <w:tcW w:w="42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Treatment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12,034,050</w:t>
            </w:r>
          </w:p>
        </w:tc>
      </w:tr>
      <w:tr>
        <w:trPr>
          <w:trHeight w:val="229"/>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Health and Welfare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w:t>
            </w:r>
          </w:p>
        </w:tc>
        <w:tc>
          <w:tcPr>
            <w:tcW w:w="420" w:type="dxa"/>
            <w:vAlign w:val="bottom"/>
          </w:tcPr>
          <w:p>
            <w:pPr>
              <w:spacing w:after="0"/>
              <w:rPr>
                <w:sz w:val="19"/>
                <w:szCs w:val="19"/>
                <w:color w:val="auto"/>
              </w:rPr>
            </w:pPr>
          </w:p>
        </w:tc>
        <w:tc>
          <w:tcPr>
            <w:tcW w:w="2600" w:type="dxa"/>
            <w:vAlign w:val="bottom"/>
          </w:tcPr>
          <w:p>
            <w:pPr>
              <w:spacing w:after="0"/>
              <w:rPr>
                <w:sz w:val="19"/>
                <w:szCs w:val="19"/>
                <w:color w:val="auto"/>
              </w:rPr>
            </w:pPr>
          </w:p>
        </w:tc>
      </w:tr>
      <w:tr>
        <w:trPr>
          <w:trHeight w:val="223"/>
        </w:trPr>
        <w:tc>
          <w:tcPr>
            <w:tcW w:w="2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708,400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708,400</w:t>
            </w:r>
          </w:p>
        </w:tc>
        <w:tc>
          <w:tcPr>
            <w:tcW w:w="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2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12,034,050</w:t>
            </w:r>
          </w:p>
        </w:tc>
      </w:tr>
    </w:tbl>
    <w:p>
      <w:pPr>
        <w:spacing w:after="0" w:line="196" w:lineRule="exact"/>
        <w:rPr>
          <w:sz w:val="20"/>
          <w:szCs w:val="20"/>
          <w:color w:val="auto"/>
        </w:rPr>
      </w:pPr>
    </w:p>
    <w:p>
      <w:pPr>
        <w:ind w:firstLine="8"/>
        <w:spacing w:after="0" w:line="284"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xml:space="preserve"> for the definition of "good reason" under the employment agreements with our NEOs.</w:t>
      </w:r>
    </w:p>
    <w:p>
      <w:pPr>
        <w:spacing w:after="0" w:line="160"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Severance Policy, the NEOs are entitled to accelerated equity award vesting if their employment is terminated or they resign for good reason within 18 months of a change of control.</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Cash Severance, amount represents the payment of an amount equal to 12 months of the employee’s annual base salary, as well as (i) for involuntary termination without cause or resignation for good reason not in connection with a change of control, a lump sum payment of the pro rata portion of the executive’s annual bonus for the year of termination or resignation based actual performance (a “Performance Bonus”), and (ii) for involuntary termination without cause or resignation with good reason in connection with a change of control, a Performance Bonus and a lump sum payment in an amount equal to the executive’s target annual bonus for the year of termination or resignation (a “Target Bonus”).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For Health and Welfare, amount represents the estimated value of providing the employee and their dependents with health benefits for 12 months following the date of termination or resignation for good reason. This amount is calculated based on the current market rate of COBRA premiums in California.</w:t>
      </w:r>
    </w:p>
    <w:p>
      <w:pPr>
        <w:spacing w:after="0" w:line="176" w:lineRule="exact"/>
        <w:rPr>
          <w:sz w:val="20"/>
          <w:szCs w:val="20"/>
          <w:color w:val="auto"/>
        </w:rPr>
      </w:pPr>
    </w:p>
    <w:p>
      <w:pPr>
        <w:jc w:val="both"/>
        <w:ind w:firstLine="8"/>
        <w:spacing w:after="0" w:line="266" w:lineRule="auto"/>
        <w:tabs>
          <w:tab w:leader="none" w:pos="2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Cash Severance, amount represents the payment of an amount equal to 18 months of the employee’s annual base salary, as well as (i) for involuntary termination without cause or resignation for good reason not in connection with a change of control, a Performance Bonus, and (ii) for involuntary termination without cause or resignation with good reason in connection with a change of control, a Performance Bonus and a Target Bonus.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Health and Welfare, amount represents the estimated value of providing the employee and their dependents with health benefits for 18 months following the date of termination or resignation for good reason. This amount is calculated based on the current market rate of COBRA premiums in California.</w:t>
      </w:r>
    </w:p>
    <w:p>
      <w:pPr>
        <w:spacing w:after="0" w:line="176" w:lineRule="exact"/>
        <w:rPr>
          <w:sz w:val="20"/>
          <w:szCs w:val="20"/>
          <w:color w:val="auto"/>
        </w:rPr>
      </w:pPr>
    </w:p>
    <w:p>
      <w:pPr>
        <w:ind w:firstLine="8"/>
        <w:spacing w:after="0" w:line="282" w:lineRule="auto"/>
        <w:tabs>
          <w:tab w:leader="none" w:pos="2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Equity Treatment, amount represents the estimated value of accelerated vesting of stock options subject to outstanding stock options upon a termination or resignation for good reason prior to December 31, 2023.</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2023, Mr. Payne’s total annual compensation as disclosed in the Summary Compensation Table was $4,892,500, and the total annual compensation for our median employee was $332,000, resulting in a pay ratio of 14.7 (the “Pay Ratio”).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identify the median employee and calculate the annual total compensation of the median-paid employee, we determined (i) the total number of part-time and full-time individuals employed at any point during fiscal year 2023, and (ii) the sum of the salary, bonus, and share-based compensation incurred for each employee.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pay ratio reported above is a reasonable estimate calculated in a manner consistent with SEC rules based on our internal records and the methodology described above. Because the SEC rules for identifying the median compensated employee and calculating pay ratio allow companies to adopt a variety of methodologies, apply certain exclusions, and make reasonable estimates and assumptions that reflect their employee populations and compensation practices, our pay ratio may not be comparable to the pay ratios reported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shows the information used for the calculation of the ratio of the estimated annual total compensation of the median employee identified using the methodology described above to the annual total compensation of Mr. Payne as calculated for the Summary Compensation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34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34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208,500</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3,986,000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4,892,500</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Median Employee</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156,000</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tcPr>
          <w:p>
            <w:pPr>
              <w:spacing w:after="0"/>
              <w:rPr>
                <w:sz w:val="18"/>
                <w:szCs w:val="18"/>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332,000</w:t>
            </w:r>
          </w:p>
        </w:tc>
      </w:tr>
      <w:tr>
        <w:trPr>
          <w:trHeight w:val="216"/>
        </w:trPr>
        <w:tc>
          <w:tcPr>
            <w:tcW w:w="2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of Median Employee’s to Mr. Payne’s Annual Total Compensation</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For the most recently completed fiscal year, we did not use any financial performance measure to link Compensation Actually Paid to our NEOs to the Company’s performance; accordingly, this disclosure does not present a company-selected measure in the table below nor a tabular list of our most important performance measures, as permitted under the rules promulgated by the Securities and Exchange Commission. The Compensation Committee did not consider the pay versus performance disclosure below in making its pay decisions for any of the years shown.</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0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Actually</w:t>
            </w:r>
          </w:p>
        </w:tc>
        <w:tc>
          <w:tcPr>
            <w:tcW w:w="1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Summary</w:t>
            </w:r>
          </w:p>
        </w:tc>
        <w:tc>
          <w:tcPr>
            <w:tcW w:w="1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Average Compensation</w:t>
            </w:r>
          </w:p>
        </w:tc>
        <w:tc>
          <w:tcPr>
            <w:tcW w:w="178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Initial Fixed</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Table</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Paid to Joseph E.</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Table</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Actually Paid to Non-</w:t>
            </w:r>
          </w:p>
        </w:tc>
        <w:tc>
          <w:tcPr>
            <w:tcW w:w="17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$100 Investment</w:t>
            </w: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Millions)</w:t>
            </w:r>
          </w:p>
        </w:tc>
        <w:tc>
          <w:tcPr>
            <w:tcW w:w="0" w:type="dxa"/>
            <w:vAlign w:val="bottom"/>
          </w:tcPr>
          <w:p>
            <w:pPr>
              <w:spacing w:after="0"/>
              <w:rPr>
                <w:sz w:val="1"/>
                <w:szCs w:val="1"/>
                <w:color w:val="auto"/>
              </w:rPr>
            </w:pPr>
          </w:p>
        </w:tc>
      </w:tr>
      <w:tr>
        <w:trPr>
          <w:trHeight w:val="225"/>
        </w:trPr>
        <w:tc>
          <w:tcPr>
            <w:tcW w:w="70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 Joseph E.</w:t>
            </w:r>
          </w:p>
        </w:tc>
        <w:tc>
          <w:tcPr>
            <w:tcW w:w="1920" w:type="dxa"/>
            <w:vAlign w:val="bottom"/>
            <w:tcBorders>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6"/>
                <w:szCs w:val="16"/>
                <w:b w:val="1"/>
                <w:bCs w:val="1"/>
                <w:color w:val="auto"/>
              </w:rPr>
              <w:t>Payne</w:t>
            </w:r>
            <w:r>
              <w:rPr>
                <w:rFonts w:ascii="Times New Roman" w:cs="Times New Roman" w:eastAsia="Times New Roman" w:hAnsi="Times New Roman"/>
                <w:sz w:val="26"/>
                <w:szCs w:val="26"/>
                <w:b w:val="1"/>
                <w:bCs w:val="1"/>
                <w:color w:val="auto"/>
                <w:vertAlign w:val="superscript"/>
              </w:rPr>
              <w:t>1,2,3</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 Non-PEO</w:t>
            </w:r>
          </w:p>
        </w:tc>
        <w:tc>
          <w:tcPr>
            <w:tcW w:w="1900" w:type="dxa"/>
            <w:vAlign w:val="bottom"/>
            <w:tcBorders>
              <w:right w:val="single" w:sz="8" w:color="auto"/>
            </w:tcBorders>
          </w:tcPr>
          <w:p>
            <w:pPr>
              <w:ind w:left="20"/>
              <w:spacing w:after="0" w:line="225" w:lineRule="exact"/>
              <w:rPr>
                <w:sz w:val="20"/>
                <w:szCs w:val="20"/>
                <w:color w:val="auto"/>
              </w:rPr>
            </w:pPr>
            <w:r>
              <w:rPr>
                <w:rFonts w:ascii="Times New Roman" w:cs="Times New Roman" w:eastAsia="Times New Roman" w:hAnsi="Times New Roman"/>
                <w:sz w:val="16"/>
                <w:szCs w:val="16"/>
                <w:b w:val="1"/>
                <w:bCs w:val="1"/>
                <w:color w:val="auto"/>
              </w:rPr>
              <w:t>PEO NEOs</w:t>
            </w:r>
            <w:r>
              <w:rPr>
                <w:rFonts w:ascii="Times New Roman" w:cs="Times New Roman" w:eastAsia="Times New Roman" w:hAnsi="Times New Roman"/>
                <w:sz w:val="26"/>
                <w:szCs w:val="26"/>
                <w:b w:val="1"/>
                <w:bCs w:val="1"/>
                <w:color w:val="auto"/>
                <w:vertAlign w:val="superscript"/>
              </w:rPr>
              <w:t>1,2,3</w:t>
            </w:r>
          </w:p>
        </w:tc>
        <w:tc>
          <w:tcPr>
            <w:tcW w:w="900" w:type="dxa"/>
            <w:vAlign w:val="bottom"/>
          </w:tcPr>
          <w:p>
            <w:pPr>
              <w:ind w:left="20"/>
              <w:spacing w:after="0" w:line="225" w:lineRule="exact"/>
              <w:rPr>
                <w:sz w:val="20"/>
                <w:szCs w:val="20"/>
                <w:color w:val="auto"/>
              </w:rPr>
            </w:pPr>
            <w:r>
              <w:rPr>
                <w:rFonts w:ascii="Times New Roman" w:cs="Times New Roman" w:eastAsia="Times New Roman" w:hAnsi="Times New Roman"/>
                <w:sz w:val="16"/>
                <w:szCs w:val="16"/>
                <w:b w:val="1"/>
                <w:bCs w:val="1"/>
                <w:color w:val="auto"/>
              </w:rPr>
              <w:t>based on:</w:t>
            </w:r>
            <w:r>
              <w:rPr>
                <w:rFonts w:ascii="Times New Roman" w:cs="Times New Roman" w:eastAsia="Times New Roman" w:hAnsi="Times New Roman"/>
                <w:sz w:val="26"/>
                <w:szCs w:val="26"/>
                <w:b w:val="1"/>
                <w:bCs w:val="1"/>
                <w:color w:val="auto"/>
                <w:vertAlign w:val="superscript"/>
              </w:rPr>
              <w:t>4</w:t>
            </w:r>
          </w:p>
        </w:tc>
        <w:tc>
          <w:tcPr>
            <w:tcW w:w="8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700" w:type="dxa"/>
            <w:vAlign w:val="bottom"/>
            <w:tcBorders>
              <w:left w:val="single" w:sz="8" w:color="auto"/>
              <w:right w:val="single" w:sz="8" w:color="auto"/>
            </w:tcBorders>
          </w:tcPr>
          <w:p>
            <w:pPr>
              <w:spacing w:after="0"/>
              <w:rPr>
                <w:sz w:val="7"/>
                <w:szCs w:val="7"/>
                <w:color w:val="auto"/>
              </w:rPr>
            </w:pPr>
          </w:p>
        </w:tc>
        <w:tc>
          <w:tcPr>
            <w:tcW w:w="1920" w:type="dxa"/>
            <w:vAlign w:val="bottom"/>
            <w:tcBorders>
              <w:right w:val="single" w:sz="8" w:color="auto"/>
            </w:tcBorders>
            <w:vMerge w:val="restart"/>
          </w:tcPr>
          <w:p>
            <w:pPr>
              <w:ind w:left="20"/>
              <w:spacing w:after="0" w:line="247" w:lineRule="exact"/>
              <w:rPr>
                <w:sz w:val="20"/>
                <w:szCs w:val="20"/>
                <w:color w:val="auto"/>
              </w:rPr>
            </w:pPr>
            <w:r>
              <w:rPr>
                <w:rFonts w:ascii="Times New Roman" w:cs="Times New Roman" w:eastAsia="Times New Roman" w:hAnsi="Times New Roman"/>
                <w:sz w:val="17"/>
                <w:szCs w:val="17"/>
                <w:b w:val="1"/>
                <w:bCs w:val="1"/>
                <w:color w:val="auto"/>
              </w:rPr>
              <w:t>Payne</w:t>
            </w:r>
            <w:r>
              <w:rPr>
                <w:rFonts w:ascii="Times New Roman" w:cs="Times New Roman" w:eastAsia="Times New Roman" w:hAnsi="Times New Roman"/>
                <w:sz w:val="28"/>
                <w:szCs w:val="28"/>
                <w:b w:val="1"/>
                <w:bCs w:val="1"/>
                <w:color w:val="auto"/>
                <w:vertAlign w:val="superscript"/>
              </w:rPr>
              <w:t>1</w:t>
            </w: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right w:val="single" w:sz="8" w:color="auto"/>
            </w:tcBorders>
            <w:vMerge w:val="restart"/>
          </w:tcPr>
          <w:p>
            <w:pPr>
              <w:ind w:left="20"/>
              <w:spacing w:after="0" w:line="247" w:lineRule="exact"/>
              <w:rPr>
                <w:sz w:val="20"/>
                <w:szCs w:val="20"/>
                <w:color w:val="auto"/>
              </w:rPr>
            </w:pPr>
            <w:r>
              <w:rPr>
                <w:rFonts w:ascii="Times New Roman" w:cs="Times New Roman" w:eastAsia="Times New Roman" w:hAnsi="Times New Roman"/>
                <w:sz w:val="17"/>
                <w:szCs w:val="17"/>
                <w:b w:val="1"/>
                <w:bCs w:val="1"/>
                <w:color w:val="auto"/>
              </w:rPr>
              <w:t>NEOs</w:t>
            </w:r>
            <w:r>
              <w:rPr>
                <w:rFonts w:ascii="Times New Roman" w:cs="Times New Roman" w:eastAsia="Times New Roman" w:hAnsi="Times New Roman"/>
                <w:sz w:val="28"/>
                <w:szCs w:val="28"/>
                <w:b w:val="1"/>
                <w:bCs w:val="1"/>
                <w:color w:val="auto"/>
                <w:vertAlign w:val="superscript"/>
              </w:rPr>
              <w:t>1</w:t>
            </w:r>
          </w:p>
        </w:tc>
        <w:tc>
          <w:tcPr>
            <w:tcW w:w="1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700" w:type="dxa"/>
            <w:vAlign w:val="bottom"/>
            <w:tcBorders>
              <w:left w:val="single" w:sz="8" w:color="auto"/>
              <w:right w:val="single" w:sz="8" w:color="auto"/>
            </w:tcBorders>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TSR</w:t>
            </w:r>
          </w:p>
        </w:tc>
        <w:tc>
          <w:tcPr>
            <w:tcW w:w="8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Peer</w:t>
            </w: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00" w:type="dxa"/>
            <w:vAlign w:val="bottom"/>
            <w:tcBorders>
              <w:left w:val="single" w:sz="8" w:color="auto"/>
              <w:right w:val="single" w:sz="8" w:color="auto"/>
            </w:tcBorders>
          </w:tcPr>
          <w:p>
            <w:pPr>
              <w:spacing w:after="0"/>
              <w:rPr>
                <w:sz w:val="5"/>
                <w:szCs w:val="5"/>
                <w:color w:val="auto"/>
              </w:rPr>
            </w:pPr>
          </w:p>
        </w:tc>
        <w:tc>
          <w:tcPr>
            <w:tcW w:w="1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TSR</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0" w:type="dxa"/>
            <w:vAlign w:val="bottom"/>
            <w:tcBorders>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4,892,500</w:t>
            </w:r>
          </w:p>
        </w:tc>
        <w:tc>
          <w:tcPr>
            <w:tcW w:w="1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9,794,227</w:t>
            </w:r>
          </w:p>
        </w:tc>
        <w:tc>
          <w:tcPr>
            <w:tcW w:w="1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2,485,333</w:t>
            </w:r>
          </w:p>
        </w:tc>
        <w:tc>
          <w:tcPr>
            <w:tcW w:w="1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4,673,949</w:t>
            </w:r>
          </w:p>
        </w:tc>
        <w:tc>
          <w:tcPr>
            <w:tcW w:w="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72.68</w:t>
            </w:r>
          </w:p>
        </w:tc>
        <w:tc>
          <w:tcPr>
            <w:tcW w:w="8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91.84</w:t>
            </w:r>
          </w:p>
        </w:tc>
        <w:tc>
          <w:tcPr>
            <w:tcW w:w="1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(29.7)</w:t>
            </w:r>
          </w:p>
        </w:tc>
        <w:tc>
          <w:tcPr>
            <w:tcW w:w="0" w:type="dxa"/>
            <w:vAlign w:val="bottom"/>
          </w:tcPr>
          <w:p>
            <w:pPr>
              <w:spacing w:after="0"/>
              <w:rPr>
                <w:sz w:val="1"/>
                <w:szCs w:val="1"/>
                <w:color w:val="auto"/>
              </w:rPr>
            </w:pPr>
          </w:p>
        </w:tc>
      </w:tr>
      <w:tr>
        <w:trPr>
          <w:trHeight w:val="237"/>
        </w:trPr>
        <w:tc>
          <w:tcPr>
            <w:tcW w:w="70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5,594,000</w:t>
            </w:r>
          </w:p>
        </w:tc>
        <w:tc>
          <w:tcPr>
            <w:tcW w:w="1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2,673,712</w:t>
            </w:r>
          </w:p>
        </w:tc>
        <w:tc>
          <w:tcPr>
            <w:tcW w:w="1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3,125,688</w:t>
            </w:r>
          </w:p>
        </w:tc>
        <w:tc>
          <w:tcPr>
            <w:tcW w:w="1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1,256,688</w:t>
            </w:r>
          </w:p>
        </w:tc>
        <w:tc>
          <w:tcPr>
            <w:tcW w:w="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39.10</w:t>
            </w:r>
          </w:p>
        </w:tc>
        <w:tc>
          <w:tcPr>
            <w:tcW w:w="8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88.53</w:t>
            </w:r>
          </w:p>
        </w:tc>
        <w:tc>
          <w:tcPr>
            <w:tcW w:w="1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bottom w:val="single" w:sz="8" w:color="CCEEFF"/>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960,000</w:t>
            </w:r>
          </w:p>
        </w:tc>
        <w:tc>
          <w:tcPr>
            <w:tcW w:w="19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62,056</w:t>
            </w:r>
          </w:p>
        </w:tc>
        <w:tc>
          <w:tcPr>
            <w:tcW w:w="1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676,000</w:t>
            </w:r>
          </w:p>
        </w:tc>
        <w:tc>
          <w:tcPr>
            <w:tcW w:w="1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232,220</w:t>
            </w:r>
          </w:p>
        </w:tc>
        <w:tc>
          <w:tcPr>
            <w:tcW w:w="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85.32</w:t>
            </w:r>
          </w:p>
        </w:tc>
        <w:tc>
          <w:tcPr>
            <w:tcW w:w="8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99.37</w:t>
            </w:r>
          </w:p>
        </w:tc>
        <w:tc>
          <w:tcPr>
            <w:tcW w:w="11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(203.7)</w:t>
            </w:r>
          </w:p>
        </w:tc>
        <w:tc>
          <w:tcPr>
            <w:tcW w:w="0" w:type="dxa"/>
            <w:vAlign w:val="bottom"/>
          </w:tcPr>
          <w:p>
            <w:pPr>
              <w:spacing w:after="0"/>
              <w:rPr>
                <w:sz w:val="1"/>
                <w:szCs w:val="1"/>
                <w:color w:val="auto"/>
              </w:rPr>
            </w:pPr>
          </w:p>
        </w:tc>
      </w:tr>
      <w:tr>
        <w:trPr>
          <w:trHeight w:val="20"/>
        </w:trPr>
        <w:tc>
          <w:tcPr>
            <w:tcW w:w="7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c>
          <w:tcPr>
            <w:tcW w:w="192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E. Payne was our PEO for each year presented. The individuals comprising the Non-PEO NEOs for each year presented are listed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6"/>
        </w:trPr>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Andy Sassine</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Andy Sassine</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Andy Sassine</w:t>
            </w:r>
          </w:p>
        </w:tc>
      </w:tr>
      <w:tr>
        <w:trPr>
          <w:trHeight w:val="216"/>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Padmanabh Chivukula</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Padmanabh Chivukula</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Padmanabh Chivukula</w:t>
            </w:r>
          </w:p>
        </w:tc>
      </w:tr>
      <w:tr>
        <w:trPr>
          <w:trHeight w:val="216"/>
        </w:trPr>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Lance Kurata</w:t>
            </w:r>
          </w:p>
        </w:tc>
        <w:tc>
          <w:tcPr>
            <w:tcW w:w="3000" w:type="dxa"/>
            <w:vAlign w:val="bottom"/>
            <w:shd w:val="clear" w:color="auto" w:fill="CCEEFF"/>
          </w:tcPr>
          <w:p>
            <w:pPr>
              <w:spacing w:after="0"/>
              <w:rPr>
                <w:sz w:val="18"/>
                <w:szCs w:val="18"/>
                <w:color w:val="auto"/>
              </w:rPr>
            </w:pP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Lance Kurata</w:t>
            </w:r>
          </w:p>
        </w:tc>
      </w:tr>
      <w:tr>
        <w:trPr>
          <w:trHeight w:val="234"/>
        </w:trPr>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Steven Hughes</w:t>
            </w:r>
          </w:p>
        </w:tc>
        <w:tc>
          <w:tcPr>
            <w:tcW w:w="3000" w:type="dxa"/>
            <w:vAlign w:val="bottom"/>
          </w:tcPr>
          <w:p>
            <w:pPr>
              <w:spacing w:after="0"/>
              <w:rPr>
                <w:sz w:val="20"/>
                <w:szCs w:val="20"/>
                <w:color w:val="auto"/>
              </w:rPr>
            </w:pPr>
          </w:p>
        </w:tc>
        <w:tc>
          <w:tcPr>
            <w:tcW w:w="3000" w:type="dxa"/>
            <w:vAlign w:val="bottom"/>
          </w:tcPr>
          <w:p>
            <w:pPr>
              <w:spacing w:after="0"/>
              <w:rPr>
                <w:sz w:val="20"/>
                <w:szCs w:val="20"/>
                <w:color w:val="auto"/>
              </w:rPr>
            </w:pPr>
          </w:p>
        </w:tc>
      </w:tr>
    </w:tbl>
    <w:p>
      <w:pPr>
        <w:spacing w:after="0" w:line="179" w:lineRule="exact"/>
        <w:rPr>
          <w:sz w:val="20"/>
          <w:szCs w:val="20"/>
          <w:color w:val="auto"/>
        </w:rPr>
      </w:pPr>
    </w:p>
    <w:p>
      <w:pPr>
        <w:ind w:left="340" w:right="38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75" w:lineRule="exact"/>
        <w:rPr>
          <w:rFonts w:ascii="Times New Roman" w:cs="Times New Roman" w:eastAsia="Times New Roman" w:hAnsi="Times New Roman"/>
          <w:sz w:val="18"/>
          <w:szCs w:val="18"/>
          <w:color w:val="auto"/>
        </w:rPr>
      </w:pPr>
    </w:p>
    <w:p>
      <w:pPr>
        <w:jc w:val="both"/>
        <w:ind w:left="340" w:right="10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Option Awards column are the amounts from the Option Awards column set forth in the Summary Compensation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 Compensation Table</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Exclusion of Option Awards for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Inclusion of Equity Values for</w:t>
            </w:r>
          </w:p>
        </w:tc>
        <w:tc>
          <w:tcPr>
            <w:tcW w:w="26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Compensation Actually Paid to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for Joseph E. Payne</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E. Payne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E. Payne</w:t>
            </w:r>
          </w:p>
        </w:tc>
        <w:tc>
          <w:tcPr>
            <w:tcW w:w="26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Joseph E. Payne</w:t>
            </w:r>
          </w:p>
        </w:tc>
        <w:tc>
          <w:tcPr>
            <w:tcW w:w="0" w:type="dxa"/>
            <w:vAlign w:val="bottom"/>
          </w:tcPr>
          <w:p>
            <w:pPr>
              <w:spacing w:after="0"/>
              <w:rPr>
                <w:sz w:val="1"/>
                <w:szCs w:val="1"/>
                <w:color w:val="auto"/>
              </w:rPr>
            </w:pPr>
          </w:p>
        </w:tc>
      </w:tr>
      <w:tr>
        <w:trPr>
          <w:trHeight w:val="238"/>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4,892,500</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(3,986,000)</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8,797,727</w:t>
            </w:r>
          </w:p>
        </w:tc>
        <w:tc>
          <w:tcPr>
            <w:tcW w:w="26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9,794,227</w:t>
            </w:r>
          </w:p>
        </w:tc>
        <w:tc>
          <w:tcPr>
            <w:tcW w:w="0" w:type="dxa"/>
            <w:vAlign w:val="bottom"/>
          </w:tcPr>
          <w:p>
            <w:pPr>
              <w:spacing w:after="0"/>
              <w:rPr>
                <w:sz w:val="1"/>
                <w:szCs w:val="1"/>
                <w:color w:val="auto"/>
              </w:rPr>
            </w:pPr>
          </w:p>
        </w:tc>
      </w:tr>
      <w:tr>
        <w:trPr>
          <w:trHeight w:val="216"/>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5,594,000</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(4,460,000)</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1,539,712</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2,673,712</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960,000</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(897,944)</w:t>
            </w:r>
          </w:p>
        </w:tc>
        <w:tc>
          <w:tcPr>
            <w:tcW w:w="2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62,056</w:t>
            </w:r>
          </w:p>
        </w:tc>
        <w:tc>
          <w:tcPr>
            <w:tcW w:w="0" w:type="dxa"/>
            <w:vAlign w:val="bottom"/>
          </w:tcPr>
          <w:p>
            <w:pPr>
              <w:spacing w:after="0"/>
              <w:rPr>
                <w:sz w:val="1"/>
                <w:szCs w:val="1"/>
                <w:color w:val="auto"/>
              </w:rPr>
            </w:pPr>
          </w:p>
        </w:tc>
      </w:tr>
      <w:tr>
        <w:trPr>
          <w:trHeight w:val="437"/>
        </w:trPr>
        <w:tc>
          <w:tcPr>
            <w:tcW w:w="58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Exclusion of Stock</w:t>
            </w:r>
          </w:p>
        </w:tc>
        <w:tc>
          <w:tcPr>
            <w:tcW w:w="2600" w:type="dxa"/>
            <w:vAlign w:val="bottom"/>
          </w:tcPr>
          <w:p>
            <w:pPr>
              <w:spacing w:after="0"/>
              <w:rPr>
                <w:sz w:val="24"/>
                <w:szCs w:val="24"/>
                <w:color w:val="auto"/>
              </w:rPr>
            </w:pPr>
          </w:p>
        </w:tc>
        <w:tc>
          <w:tcPr>
            <w:tcW w:w="26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Average Compensation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Compensation Table Total for</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and Option Awards for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Inclusion of Equity</w:t>
            </w:r>
          </w:p>
        </w:tc>
        <w:tc>
          <w:tcPr>
            <w:tcW w:w="26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Actually Paid to Non-PEO</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NEOs</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Non-PEO NEOs</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Values for Non-PEO NEOs</w:t>
            </w:r>
          </w:p>
        </w:tc>
        <w:tc>
          <w:tcPr>
            <w:tcW w:w="26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0" w:type="dxa"/>
            <w:vAlign w:val="bottom"/>
          </w:tcPr>
          <w:p>
            <w:pPr>
              <w:spacing w:after="0"/>
              <w:rPr>
                <w:sz w:val="1"/>
                <w:szCs w:val="1"/>
                <w:color w:val="auto"/>
              </w:rPr>
            </w:pPr>
          </w:p>
        </w:tc>
      </w:tr>
      <w:tr>
        <w:trPr>
          <w:trHeight w:val="238"/>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2,485,333</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(1,827,000)</w:t>
            </w:r>
          </w:p>
        </w:tc>
        <w:tc>
          <w:tcPr>
            <w:tcW w:w="2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4,215,616</w:t>
            </w:r>
          </w:p>
        </w:tc>
        <w:tc>
          <w:tcPr>
            <w:tcW w:w="260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4,673,949</w:t>
            </w:r>
          </w:p>
        </w:tc>
        <w:tc>
          <w:tcPr>
            <w:tcW w:w="0" w:type="dxa"/>
            <w:vAlign w:val="bottom"/>
          </w:tcPr>
          <w:p>
            <w:pPr>
              <w:spacing w:after="0"/>
              <w:rPr>
                <w:sz w:val="1"/>
                <w:szCs w:val="1"/>
                <w:color w:val="auto"/>
              </w:rPr>
            </w:pPr>
          </w:p>
        </w:tc>
      </w:tr>
      <w:tr>
        <w:trPr>
          <w:trHeight w:val="157"/>
        </w:trPr>
        <w:tc>
          <w:tcPr>
            <w:tcW w:w="580" w:type="dxa"/>
            <w:vAlign w:val="bottom"/>
            <w:vMerge w:val="continue"/>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2600" w:type="dxa"/>
            <w:vAlign w:val="bottom"/>
            <w:vMerge w:val="continue"/>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3,125,688</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(2,318,500)</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449,500</w:t>
            </w:r>
          </w:p>
        </w:tc>
        <w:tc>
          <w:tcPr>
            <w:tcW w:w="26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1,256,688</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676,000</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(443,780)</w:t>
            </w:r>
          </w:p>
        </w:tc>
        <w:tc>
          <w:tcPr>
            <w:tcW w:w="26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232,220</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Year-End Fair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Fair Value</w:t>
            </w:r>
          </w:p>
        </w:tc>
        <w:tc>
          <w:tcPr>
            <w:tcW w:w="17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Fair Value</w:t>
            </w: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Equity Awards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from Last Day of</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Vesting-Date Fair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from Last Day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at Last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During Year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 Year to Last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Equity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Prior Year to Vesting</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Day of Prior Year of</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That Remained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Day of Year of</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Granted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of Unvested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Awards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 as of Last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Unvested Equity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that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Awards that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Forfeited During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 Inclusion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Day of Year for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for Joseph 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Vested During Year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During Year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for Joseph 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 Values for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E. Payne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Payne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Joseph E. Payne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Joseph E. Payne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Joseph E. Payne</w:t>
            </w:r>
          </w:p>
        </w:tc>
        <w:tc>
          <w:tcPr>
            <w:tcW w:w="0" w:type="dxa"/>
            <w:vAlign w:val="bottom"/>
          </w:tcPr>
          <w:p>
            <w:pPr>
              <w:spacing w:after="0"/>
              <w:rPr>
                <w:sz w:val="1"/>
                <w:szCs w:val="1"/>
                <w:color w:val="auto"/>
              </w:rPr>
            </w:pPr>
          </w:p>
        </w:tc>
      </w:tr>
      <w:tr>
        <w:trPr>
          <w:trHeight w:val="238"/>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34"/>
        </w:trPr>
        <w:tc>
          <w:tcPr>
            <w:tcW w:w="5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4,736,522</w:t>
            </w:r>
          </w:p>
        </w:tc>
        <w:tc>
          <w:tcPr>
            <w:tcW w:w="18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3,347,013</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714,192</w:t>
            </w:r>
          </w:p>
        </w:tc>
        <w:tc>
          <w:tcPr>
            <w:tcW w:w="1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8,797,727</w:t>
            </w:r>
          </w:p>
        </w:tc>
        <w:tc>
          <w:tcPr>
            <w:tcW w:w="0" w:type="dxa"/>
            <w:vAlign w:val="bottom"/>
          </w:tcPr>
          <w:p>
            <w:pPr>
              <w:spacing w:after="0"/>
              <w:rPr>
                <w:sz w:val="1"/>
                <w:szCs w:val="1"/>
                <w:color w:val="auto"/>
              </w:rPr>
            </w:pPr>
          </w:p>
        </w:tc>
      </w:tr>
      <w:tr>
        <w:trPr>
          <w:trHeight w:val="157"/>
        </w:trPr>
        <w:tc>
          <w:tcPr>
            <w:tcW w:w="500" w:type="dxa"/>
            <w:vAlign w:val="bottom"/>
            <w:vMerge w:val="continue"/>
            <w:shd w:val="clear" w:color="auto" w:fill="CCEEFF"/>
          </w:tcPr>
          <w:p>
            <w:pPr>
              <w:spacing w:after="0"/>
              <w:rPr>
                <w:sz w:val="13"/>
                <w:szCs w:val="13"/>
                <w:color w:val="auto"/>
              </w:rPr>
            </w:pPr>
          </w:p>
        </w:tc>
        <w:tc>
          <w:tcPr>
            <w:tcW w:w="1860" w:type="dxa"/>
            <w:vAlign w:val="bottom"/>
            <w:vMerge w:val="continue"/>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780" w:type="dxa"/>
            <w:vAlign w:val="bottom"/>
            <w:vMerge w:val="continue"/>
            <w:shd w:val="clear" w:color="auto" w:fill="CCEEFF"/>
          </w:tcPr>
          <w:p>
            <w:pPr>
              <w:spacing w:after="0"/>
              <w:rPr>
                <w:sz w:val="13"/>
                <w:szCs w:val="13"/>
                <w:color w:val="auto"/>
              </w:rPr>
            </w:pPr>
          </w:p>
        </w:tc>
        <w:tc>
          <w:tcPr>
            <w:tcW w:w="1780" w:type="dxa"/>
            <w:vAlign w:val="bottom"/>
            <w:vMerge w:val="continue"/>
            <w:shd w:val="clear" w:color="auto" w:fill="CCEEFF"/>
          </w:tcPr>
          <w:p>
            <w:pPr>
              <w:spacing w:after="0"/>
              <w:rPr>
                <w:sz w:val="13"/>
                <w:szCs w:val="13"/>
                <w:color w:val="auto"/>
              </w:rPr>
            </w:pPr>
          </w:p>
        </w:tc>
        <w:tc>
          <w:tcPr>
            <w:tcW w:w="1840" w:type="dxa"/>
            <w:vAlign w:val="bottom"/>
            <w:vMerge w:val="continue"/>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4,561,826</w:t>
            </w:r>
          </w:p>
        </w:tc>
        <w:tc>
          <w:tcPr>
            <w:tcW w:w="18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(1,919,615)</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456,861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(1,559,360)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1,539,712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(1,395,948)</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498,004</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(897,944)</w:t>
            </w:r>
          </w:p>
        </w:tc>
        <w:tc>
          <w:tcPr>
            <w:tcW w:w="0" w:type="dxa"/>
            <w:vAlign w:val="bottom"/>
          </w:tcPr>
          <w:p>
            <w:pPr>
              <w:spacing w:after="0"/>
              <w:rPr>
                <w:sz w:val="1"/>
                <w:szCs w:val="1"/>
                <w:color w:val="auto"/>
              </w:rPr>
            </w:pPr>
          </w:p>
        </w:tc>
      </w:tr>
      <w:tr>
        <w:trPr>
          <w:trHeight w:val="437"/>
        </w:trPr>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Change in</w:t>
            </w:r>
          </w:p>
        </w:tc>
        <w:tc>
          <w:tcPr>
            <w:tcW w:w="1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 Year-End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Change in</w:t>
            </w:r>
          </w:p>
        </w:tc>
        <w:tc>
          <w:tcPr>
            <w:tcW w:w="17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Fair Value from Last</w:t>
            </w: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of Equity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from Last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Average Vesting-Date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Day of Prior Year to</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Fair Value at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Granted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Day of Prior Year to</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of Equity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Vesting Date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Last Day of Prior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That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Last Day of Year of</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Granted</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 Equity</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of Equity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 Average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Remained Unvested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Unvested Equity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 that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Awards that Vested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Forfeited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Inclusion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Last Day of Year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for Non-PEO</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Vested During Year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During Year for Non-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During Year for Non-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 Values for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Non-PEO NEOs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Non-PEO NEOs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PEO NEOs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PEO NEOs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NEOs</w:t>
            </w:r>
          </w:p>
        </w:tc>
        <w:tc>
          <w:tcPr>
            <w:tcW w:w="0" w:type="dxa"/>
            <w:vAlign w:val="bottom"/>
          </w:tcPr>
          <w:p>
            <w:pPr>
              <w:spacing w:after="0"/>
              <w:rPr>
                <w:sz w:val="1"/>
                <w:szCs w:val="1"/>
                <w:color w:val="auto"/>
              </w:rPr>
            </w:pPr>
          </w:p>
        </w:tc>
      </w:tr>
      <w:tr>
        <w:trPr>
          <w:trHeight w:val="238"/>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34"/>
        </w:trPr>
        <w:tc>
          <w:tcPr>
            <w:tcW w:w="5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2,170,906</w:t>
            </w:r>
          </w:p>
        </w:tc>
        <w:tc>
          <w:tcPr>
            <w:tcW w:w="18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1,680,605</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364,105</w:t>
            </w:r>
          </w:p>
        </w:tc>
        <w:tc>
          <w:tcPr>
            <w:tcW w:w="1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4,215,616</w:t>
            </w:r>
          </w:p>
        </w:tc>
        <w:tc>
          <w:tcPr>
            <w:tcW w:w="0" w:type="dxa"/>
            <w:vAlign w:val="bottom"/>
          </w:tcPr>
          <w:p>
            <w:pPr>
              <w:spacing w:after="0"/>
              <w:rPr>
                <w:sz w:val="1"/>
                <w:szCs w:val="1"/>
                <w:color w:val="auto"/>
              </w:rPr>
            </w:pPr>
          </w:p>
        </w:tc>
      </w:tr>
      <w:tr>
        <w:trPr>
          <w:trHeight w:val="157"/>
        </w:trPr>
        <w:tc>
          <w:tcPr>
            <w:tcW w:w="500" w:type="dxa"/>
            <w:vAlign w:val="bottom"/>
            <w:vMerge w:val="continue"/>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780" w:type="dxa"/>
            <w:vAlign w:val="bottom"/>
            <w:vMerge w:val="continue"/>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840" w:type="dxa"/>
            <w:vAlign w:val="bottom"/>
            <w:vMerge w:val="continue"/>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2,374,286</w:t>
            </w:r>
          </w:p>
        </w:tc>
        <w:tc>
          <w:tcPr>
            <w:tcW w:w="18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(1,174,650)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258,888</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(1,009,024)</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449,500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(710,024)</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266,244</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(443,780)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TSR (as defined below) assumes $100 was invested in the Company for the period starting December 31, 2020 through the end of the listed year. Historical stock performance is not necessarily indicative of future stock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PEO and Non-PEO NEO Compensation Actually Paid and Company Total Shareholder Return (“TSR”)</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114300</wp:posOffset>
            </wp:positionV>
            <wp:extent cx="5366385" cy="2948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6638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Description of Relationship </w:t>
      </w:r>
      <w:r>
        <w:rPr>
          <w:rFonts w:ascii="Times New Roman" w:cs="Times New Roman" w:eastAsia="Times New Roman" w:hAnsi="Times New Roman"/>
          <w:sz w:val="18"/>
          <w:szCs w:val="18"/>
          <w:i w:val="1"/>
          <w:iCs w:val="1"/>
          <w:color w:val="auto"/>
        </w:rPr>
        <w:t>Between PEO</w:t>
      </w:r>
      <w:r>
        <w:rPr>
          <w:rFonts w:ascii="Times New Roman" w:cs="Times New Roman" w:eastAsia="Times New Roman" w:hAnsi="Times New Roman"/>
          <w:sz w:val="18"/>
          <w:szCs w:val="18"/>
          <w:color w:val="auto"/>
        </w:rPr>
        <w:t xml:space="preserve"> and Non-PEO NEO Compensation Actually Paid and Net Income</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three most recently completed fiscal years.</w:t>
      </w:r>
    </w:p>
    <w:p>
      <w:pPr>
        <w:sectPr>
          <w:pgSz w:w="11900" w:h="16838" w:orient="portrait"/>
          <w:cols w:equalWidth="0" w:num="1">
            <w:col w:w="11240"/>
          </w:cols>
          <w:pgMar w:left="320" w:top="702" w:right="33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722630</wp:posOffset>
            </wp:positionH>
            <wp:positionV relativeFrom="page">
              <wp:posOffset>88900</wp:posOffset>
            </wp:positionV>
            <wp:extent cx="6069330" cy="3334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06933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all outstanding equity awards held by our named executive officers as of December 31, 2023. None of the outstanding equity awards shown in the table below have been exercised or forfeited as of December 31, 2023. None of our named executive officers held any other equity awards from the Company as of December 31, 2023.</w:t>
      </w: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Unexercisable (1)</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Payne</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08/24/2028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02/07/2029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128,229</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42,743</w:t>
            </w:r>
          </w:p>
        </w:tc>
        <w:tc>
          <w:tcPr>
            <w:tcW w:w="1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Dr. Padmanabh Chivukula</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08/24/2028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02/07/2029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57,500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42,500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31,250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93,750</w:t>
            </w:r>
          </w:p>
        </w:tc>
        <w:tc>
          <w:tcPr>
            <w:tcW w:w="1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36,250</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08/24/2028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01/01/2029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76,666</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31,250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93,750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Lance Kurata</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58.91</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08/10/2030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31,250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93,750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20" w:firstLine="8"/>
        <w:spacing w:after="0" w:line="282"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 vests 25% on the one-year anniversary of the date of grant, with the remainder vesting in 36 successive equal monthly increments thereafter.</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None of our named executive officers participate in or have account balances in qualified or non-qualified defined benefit plans sponsored by us.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None of our named executive officers participate in or have account balances in qualified or non-qualified defined contribution plans or other non-qualified compensation plans sponsored by us.</w:t>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Benefits</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including our medical, dental, vision, group life, disability and accidental death and dismemberment insurance plans, in each case on the same basis as all of our other employees. We provide a 401(k) savings plan to our employees, including our current named executive officers, as discussed in the section below entitled “</w:t>
      </w: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We generally do not provide perquisites or personal benefits to our named executive officers, except in limited circumstances and as noted in the Summary Compensation Table above. Our Board may elect to adopt qualified or non-qualified benefit plans in the future if it determines that doing so is in our best interests.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left="20" w:right="20"/>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including named executive officers, with an opportunity to save for retirement on a tax advantaged basis. All participants’ interests in their deferrals are 100% vested when contributed. Pre-tax and after-tax contributions are allocated to each participant’s individual account and are then invested in selected investment alternatives according to the participant’s directions. Currently, we match $0.50 for every $1.00 on the first $5,000.00 of contributions made by the employee with an annual maximum match of $2,500. The 401(k) plan is intended to qualify under Sections 401(a) and 501(a) of the Internal Revenue Code. As a tax-qualified retirement plan, contributions to the 401(k) plan and earnings on those contributions are not taxable to the employees until distributed from the 401(k) plan, and all matching contributions, if any, are deductible by us when made.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2021 Inducement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2021, the Company adopted the 2021 Inducement Equity Incentive Plan which covered the award of up to 1,000,000 shares of common stock (the “2021 Inducement Plan”) effective as of October 15, 2021. Only newly-hired employees are eligible to receive awards under the 2021 Inducement Plan. Approval of the Company’s stockholders is not required as a condition to the effectiveness of the 2021 Plan for so long as the plan is in compliance with Nasdaq inducement plan rules. On October 20, 2021, the Company filed a registration statement on Form S-8 with the United States Securities and Exchange Commission to register 1,000,000 awards. In April 2022, the number of shares available for grant under the 2021 Inducement Plan was reduced to 130,000. As of December 31, 2023, a total of 119,952 shares remained available for future issuance under the 2021 Inducement Plan, subject to the terms of the 2021 Inducement Plan.</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212529"/>
        </w:rPr>
        <w:t>On June 21, 2022, the stockholders of the Company approved the “2019 Plan Amendment”, amending the 2019 Plan. The 2019 Plan Amendment (i) increases the maximum number of shares of common stock available to 2019 Plan participants by 3,750,000 shares and (ii) increases the fair market value of cash or share awards a non-employee director may be granted in a calendar year under the 2019 Plan together with any awards granted outside of the 2019 Plan from $500,000 to $2,000,000 for newly-appointed directors, any lead independent director and any non-employee chair, or $1,000,000 for each other non-employee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as of December 31, 2023 with respect to our equity compensation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Options,</w:t>
            </w: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2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Reflected</w:t>
            </w:r>
          </w:p>
        </w:tc>
      </w:tr>
      <w:tr>
        <w:trPr>
          <w:trHeight w:val="216"/>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Column a)</w:t>
            </w:r>
          </w:p>
        </w:tc>
      </w:t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0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0"/>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7,971,127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313,594</w:t>
            </w:r>
          </w:p>
        </w:tc>
      </w:tr>
      <w:tr>
        <w:trPr>
          <w:trHeight w:val="198"/>
        </w:trPr>
        <w:tc>
          <w:tcPr>
            <w:tcW w:w="5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7,971,127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313,594</w:t>
            </w:r>
          </w:p>
        </w:tc>
      </w:tr>
      <w:tr>
        <w:trPr>
          <w:trHeight w:val="41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96"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8"/>
          <w:szCs w:val="18"/>
          <w:color w:val="auto"/>
        </w:rPr>
        <w:t>The compensation committee has reviewed and discussed the foregoing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including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with management. Based on this review and discussion, the compensation committee recommended to our Board that such information be included in this proxy statement.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Magda Marquet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Barlow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 Jing L. Marantz</w:t>
      </w:r>
    </w:p>
    <w:p>
      <w:pPr>
        <w:spacing w:after="0" w:line="205" w:lineRule="exact"/>
        <w:rPr>
          <w:sz w:val="20"/>
          <w:szCs w:val="20"/>
          <w:color w:val="auto"/>
        </w:rPr>
      </w:pPr>
    </w:p>
    <w:p>
      <w:pPr>
        <w:jc w:val="both"/>
        <w:ind w:left="20"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Compensation Committee Report shall not be deemed to be soliciting material or to be filed with the SEC, nor shall such information be incorporated by reference into any future filing under the Securities Act or the Exchange Act, except to the extent that Arcturus specifically incorporates it by reference in such filing.</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86"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Policy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policy with respect to the review, approval, and ratification of related party transactions. Under the policy, the Audit Committee is responsible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transaction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audit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takes into account the relevant available facts and circumstances including, but not limited to:</w:t>
      </w:r>
    </w:p>
    <w:p>
      <w:pPr>
        <w:spacing w:after="0" w:line="162"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 person transaction;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involved in the related person transaction;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value of the amount of the related person’s interest in the transaction without regard to the amount of any profit or loss;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business;</w:t>
      </w:r>
    </w:p>
    <w:p>
      <w:pPr>
        <w:spacing w:after="0" w:line="9"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with the related person is proposed to be, or was, entered into on terms no less favorable to us than terms that could have been reached with an unrelated third party;</w:t>
      </w: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transaction; and</w:t>
      </w:r>
    </w:p>
    <w:p>
      <w:pPr>
        <w:spacing w:after="0" w:line="9" w:lineRule="exact"/>
        <w:rPr>
          <w:rFonts w:ascii="Times New Roman" w:cs="Times New Roman" w:eastAsia="Times New Roman" w:hAnsi="Times New Roman"/>
          <w:sz w:val="18"/>
          <w:szCs w:val="18"/>
          <w:color w:val="auto"/>
        </w:rPr>
      </w:pPr>
    </w:p>
    <w:p>
      <w:pPr>
        <w:ind w:left="340" w:right="60" w:hanging="332"/>
        <w:spacing w:after="0" w:line="260"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whether to approve, ratify or reject a related person transaction, the audit committee reviews all relevant information available to it about such transaction, and it may approve or ratify the related person transaction only if it determines that, under all of the circumstances, the transaction is in, or is not inconsistent with, the best interests of the Company.</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There have been no transactions during the year ended December 31, 2023 involving an amount in excess of $120,000 to which the Company has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April 15, 2024 by:</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5% or more of our outstanding shares;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individually;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5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beneficial ownership of shares of common stock is determined in accordance with the rules of the SEC and generally includes any shares of common stock over which a person exercises sole or shared voting or investment power, or the right to receive the economic benefit of ownership. For purposes of the table below, we deem shares subject to options or warrants that are currently exercisable or exercisable within 60 days of April 15, 2024,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26,920,725 shares of common stock outstanding as of April 15, 2024.</w:t>
      </w:r>
    </w:p>
    <w:p>
      <w:pPr>
        <w:spacing w:after="0" w:line="187"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by each person or entity known to beneficially own more than 5% of our common stock as of April 15, 2024. Except as indicated in footnotes to this table, we believe that the stockholders named in this table have sole voting and investment power with respect to all shares shown to be beneficially owned by them, based on information provided to us by such stockholders. Unless otherwise noted below, each beneficial owner’s address is: c/o Arcturus Therapeutics Holdings Inc., 10628 Science Center Drive, Suite 250, San Diego, California, 92121.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 Beneficially Owned</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80" w:type="dxa"/>
            <w:vAlign w:val="bottom"/>
          </w:tcPr>
          <w:p>
            <w:pPr>
              <w:spacing w:after="0"/>
              <w:rPr>
                <w:sz w:val="24"/>
                <w:szCs w:val="24"/>
                <w:color w:val="auto"/>
              </w:rPr>
            </w:pPr>
          </w:p>
        </w:tc>
        <w:tc>
          <w:tcPr>
            <w:tcW w:w="214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31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23"/>
        </w:trPr>
        <w:tc>
          <w:tcPr>
            <w:tcW w:w="8080" w:type="dxa"/>
            <w:vAlign w:val="bottom"/>
            <w:vMerge w:val="continue"/>
          </w:tcPr>
          <w:p>
            <w:pPr>
              <w:spacing w:after="0"/>
              <w:rPr>
                <w:sz w:val="19"/>
                <w:szCs w:val="19"/>
                <w:color w:val="auto"/>
              </w:rPr>
            </w:pPr>
          </w:p>
        </w:tc>
        <w:tc>
          <w:tcPr>
            <w:tcW w:w="21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09"/>
        </w:trPr>
        <w:tc>
          <w:tcPr>
            <w:tcW w:w="80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Federated Hermes, Inc.</w:t>
            </w:r>
            <w:r>
              <w:rPr>
                <w:rFonts w:ascii="Times New Roman" w:cs="Times New Roman" w:eastAsia="Times New Roman" w:hAnsi="Times New Roman"/>
                <w:sz w:val="23"/>
                <w:szCs w:val="23"/>
                <w:color w:val="auto"/>
                <w:vertAlign w:val="superscript"/>
              </w:rPr>
              <w:t>(1)</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4,711,512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(2)</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2,743,002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ARK Investment Management LLC</w:t>
            </w:r>
            <w:r>
              <w:rPr>
                <w:rFonts w:ascii="Times New Roman" w:cs="Times New Roman" w:eastAsia="Times New Roman" w:hAnsi="Times New Roman"/>
                <w:sz w:val="23"/>
                <w:szCs w:val="23"/>
                <w:color w:val="auto"/>
                <w:vertAlign w:val="superscript"/>
              </w:rPr>
              <w:t>(3)</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2,047,687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State Street Corporation</w:t>
            </w:r>
            <w:r>
              <w:rPr>
                <w:rFonts w:ascii="Times New Roman" w:cs="Times New Roman" w:eastAsia="Times New Roman" w:hAnsi="Times New Roman"/>
                <w:sz w:val="23"/>
                <w:szCs w:val="23"/>
                <w:color w:val="auto"/>
                <w:vertAlign w:val="superscript"/>
              </w:rPr>
              <w:t>(4)</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1,629,666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(5)</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1,458,380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Joseph E. Payne</w:t>
            </w:r>
            <w:r>
              <w:rPr>
                <w:rFonts w:ascii="Times New Roman" w:cs="Times New Roman" w:eastAsia="Times New Roman" w:hAnsi="Times New Roman"/>
                <w:sz w:val="23"/>
                <w:szCs w:val="23"/>
                <w:color w:val="auto"/>
                <w:vertAlign w:val="superscript"/>
              </w:rPr>
              <w:t>(6)</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2,100,722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Andy Sassine</w:t>
            </w:r>
            <w:r>
              <w:rPr>
                <w:rFonts w:ascii="Times New Roman" w:cs="Times New Roman" w:eastAsia="Times New Roman" w:hAnsi="Times New Roman"/>
                <w:sz w:val="23"/>
                <w:szCs w:val="23"/>
                <w:color w:val="auto"/>
                <w:vertAlign w:val="superscript"/>
              </w:rPr>
              <w:t>(7)</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689,276</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Padmanabh Chivukula</w:t>
            </w:r>
            <w:r>
              <w:rPr>
                <w:rFonts w:ascii="Times New Roman" w:cs="Times New Roman" w:eastAsia="Times New Roman" w:hAnsi="Times New Roman"/>
                <w:sz w:val="23"/>
                <w:szCs w:val="23"/>
                <w:color w:val="auto"/>
                <w:vertAlign w:val="superscript"/>
              </w:rPr>
              <w:t>(8)</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840,948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Lance Kurata </w:t>
            </w:r>
            <w:r>
              <w:rPr>
                <w:rFonts w:ascii="Times New Roman" w:cs="Times New Roman" w:eastAsia="Times New Roman" w:hAnsi="Times New Roman"/>
                <w:sz w:val="23"/>
                <w:szCs w:val="23"/>
                <w:color w:val="auto"/>
                <w:vertAlign w:val="superscript"/>
              </w:rPr>
              <w:t>(9)</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186,250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Peter C Farrell</w:t>
            </w:r>
            <w:r>
              <w:rPr>
                <w:rFonts w:ascii="Times New Roman" w:cs="Times New Roman" w:eastAsia="Times New Roman" w:hAnsi="Times New Roman"/>
                <w:sz w:val="23"/>
                <w:szCs w:val="23"/>
                <w:color w:val="auto"/>
                <w:vertAlign w:val="superscript"/>
              </w:rPr>
              <w:t>(10)</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199,934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Magda Marquet</w:t>
            </w:r>
            <w:r>
              <w:rPr>
                <w:rFonts w:ascii="Times New Roman" w:cs="Times New Roman" w:eastAsia="Times New Roman" w:hAnsi="Times New Roman"/>
                <w:sz w:val="23"/>
                <w:szCs w:val="23"/>
                <w:color w:val="auto"/>
                <w:vertAlign w:val="superscript"/>
              </w:rPr>
              <w:t>(11)</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129,311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James Barlow</w:t>
            </w:r>
            <w:r>
              <w:rPr>
                <w:rFonts w:ascii="Times New Roman" w:cs="Times New Roman" w:eastAsia="Times New Roman" w:hAnsi="Times New Roman"/>
                <w:sz w:val="23"/>
                <w:szCs w:val="23"/>
                <w:color w:val="auto"/>
                <w:vertAlign w:val="superscript"/>
              </w:rPr>
              <w:t>(12)</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114,369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Edward. W. Holmes</w:t>
            </w:r>
            <w:r>
              <w:rPr>
                <w:rFonts w:ascii="Times New Roman" w:cs="Times New Roman" w:eastAsia="Times New Roman" w:hAnsi="Times New Roman"/>
                <w:sz w:val="23"/>
                <w:szCs w:val="23"/>
                <w:color w:val="auto"/>
                <w:vertAlign w:val="superscript"/>
              </w:rPr>
              <w:t>(13)</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91,869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Jing L. Marantz</w:t>
            </w:r>
            <w:r>
              <w:rPr>
                <w:rFonts w:ascii="Times New Roman" w:cs="Times New Roman" w:eastAsia="Times New Roman" w:hAnsi="Times New Roman"/>
                <w:sz w:val="23"/>
                <w:szCs w:val="23"/>
                <w:color w:val="auto"/>
                <w:vertAlign w:val="superscript"/>
              </w:rPr>
              <w:t>(14)</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53,568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John Markels</w:t>
            </w:r>
            <w:r>
              <w:rPr>
                <w:rFonts w:ascii="Times New Roman" w:cs="Times New Roman" w:eastAsia="Times New Roman" w:hAnsi="Times New Roman"/>
                <w:sz w:val="23"/>
                <w:szCs w:val="23"/>
                <w:color w:val="auto"/>
                <w:vertAlign w:val="superscript"/>
              </w:rPr>
              <w:t>(15)</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33,855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(10 persons)</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4,440,102</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6" w:name="page57"/>
    <w:bookmarkEnd w:id="56"/>
    <w:p>
      <w:pPr>
        <w:ind w:left="440" w:right="200" w:hanging="398"/>
        <w:spacing w:after="0" w:line="261"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Schedule 13G filed with the SEC on January 17, 2024. The address of Federated Hermes, Inc. is 1001 Liberty Avenue, Pittsburgh, PA 15222-3779.</w:t>
      </w:r>
    </w:p>
    <w:p>
      <w:pPr>
        <w:ind w:left="440" w:hanging="398"/>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13G/A filed with the SEC on April 5, 2024. The address of BlackRock, Inc. is 55 East 52nd Street New York, NY 10055.</w:t>
      </w:r>
    </w:p>
    <w:p>
      <w:pPr>
        <w:spacing w:after="0" w:line="9" w:lineRule="exact"/>
        <w:rPr>
          <w:rFonts w:ascii="Times New Roman" w:cs="Times New Roman" w:eastAsia="Times New Roman" w:hAnsi="Times New Roman"/>
          <w:sz w:val="18"/>
          <w:szCs w:val="18"/>
          <w:color w:val="auto"/>
        </w:rPr>
      </w:pPr>
    </w:p>
    <w:p>
      <w:pPr>
        <w:ind w:left="440" w:right="100" w:hanging="398"/>
        <w:spacing w:after="0" w:line="182" w:lineRule="auto"/>
        <w:tabs>
          <w:tab w:leader="none" w:pos="440" w:val="left"/>
        </w:tabs>
        <w:numPr>
          <w:ilvl w:val="0"/>
          <w:numId w:val="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Based on a Form 13G/A filed with the SEC on January 29, 2024. The address of ARK Investment Management LLC is 3 East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1" w:lineRule="exact"/>
        <w:rPr>
          <w:rFonts w:ascii="Times New Roman" w:cs="Times New Roman" w:eastAsia="Times New Roman" w:hAnsi="Times New Roman"/>
          <w:sz w:val="36"/>
          <w:szCs w:val="36"/>
          <w:color w:val="auto"/>
          <w:vertAlign w:val="superscript"/>
        </w:rPr>
      </w:pPr>
    </w:p>
    <w:p>
      <w:pPr>
        <w:ind w:left="440" w:right="120" w:hanging="398"/>
        <w:spacing w:after="0" w:line="250"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13G/A filed with the SEC on January 25, 2024. The address of State Street Corporation is State Street Financial Center, 1 Lincoln Street, Boston, MA 02111.</w:t>
      </w:r>
    </w:p>
    <w:p>
      <w:pPr>
        <w:ind w:left="440" w:hanging="398"/>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13G filed with the SEC on February 13, 2024. The address of The Vanguard Group is 100 Vanguard Blvd. Malvern, PA 19355.</w:t>
      </w:r>
    </w:p>
    <w:p>
      <w:pPr>
        <w:spacing w:after="0" w:line="9" w:lineRule="exact"/>
        <w:rPr>
          <w:rFonts w:ascii="Times New Roman" w:cs="Times New Roman" w:eastAsia="Times New Roman" w:hAnsi="Times New Roman"/>
          <w:sz w:val="18"/>
          <w:szCs w:val="18"/>
          <w:color w:val="auto"/>
        </w:rPr>
      </w:pPr>
    </w:p>
    <w:p>
      <w:pPr>
        <w:ind w:left="440" w:right="40" w:hanging="398"/>
        <w:spacing w:after="0" w:line="250"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620,625 shares issuable upon the exercise of options exercisable within 60 days of April 15, 2024; does not include 434,375 shares issuable upon the exercise of options subject to vesting.</w:t>
      </w:r>
    </w:p>
    <w:p>
      <w:pPr>
        <w:ind w:left="440" w:right="40" w:hanging="398"/>
        <w:spacing w:after="0" w:line="250"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418,750 shares issuable upon the exercise of options exercisable within 60 days of April 15, 2024; does not include 197,500 shares issuable upon the exercise of options subject to vesting.</w:t>
      </w:r>
    </w:p>
    <w:p>
      <w:pPr>
        <w:ind w:left="440" w:right="40" w:hanging="398"/>
        <w:spacing w:after="0" w:line="250"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367,500 shares issuable upon the exercise of options exercisable within 60 days of April 15, 2024; does not include 247,500 shares issuable upon the exercise of options subject to vesting.</w:t>
      </w:r>
    </w:p>
    <w:p>
      <w:pPr>
        <w:ind w:left="440" w:right="40" w:hanging="398"/>
        <w:spacing w:after="0" w:line="250"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186,250 shares issuable upon the exercise of options exercisable within 60 days of April 15, 2024; does not include 178,750 shares issuable upon the exercise of options subject to vesting.</w:t>
      </w:r>
    </w:p>
    <w:p>
      <w:pPr>
        <w:ind w:left="440" w:hanging="398"/>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104,369 shares issuable upon the exercise of options exercisable within 60 days of April 15, 2024.</w:t>
      </w:r>
    </w:p>
    <w:p>
      <w:pPr>
        <w:spacing w:after="0" w:line="9" w:lineRule="exact"/>
        <w:rPr>
          <w:rFonts w:ascii="Times New Roman" w:cs="Times New Roman" w:eastAsia="Times New Roman" w:hAnsi="Times New Roman"/>
          <w:sz w:val="18"/>
          <w:szCs w:val="18"/>
          <w:color w:val="auto"/>
        </w:rPr>
      </w:pPr>
    </w:p>
    <w:p>
      <w:pPr>
        <w:ind w:left="440" w:hanging="398"/>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104,369 shares issuable upon the exercise of options exercisable within 60 days of April 15, 2024.</w:t>
      </w:r>
    </w:p>
    <w:p>
      <w:pPr>
        <w:spacing w:after="0" w:line="9" w:lineRule="exact"/>
        <w:rPr>
          <w:rFonts w:ascii="Times New Roman" w:cs="Times New Roman" w:eastAsia="Times New Roman" w:hAnsi="Times New Roman"/>
          <w:sz w:val="18"/>
          <w:szCs w:val="18"/>
          <w:color w:val="auto"/>
        </w:rPr>
      </w:pPr>
    </w:p>
    <w:p>
      <w:pPr>
        <w:ind w:left="440" w:hanging="398"/>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104,369 shares issuable upon the exercise of options exercisable within 60 days of April 15, 2024.</w:t>
      </w:r>
    </w:p>
    <w:p>
      <w:pPr>
        <w:spacing w:after="0" w:line="9" w:lineRule="exact"/>
        <w:rPr>
          <w:rFonts w:ascii="Times New Roman" w:cs="Times New Roman" w:eastAsia="Times New Roman" w:hAnsi="Times New Roman"/>
          <w:sz w:val="18"/>
          <w:szCs w:val="18"/>
          <w:color w:val="auto"/>
        </w:rPr>
      </w:pPr>
    </w:p>
    <w:p>
      <w:pPr>
        <w:ind w:left="440" w:hanging="398"/>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91,869 shares issuable upon the exercise of options exercisable within 60 days of April 15, 2024.</w:t>
      </w:r>
    </w:p>
    <w:p>
      <w:pPr>
        <w:spacing w:after="0" w:line="9" w:lineRule="exact"/>
        <w:rPr>
          <w:rFonts w:ascii="Times New Roman" w:cs="Times New Roman" w:eastAsia="Times New Roman" w:hAnsi="Times New Roman"/>
          <w:sz w:val="18"/>
          <w:szCs w:val="18"/>
          <w:color w:val="auto"/>
        </w:rPr>
      </w:pPr>
    </w:p>
    <w:p>
      <w:pPr>
        <w:ind w:left="440" w:hanging="398"/>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53,568 shares issuable upon the exercise of options exercisable within 60 days of April 15, 2024.</w:t>
      </w:r>
    </w:p>
    <w:p>
      <w:pPr>
        <w:spacing w:after="0" w:line="9" w:lineRule="exact"/>
        <w:rPr>
          <w:rFonts w:ascii="Times New Roman" w:cs="Times New Roman" w:eastAsia="Times New Roman" w:hAnsi="Times New Roman"/>
          <w:sz w:val="18"/>
          <w:szCs w:val="18"/>
          <w:color w:val="auto"/>
        </w:rPr>
      </w:pPr>
    </w:p>
    <w:p>
      <w:pPr>
        <w:ind w:left="440" w:right="320" w:hanging="398"/>
        <w:spacing w:after="0" w:line="260"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33,855 shares issuable upon the exercise of options exercisable within 60 days of April 15, 2024; does not include 5,000 shares issuable upon the exercise of options subject to vesting.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solely on our review of the copies of such forms we have received and written representations from certain reporting persons that they filed all required reports, we believe that all of our officers, directors and 10% stockholders complied with all Section 16(a) filing requirements applicable to them with respect to transactions during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Annual Report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financial statements for our fiscal year ended December 31, 2023 are included in our 2023 annual report, which we will make available to stockholders at the same time as this proxy statement. This proxy statement and our 2023 annual report are posted on our website at http://www.arcturusrx.com at the website of the SEC at www.sec.gov. </w:t>
      </w:r>
      <w:r>
        <w:rPr>
          <w:rFonts w:ascii="Times New Roman" w:cs="Times New Roman" w:eastAsia="Times New Roman" w:hAnsi="Times New Roman"/>
          <w:sz w:val="18"/>
          <w:szCs w:val="18"/>
          <w:b w:val="1"/>
          <w:bCs w:val="1"/>
          <w:color w:val="auto"/>
        </w:rPr>
        <w:t>You may also obtain a copy of our 2023 annual report without charge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sending a written request to us at Arcturus Therapeutics Holdings Inc., 10628 Science Center Drive, Suite 250, San Diego, California 92121, Attention: Investor Relations.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Website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 website at http://www.arcturusrx.com. Information contained on, or that can be accessed through, our website is not intended to be incorporated by reference into this proxy statement.</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29" w:right="359" w:bottom="1440" w:gutter="0" w:footer="0" w:header="0"/>
        </w:sectPr>
      </w:pPr>
    </w:p>
    <w:bookmarkStart w:id="57" w:name="page58"/>
    <w:bookmarkEnd w:id="57"/>
    <w:p>
      <w:pPr>
        <w:ind w:left="2880"/>
        <w:spacing w:after="0"/>
        <w:rPr>
          <w:sz w:val="20"/>
          <w:szCs w:val="20"/>
          <w:color w:val="auto"/>
        </w:rPr>
      </w:pPr>
      <w:r>
        <w:rPr>
          <w:rFonts w:ascii="Times New Roman" w:cs="Times New Roman" w:eastAsia="Times New Roman" w:hAnsi="Times New Roman"/>
          <w:sz w:val="18"/>
          <w:szCs w:val="18"/>
          <w:b w:val="1"/>
          <w:bCs w:val="1"/>
          <w:color w:val="auto"/>
        </w:rPr>
        <w:t>PROPOSALS OF STOCKHOLDERS FOR 2025 ANNUAL MEETING</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 Proposals for Inclusion in Proxy Statement</w:t>
      </w:r>
    </w:p>
    <w:p>
      <w:pPr>
        <w:spacing w:after="0" w:line="229"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the close of business on December 30, 2024. In addition, stockholder proposals must comply with the requirements of Rule 14a-8 under the Exchange Act regarding the inclusion of stockholder proposals in company-sponsored proxy materials. Proposals should be addressed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 Not for Inclusion in Proxy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(i) present a proposal before an annual meeting of stockholders, but do not intend for the proposal to be included in our proxy statement or (ii) nominate directors for election at an annual meeting of stockholders. In addition to satisfying all the requirements under the Company’s bylaws, to comply with the SEC’s new universal proxy rules for the Company’s 2024 annual meeting, stockholders who intend to solicit proxies in support of director nominees other than the Company’s nominees must provide notice that sets forth all of the information required by Rule 14a-19 under the Exchange Act, the stockholder must have given timely notice of such proposal or nomination, in proper written form. If the stockholder does not also comply with the requirements of Rule 14a-4(c)(2) under the Exchange Act, we may exercise discretionary voting authority under proxies that we solicit to vote in accordance with our best judgment on any such stockholder proposal or nomination. To make a submission or to request a copy of our amended and restated bylaws, stockholders should contact our Corporate Secretary. To be timely for our 2025 annual meeting of stockholders, a stockholder’s notice of a matter that the stockholder wishes to present, or the person or persons the stockholder wishes to nominate as a director, must be delivered to the corporate secretary at Arcturus’ principal executive offices not less than 45 days and not more than 75 days prior to the first anniversary of the date of the mailing of the materials for the preceding year’s annual meeting of stockholders. As a result, any written notice given by a stockholder pursuant to these provisions of our bylaws must be received by our corporate secretary at our principal executive offices:</w:t>
      </w:r>
    </w:p>
    <w:p>
      <w:pPr>
        <w:spacing w:after="0" w:line="190"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February 15, 2025,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March 17, 2025</w:t>
      </w:r>
    </w:p>
    <w:p>
      <w:pPr>
        <w:spacing w:after="0" w:line="252"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2025 annual meeting of stockholders more than 30 days before or more than 30 days after the one-year anniversary date of the 2024 annual meeting, then such written notice must be received no later than the close of business on the later of the following two dates:</w:t>
      </w:r>
    </w:p>
    <w:p>
      <w:pPr>
        <w:spacing w:after="0" w:line="162"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prior to such annual meeting, or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10th day following the day on which public announcement of the date of such meeting is first made.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be in proper written form, a stockholder’s notice must include the specified information concerning the proposal or nominee as described in our bylaws.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Notices should be addressed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stockholder recommendations for director candidates, please see the section entitled “Requirements for Stockholder Recommendations of a Candidate to our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We know of no other matters to be submitted at the 2024 annual meeting. If any other matters properly come before the 2024 annual meeting, it is the intention of the persons named in the proxy to vote the shares they represent as the Board may recommend. Discretionary authority with respect to such other matters is granted by a properly submitted proxy.</w:t>
      </w:r>
    </w:p>
    <w:p>
      <w:pPr>
        <w:spacing w:after="0" w:line="176"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be represented at the 2024 annual meeting, regardless of the number of shares that you hold. You are, therefore, urged to vote as promptly as possible to ensure your vote is recorded.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2024</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&amp; RESTATED 2019 OMNIBUS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(Originally Effective June 10, 2019; Amended &amp; Restated Effective June 5, 2020; Amended Effective June 21, 2022; Amended Effective [___],</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OBJECTIVES AND DURATION</w:t>
      </w:r>
    </w:p>
    <w:p>
      <w:pPr>
        <w:spacing w:after="0" w:line="20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Effective Date of the Plan</w:t>
      </w:r>
      <w:r>
        <w:rPr>
          <w:rFonts w:ascii="Times New Roman" w:cs="Times New Roman" w:eastAsia="Times New Roman" w:hAnsi="Times New Roman"/>
          <w:sz w:val="18"/>
          <w:szCs w:val="18"/>
          <w:color w:val="auto"/>
        </w:rPr>
        <w:t>. The Board of Directors of ARCTURUS THERAPEUTICS HOLDINGS INC., a Delaware corporation (the “Company”), originally adopted the 2019 OMNIBUS EQUITY INCENTIVE PLAN, as amended and restated to date (the “Plan”) effective as of June 10, 2019. An amendment and restatement of the Plan was adopted by the Board on April 26, 2020 and became effective June 5, 2020 upon approval by the Company’s stockholders. An amendment to the amended and restated Plan became effective on June 21, 2022 upon approval by the Company’s stockholders. The most recent amendment of the Plan was adopted by the Board on February 20, 2024 and became effective on [___], upon approval by the Company’s stockholder (the “Effective Date”).</w:t>
      </w:r>
    </w:p>
    <w:p>
      <w:pPr>
        <w:spacing w:after="0" w:line="187" w:lineRule="exact"/>
        <w:rPr>
          <w:sz w:val="20"/>
          <w:szCs w:val="20"/>
          <w:color w:val="auto"/>
        </w:rPr>
      </w:pPr>
    </w:p>
    <w:p>
      <w:pPr>
        <w:ind w:right="160" w:firstLine="441"/>
        <w:spacing w:after="0" w:line="26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Objectives of the Plan</w:t>
      </w:r>
      <w:r>
        <w:rPr>
          <w:rFonts w:ascii="Times New Roman" w:cs="Times New Roman" w:eastAsia="Times New Roman" w:hAnsi="Times New Roman"/>
          <w:sz w:val="17"/>
          <w:szCs w:val="17"/>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w:t>
      </w:r>
    </w:p>
    <w:p>
      <w:pPr>
        <w:spacing w:after="0" w:line="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such Non-Employee Directors of a greater proprietary interest in the Company, thereby aligning such Non-Employee Directors’ interests more closely with the interests of the Company’s stockholders.</w:t>
      </w:r>
    </w:p>
    <w:p>
      <w:pPr>
        <w:spacing w:after="0" w:line="18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provided, however, in no event may an Incentive Stock Option be granted more than ten years after the earlier of (i) the date of the most recent adoption of the Plan by the Board or (ii) the Effective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Whenever used in the Plan, the following terms shall have the meanings set forth below:</w:t>
      </w:r>
    </w:p>
    <w:p>
      <w:pPr>
        <w:spacing w:after="0" w:line="225"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0" w:name="page61"/>
    <w:bookmarkEnd w:id="60"/>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Bonus Shares</w:t>
      </w:r>
      <w:r>
        <w:rPr>
          <w:rFonts w:ascii="Times New Roman" w:cs="Times New Roman" w:eastAsia="Times New Roman" w:hAnsi="Times New Roman"/>
          <w:sz w:val="18"/>
          <w:szCs w:val="18"/>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otherwise defined in an Award Agreement:</w:t>
      </w:r>
    </w:p>
    <w:p>
      <w:pPr>
        <w:spacing w:after="0" w:line="225" w:lineRule="exact"/>
        <w:rPr>
          <w:sz w:val="20"/>
          <w:szCs w:val="20"/>
          <w:color w:val="auto"/>
        </w:rPr>
      </w:pPr>
    </w:p>
    <w:p>
      <w:pPr>
        <w:ind w:left="1140" w:hanging="251"/>
        <w:spacing w:after="0"/>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any act by a Grantee constituting a felony or crime of moral turpitude (or their equivalent in a non-United States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w:t>
      </w:r>
    </w:p>
    <w:p>
      <w:pPr>
        <w:spacing w:after="0" w:line="20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fraud, intentional misrepresentation, or harassment which, as determined in good faith by the Committee, would:</w:t>
      </w:r>
    </w:p>
    <w:p>
      <w:pPr>
        <w:spacing w:after="0" w:line="27" w:lineRule="exact"/>
        <w:rPr>
          <w:rFonts w:ascii="Times New Roman" w:cs="Times New Roman" w:eastAsia="Times New Roman" w:hAnsi="Times New Roman"/>
          <w:sz w:val="18"/>
          <w:szCs w:val="18"/>
          <w:color w:val="auto"/>
        </w:rPr>
      </w:pPr>
    </w:p>
    <w:p>
      <w:pPr>
        <w:ind w:firstLine="8"/>
        <w:spacing w:after="0" w:line="255"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misconduct in violation of the Company’s or an Affiliate’s written policies; or</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and deliberate non-performance of the Grantee’s duties in connection with the business affairs of the Company or its Affiliates;</w:t>
      </w:r>
    </w:p>
    <w:p>
      <w:pPr>
        <w:spacing w:after="0" w:line="223" w:lineRule="exact"/>
        <w:rPr>
          <w:sz w:val="20"/>
          <w:szCs w:val="20"/>
          <w:color w:val="auto"/>
        </w:rPr>
      </w:pPr>
    </w:p>
    <w:p>
      <w:pPr>
        <w:jc w:val="both"/>
        <w:ind w:right="6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Grantee has a written employment or consulting agreement with the Company or any of its Affiliates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means the Chief Executive Officer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Section 16.4(e).</w:t>
      </w:r>
    </w:p>
    <w:p>
      <w:pPr>
        <w:spacing w:after="0" w:line="225"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Incentive Plan Committee</w:t>
      </w:r>
      <w:r>
        <w:rPr>
          <w:rFonts w:ascii="Times New Roman" w:cs="Times New Roman" w:eastAsia="Times New Roman" w:hAnsi="Times New Roman"/>
          <w:sz w:val="18"/>
          <w:szCs w:val="18"/>
          <w:color w:val="auto"/>
        </w:rPr>
        <w:t>” has the meaning set forth in Section 3.1(a).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$0.001 par value,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shall have the meaning set forth in Section 4.2(b).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means a right, granted under Article 10, to receive Shares at the end of a specified deferral period.</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means, unless otherwise defined in an Award Agreement, or as otherwise determined under procedures established by the Committee for purposes of the Plan:</w:t>
      </w:r>
    </w:p>
    <w:p>
      <w:pPr>
        <w:spacing w:after="0" w:line="162" w:lineRule="exact"/>
        <w:rPr>
          <w:sz w:val="20"/>
          <w:szCs w:val="20"/>
          <w:color w:val="auto"/>
        </w:rPr>
      </w:pPr>
    </w:p>
    <w:p>
      <w:pPr>
        <w:ind w:left="1140" w:hanging="251"/>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(b) below, a disability within the meaning of Section 22(e)(3) of the Code; and</w:t>
      </w:r>
    </w:p>
    <w:p>
      <w:pPr>
        <w:spacing w:after="0" w:line="225" w:lineRule="exact"/>
        <w:rPr>
          <w:rFonts w:ascii="Times New Roman" w:cs="Times New Roman" w:eastAsia="Times New Roman" w:hAnsi="Times New Roman"/>
          <w:sz w:val="18"/>
          <w:szCs w:val="18"/>
          <w:color w:val="auto"/>
        </w:rPr>
      </w:pPr>
    </w:p>
    <w:p>
      <w:pPr>
        <w:ind w:right="80" w:firstLine="889"/>
        <w:spacing w:after="0" w:line="282" w:lineRule="auto"/>
        <w:tabs>
          <w:tab w:leader="none" w:pos="11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1" w:name="page62"/>
    <w:bookmarkEnd w:id="61"/>
    <w:p>
      <w:pPr>
        <w:ind w:left="880" w:right="160" w:firstLine="450"/>
        <w:spacing w:after="0" w:line="282" w:lineRule="auto"/>
        <w:tabs>
          <w:tab w:leader="none" w:pos="15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61" w:lineRule="exact"/>
        <w:rPr>
          <w:rFonts w:ascii="Times New Roman" w:cs="Times New Roman" w:eastAsia="Times New Roman" w:hAnsi="Times New Roman"/>
          <w:sz w:val="18"/>
          <w:szCs w:val="18"/>
          <w:color w:val="auto"/>
        </w:rPr>
      </w:pPr>
    </w:p>
    <w:p>
      <w:pPr>
        <w:jc w:val="both"/>
        <w:ind w:left="880" w:right="180" w:firstLine="450"/>
        <w:spacing w:after="0" w:line="266" w:lineRule="auto"/>
        <w:tabs>
          <w:tab w:leader="none" w:pos="15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76"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means a right to receive payments equal to dividends or property, if and when paid or distributed, on a specified number of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Section 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individual who is an employee (including any officer) of, a non-employee consultant to, or a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 of, the Company or any Affiliate; provided, however, that solely with respect to the grant of an Incentive Stock Option, an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shall be any employee (including any officer) of the Company or any Subsidiary Corporation. Notwithstanding the foregoing, an Eligible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also include an individual who is expected to become an employee to, non-employee consultant of or Non-Employee Director of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within a reasonable period of time after the grant of an Award (other than an Incentive Stock Option); provided that any Award granted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individual shall be automatically terminated and cancelled without consideration if the individual does not begin performing services for the Company</w:t>
      </w:r>
    </w:p>
    <w:p>
      <w:pPr>
        <w:spacing w:after="0" w:line="9"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18"/>
          <w:szCs w:val="18"/>
          <w:color w:val="auto"/>
        </w:rPr>
        <w:t>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8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References to a particular section of the Exchange Act include references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(a) with respect to an Option, the price at which a Share may be purchased by a Grantee pursuant to such Option or</w:t>
      </w:r>
    </w:p>
    <w:p>
      <w:pPr>
        <w:spacing w:after="0" w:line="27" w:lineRule="exact"/>
        <w:rPr>
          <w:sz w:val="20"/>
          <w:szCs w:val="20"/>
          <w:color w:val="auto"/>
        </w:rPr>
      </w:pPr>
    </w:p>
    <w:p>
      <w:pPr>
        <w:ind w:right="180" w:firstLine="8"/>
        <w:spacing w:after="0" w:line="260"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the date on which an Award is granted or such later date as specified in advance by the Committee.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 person who has been granted an Award.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meet the requirements of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means “including, without limitation,” or “includes, without limitation,”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2" w:name="page63"/>
    <w:bookmarkEnd w:id="62"/>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means a Non-Employee Director who has been appointed as lead independent director by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Management Committee</w:t>
      </w:r>
      <w:r>
        <w:rPr>
          <w:rFonts w:ascii="Times New Roman" w:cs="Times New Roman" w:eastAsia="Times New Roman" w:hAnsi="Times New Roman"/>
          <w:sz w:val="18"/>
          <w:szCs w:val="18"/>
          <w:color w:val="auto"/>
        </w:rPr>
        <w:t>” has the meaning set forth in Section 3.1(b).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of the Company or any Affiliate.</w:t>
      </w:r>
    </w:p>
    <w:p>
      <w:pPr>
        <w:spacing w:after="0" w:line="225"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Non-Employee Director Chair</w:t>
      </w:r>
      <w:r>
        <w:rPr>
          <w:rFonts w:ascii="Times New Roman" w:cs="Times New Roman" w:eastAsia="Times New Roman" w:hAnsi="Times New Roman"/>
          <w:sz w:val="18"/>
          <w:szCs w:val="18"/>
          <w:color w:val="auto"/>
        </w:rPr>
        <w:t>” means a Non-Employee Director who has been appointed to act as chair of one or more committees of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granted under Article 6 of the Plan.</w:t>
      </w:r>
    </w:p>
    <w:p>
      <w:pPr>
        <w:spacing w:after="0" w:line="225"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means a right, granted under Article 13 hereof, that relates to or is valued by reference to Shares or other Awards relating to Shares.</w:t>
      </w:r>
    </w:p>
    <w:p>
      <w:pPr>
        <w:spacing w:after="0" w:line="162"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with respect to an Award of Performance Shares or Performance Units, the period of time during which the performance vesting conditions applicable to such Award must be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have the respective meanings set forth in Article 9.</w:t>
      </w:r>
    </w:p>
    <w:p>
      <w:pPr>
        <w:spacing w:after="0" w:line="225"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Restricted Shares are subject to forfeiture if the conditions specified in the Award Agreement are not satisfied.</w:t>
      </w:r>
    </w:p>
    <w:p>
      <w:pPr>
        <w:spacing w:after="0" w:line="162" w:lineRule="exact"/>
        <w:rPr>
          <w:sz w:val="20"/>
          <w:szCs w:val="20"/>
          <w:color w:val="auto"/>
        </w:rPr>
      </w:pPr>
    </w:p>
    <w:p>
      <w:pPr>
        <w:ind w:right="380" w:firstLine="441"/>
        <w:spacing w:after="0" w:line="312" w:lineRule="auto"/>
        <w:rPr>
          <w:sz w:val="20"/>
          <w:szCs w:val="20"/>
          <w:color w:val="auto"/>
        </w:rPr>
      </w:pPr>
      <w:r>
        <w:rPr>
          <w:rFonts w:ascii="Times New Roman" w:cs="Times New Roman" w:eastAsia="Times New Roman" w:hAnsi="Times New Roman"/>
          <w:sz w:val="17"/>
          <w:szCs w:val="17"/>
          <w:color w:val="auto"/>
        </w:rPr>
        <w:t>2.35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40"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162"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are rights, granted under Article 10, to receive Shares (or cash in lieu thereof) if the Grantee satisfies the conditions specified in the Award Agreement applicable to such rights.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by the SEC under the Exchange Act, as amended from time to time, together with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successor thereto.</w:t>
      </w:r>
    </w:p>
    <w:p>
      <w:pPr>
        <w:spacing w:after="0" w:line="225"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Section 16 Non-Employee Director</w:t>
      </w:r>
      <w:r>
        <w:rPr>
          <w:rFonts w:ascii="Times New Roman" w:cs="Times New Roman" w:eastAsia="Times New Roman" w:hAnsi="Times New Roman"/>
          <w:sz w:val="18"/>
          <w:szCs w:val="18"/>
          <w:color w:val="auto"/>
        </w:rPr>
        <w:t>” means a member of the Board who satisfies the requirements to qualify as a “non-employee director” under Rule 16b-3.</w:t>
      </w:r>
    </w:p>
    <w:p>
      <w:pPr>
        <w:spacing w:after="0" w:line="162"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Section 16 Person</w:t>
      </w:r>
      <w:r>
        <w:rPr>
          <w:rFonts w:ascii="Times New Roman" w:cs="Times New Roman" w:eastAsia="Times New Roman" w:hAnsi="Times New Roman"/>
          <w:sz w:val="18"/>
          <w:szCs w:val="18"/>
          <w:color w:val="auto"/>
        </w:rPr>
        <w:t>” means a person who is subject to potential liability under Section 16(b) of the Exchange Act with respect to transactions involving equity securities of the Company.</w:t>
      </w:r>
    </w:p>
    <w:p>
      <w:pPr>
        <w:spacing w:after="0" w:line="16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 and such other securities of the Company, as may be substituted or resubstituted for Shares pursuant to Section 4.2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 Award granted under Article 7 of the Plan.</w:t>
      </w:r>
    </w:p>
    <w:p>
      <w:pPr>
        <w:spacing w:after="0" w:line="225"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Subsidiary Corporation</w:t>
      </w:r>
      <w:r>
        <w:rPr>
          <w:rFonts w:ascii="Times New Roman" w:cs="Times New Roman" w:eastAsia="Times New Roman" w:hAnsi="Times New Roman"/>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76"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176"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Termination of Affiliation</w:t>
      </w:r>
      <w:r>
        <w:rPr>
          <w:rFonts w:ascii="Times New Roman" w:cs="Times New Roman" w:eastAsia="Times New Roman" w:hAnsi="Times New Roman"/>
          <w:sz w:val="18"/>
          <w:szCs w:val="18"/>
          <w:color w:val="auto"/>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6" w:lineRule="auto"/>
        <w:tabs>
          <w:tab w:leader="none" w:pos="11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187" w:lineRule="exact"/>
        <w:rPr>
          <w:rFonts w:ascii="Times New Roman" w:cs="Times New Roman" w:eastAsia="Times New Roman" w:hAnsi="Times New Roman"/>
          <w:sz w:val="18"/>
          <w:szCs w:val="18"/>
          <w:color w:val="auto"/>
        </w:rPr>
      </w:pPr>
    </w:p>
    <w:p>
      <w:pPr>
        <w:ind w:right="240" w:firstLine="889"/>
        <w:spacing w:after="0" w:line="266" w:lineRule="auto"/>
        <w:tabs>
          <w:tab w:leader="none" w:pos="11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ind w:firstLine="889"/>
        <w:spacing w:after="0" w:line="256" w:lineRule="auto"/>
        <w:tabs>
          <w:tab w:leader="none" w:pos="112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8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80" w:lineRule="exact"/>
        <w:rPr>
          <w:sz w:val="20"/>
          <w:szCs w:val="20"/>
          <w:color w:val="auto"/>
        </w:rPr>
      </w:pPr>
    </w:p>
    <w:p>
      <w:pPr>
        <w:ind w:left="1140" w:hanging="251"/>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to whom and in what types and amounts Awards should be granted;</w:t>
      </w:r>
    </w:p>
    <w:p>
      <w:pPr>
        <w:spacing w:after="0" w:line="225" w:lineRule="exact"/>
        <w:rPr>
          <w:rFonts w:ascii="Times New Roman" w:cs="Times New Roman" w:eastAsia="Times New Roman" w:hAnsi="Times New Roman"/>
          <w:sz w:val="18"/>
          <w:szCs w:val="18"/>
          <w:color w:val="auto"/>
        </w:rPr>
      </w:pPr>
    </w:p>
    <w:p>
      <w:pPr>
        <w:ind w:right="40" w:firstLine="889"/>
        <w:spacing w:after="0" w:line="258" w:lineRule="auto"/>
        <w:tabs>
          <w:tab w:leader="none" w:pos="11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183" w:lineRule="exact"/>
        <w:rPr>
          <w:rFonts w:ascii="Times New Roman" w:cs="Times New Roman" w:eastAsia="Times New Roman" w:hAnsi="Times New Roman"/>
          <w:sz w:val="18"/>
          <w:szCs w:val="18"/>
          <w:color w:val="auto"/>
        </w:rPr>
      </w:pPr>
    </w:p>
    <w:p>
      <w:pPr>
        <w:ind w:right="20" w:firstLine="889"/>
        <w:spacing w:after="0" w:line="282" w:lineRule="auto"/>
        <w:tabs>
          <w:tab w:leader="none" w:pos="11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161" w:lineRule="exact"/>
        <w:rPr>
          <w:rFonts w:ascii="Times New Roman" w:cs="Times New Roman" w:eastAsia="Times New Roman" w:hAnsi="Times New Roman"/>
          <w:sz w:val="18"/>
          <w:szCs w:val="18"/>
          <w:color w:val="auto"/>
        </w:rPr>
      </w:pPr>
    </w:p>
    <w:p>
      <w:pPr>
        <w:ind w:right="340" w:firstLine="889"/>
        <w:spacing w:after="0" w:line="282" w:lineRule="auto"/>
        <w:tabs>
          <w:tab w:leader="none" w:pos="11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 of any Option or SAR;</w:t>
      </w:r>
    </w:p>
    <w:p>
      <w:pPr>
        <w:spacing w:after="0" w:line="225" w:lineRule="exact"/>
        <w:rPr>
          <w:rFonts w:ascii="Times New Roman" w:cs="Times New Roman" w:eastAsia="Times New Roman" w:hAnsi="Times New Roman"/>
          <w:sz w:val="18"/>
          <w:szCs w:val="18"/>
          <w:color w:val="auto"/>
        </w:rPr>
      </w:pPr>
    </w:p>
    <w:p>
      <w:pPr>
        <w:ind w:right="60" w:firstLine="889"/>
        <w:spacing w:after="0" w:line="266" w:lineRule="auto"/>
        <w:tabs>
          <w:tab w:leader="none" w:pos="11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75" w:lineRule="exact"/>
        <w:rPr>
          <w:rFonts w:ascii="Times New Roman" w:cs="Times New Roman" w:eastAsia="Times New Roman" w:hAnsi="Times New Roman"/>
          <w:sz w:val="18"/>
          <w:szCs w:val="18"/>
          <w:color w:val="auto"/>
        </w:rPr>
      </w:pPr>
    </w:p>
    <w:p>
      <w:pPr>
        <w:ind w:right="20" w:firstLine="889"/>
        <w:spacing w:after="0" w:line="261" w:lineRule="auto"/>
        <w:tabs>
          <w:tab w:leader="none" w:pos="11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79" w:lineRule="exact"/>
        <w:rPr>
          <w:rFonts w:ascii="Times New Roman" w:cs="Times New Roman" w:eastAsia="Times New Roman" w:hAnsi="Times New Roman"/>
          <w:sz w:val="18"/>
          <w:szCs w:val="18"/>
          <w:color w:val="auto"/>
        </w:rPr>
      </w:pPr>
    </w:p>
    <w:p>
      <w:pPr>
        <w:ind w:firstLine="889"/>
        <w:spacing w:after="0" w:line="266" w:lineRule="auto"/>
        <w:tabs>
          <w:tab w:leader="none" w:pos="11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17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offer to exchange or buy out any previously granted Award for a payment in cash, Shares or other Award;</w:t>
      </w:r>
    </w:p>
    <w:p>
      <w:pPr>
        <w:spacing w:after="0" w:line="225" w:lineRule="exact"/>
        <w:rPr>
          <w:rFonts w:ascii="Times New Roman" w:cs="Times New Roman" w:eastAsia="Times New Roman" w:hAnsi="Times New Roman"/>
          <w:sz w:val="18"/>
          <w:szCs w:val="18"/>
          <w:color w:val="auto"/>
        </w:rPr>
      </w:pPr>
    </w:p>
    <w:p>
      <w:pPr>
        <w:ind w:right="780" w:firstLine="889"/>
        <w:spacing w:after="0" w:line="282" w:lineRule="auto"/>
        <w:tabs>
          <w:tab w:leader="none" w:pos="10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to make all determinations, including factual determinations, necessary or advisable for the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65" w:name="page66"/>
    <w:bookmarkEnd w:id="65"/>
    <w:p>
      <w:pPr>
        <w:ind w:left="1140" w:hanging="251"/>
        <w:spacing w:after="0"/>
        <w:tabs>
          <w:tab w:leader="none" w:pos="11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amend, suspend, waive and rescind rules and regulations relating to the Plan;</w:t>
      </w:r>
    </w:p>
    <w:p>
      <w:pPr>
        <w:spacing w:after="0" w:line="22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such agents as the Committee may deem necessary or advisable to administer the Plan;</w:t>
      </w:r>
    </w:p>
    <w:p>
      <w:pPr>
        <w:spacing w:after="0" w:line="225" w:lineRule="exact"/>
        <w:rPr>
          <w:rFonts w:ascii="Times New Roman" w:cs="Times New Roman" w:eastAsia="Times New Roman" w:hAnsi="Times New Roman"/>
          <w:sz w:val="18"/>
          <w:szCs w:val="18"/>
          <w:color w:val="auto"/>
        </w:rPr>
      </w:pPr>
    </w:p>
    <w:p>
      <w:pPr>
        <w:ind w:right="40" w:firstLine="889"/>
        <w:spacing w:after="0" w:line="272" w:lineRule="auto"/>
        <w:tabs>
          <w:tab w:leader="none" w:pos="1186"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w:t>
      </w:r>
    </w:p>
    <w:p>
      <w:pPr>
        <w:spacing w:after="0" w:line="1" w:lineRule="exact"/>
        <w:rPr>
          <w:rFonts w:ascii="Times New Roman" w:cs="Times New Roman" w:eastAsia="Times New Roman" w:hAnsi="Times New Roman"/>
          <w:sz w:val="17"/>
          <w:szCs w:val="17"/>
          <w:color w:val="auto"/>
        </w:rPr>
      </w:pPr>
    </w:p>
    <w:p>
      <w:pPr>
        <w:ind w:right="20" w:firstLine="8"/>
        <w:spacing w:after="0" w:line="260"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8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with the consent of the Grantee, outstanding Awards and to grant new Awards in substitution therefor;</w:t>
      </w:r>
    </w:p>
    <w:p>
      <w:pPr>
        <w:spacing w:after="0" w:line="225" w:lineRule="exact"/>
        <w:rPr>
          <w:rFonts w:ascii="Times New Roman" w:cs="Times New Roman" w:eastAsia="Times New Roman" w:hAnsi="Times New Roman"/>
          <w:sz w:val="18"/>
          <w:szCs w:val="18"/>
          <w:color w:val="auto"/>
        </w:rPr>
      </w:pPr>
    </w:p>
    <w:p>
      <w:pPr>
        <w:ind w:right="20" w:firstLine="889"/>
        <w:spacing w:after="0" w:line="312" w:lineRule="auto"/>
        <w:tabs>
          <w:tab w:leader="none" w:pos="113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139" w:lineRule="exact"/>
        <w:rPr>
          <w:rFonts w:ascii="Times New Roman" w:cs="Times New Roman" w:eastAsia="Times New Roman" w:hAnsi="Times New Roman"/>
          <w:sz w:val="17"/>
          <w:szCs w:val="17"/>
          <w:color w:val="auto"/>
        </w:rPr>
      </w:pPr>
    </w:p>
    <w:p>
      <w:pPr>
        <w:jc w:val="both"/>
        <w:ind w:right="80" w:firstLine="889"/>
        <w:spacing w:after="0" w:line="266" w:lineRule="auto"/>
        <w:tabs>
          <w:tab w:leader="none" w:pos="11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161" w:lineRule="exact"/>
        <w:rPr>
          <w:rFonts w:ascii="Times New Roman" w:cs="Times New Roman" w:eastAsia="Times New Roman" w:hAnsi="Times New Roman"/>
          <w:sz w:val="18"/>
          <w:szCs w:val="18"/>
          <w:color w:val="auto"/>
        </w:rPr>
      </w:pPr>
    </w:p>
    <w:p>
      <w:pPr>
        <w:ind w:right="340" w:firstLine="889"/>
        <w:spacing w:after="0" w:line="282" w:lineRule="auto"/>
        <w:tabs>
          <w:tab w:leader="none" w:pos="110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62"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 Repricings</w:t>
      </w:r>
      <w:r>
        <w:rPr>
          <w:rFonts w:ascii="Times New Roman" w:cs="Times New Roman" w:eastAsia="Times New Roman" w:hAnsi="Times New Roman"/>
          <w:sz w:val="18"/>
          <w:szCs w:val="18"/>
          <w:color w:val="auto"/>
        </w:rPr>
        <w:t>. Notwithstanding any provision in Section 3.2 to the contrary, the terms of any outstanding Option or SAR may not be amended:</w:t>
      </w:r>
    </w:p>
    <w:p>
      <w:pPr>
        <w:spacing w:after="0" w:line="27" w:lineRule="exact"/>
        <w:rPr>
          <w:sz w:val="20"/>
          <w:szCs w:val="20"/>
          <w:color w:val="auto"/>
        </w:rPr>
      </w:pPr>
    </w:p>
    <w:p>
      <w:pPr>
        <w:ind w:right="60" w:firstLine="8"/>
        <w:spacing w:after="0" w:line="252"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 Available for Grants</w:t>
      </w:r>
      <w:r>
        <w:rPr>
          <w:rFonts w:ascii="Times New Roman" w:cs="Times New Roman" w:eastAsia="Times New Roman" w:hAnsi="Times New Roman"/>
          <w:sz w:val="18"/>
          <w:szCs w:val="18"/>
          <w:color w:val="auto"/>
        </w:rPr>
        <w:t>. Subject to adjustment as provided in Section 4.2 and the share counting provisions in this Section 4.1, and except as provided in Section 5.6(b), as of the Effective Date, the maximum number of Shares hereby reserved for delivery pursuant to Awards granted under the Plan shall be 10,750,000 Shares. Up to a maximum of 10,750,000 Shares may be delivered pursuant to the exercise of Incentive Stock Options granted hereunder.</w:t>
      </w:r>
    </w:p>
    <w:p>
      <w:pPr>
        <w:spacing w:after="0" w:line="180"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spacing w:after="0" w:line="187"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Shares delivered pursuant to the Plan may be, in whole or in part, authorized and unissued Shares, or treasury Shares, including Shares repurchased by the Company for purposes of the Plan.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Adjustments in Authorized Shares and Awards; Corporate Transaction, Liquidation or 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89"/>
        <w:spacing w:after="0" w:line="253" w:lineRule="auto"/>
        <w:tabs>
          <w:tab w:leader="none" w:pos="11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Authorized Shares and Awards</w:t>
      </w:r>
      <w:r>
        <w:rPr>
          <w:rFonts w:ascii="Times New Roman" w:cs="Times New Roman" w:eastAsia="Times New Roman" w:hAnsi="Times New Roman"/>
          <w:sz w:val="18"/>
          <w:szCs w:val="18"/>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number of Shares subject to any Award denominated in Shares shall always be a whole number.</w:t>
      </w:r>
    </w:p>
    <w:p>
      <w:pPr>
        <w:spacing w:after="0" w:line="189" w:lineRule="exact"/>
        <w:rPr>
          <w:rFonts w:ascii="Times New Roman" w:cs="Times New Roman" w:eastAsia="Times New Roman" w:hAnsi="Times New Roman"/>
          <w:sz w:val="18"/>
          <w:szCs w:val="18"/>
          <w:color w:val="auto"/>
        </w:rPr>
      </w:pPr>
    </w:p>
    <w:p>
      <w:pPr>
        <w:ind w:firstLine="889"/>
        <w:spacing w:after="0" w:line="253" w:lineRule="auto"/>
        <w:tabs>
          <w:tab w:leader="none" w:pos="11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or Similar Corporate Transaction</w:t>
      </w:r>
      <w:r>
        <w:rPr>
          <w:rFonts w:ascii="Times New Roman" w:cs="Times New Roman" w:eastAsia="Times New Roman" w:hAnsi="Times New Roman"/>
          <w:sz w:val="18"/>
          <w:szCs w:val="18"/>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ind w:firstLine="889"/>
        <w:spacing w:after="0" w:line="256" w:lineRule="auto"/>
        <w:tabs>
          <w:tab w:leader="none" w:pos="11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or Dissolution of the Company</w:t>
      </w:r>
      <w:r>
        <w:rPr>
          <w:rFonts w:ascii="Times New Roman" w:cs="Times New Roman" w:eastAsia="Times New Roman" w:hAnsi="Times New Roman"/>
          <w:sz w:val="18"/>
          <w:szCs w:val="18"/>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87" w:lineRule="exact"/>
        <w:rPr>
          <w:rFonts w:ascii="Times New Roman" w:cs="Times New Roman" w:eastAsia="Times New Roman" w:hAnsi="Times New Roman"/>
          <w:sz w:val="18"/>
          <w:szCs w:val="18"/>
          <w:color w:val="auto"/>
        </w:rPr>
      </w:pPr>
    </w:p>
    <w:p>
      <w:pPr>
        <w:ind w:firstLine="889"/>
        <w:spacing w:after="0" w:line="266" w:lineRule="auto"/>
        <w:tabs>
          <w:tab w:leader="none" w:pos="11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ELIGIBILITY AND GENERAL CONDITIONS OF AWARDS</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To the extent not set forth in the Plan, the terms and conditions of each Award shall be set forth in an Award Agreement.</w:t>
      </w:r>
    </w:p>
    <w:p>
      <w:pPr>
        <w:spacing w:after="0" w:line="22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General Terms and Termination of Affiliation</w:t>
      </w:r>
      <w:r>
        <w:rPr>
          <w:rFonts w:ascii="Times New Roman" w:cs="Times New Roman" w:eastAsia="Times New Roman" w:hAnsi="Times New Roman"/>
          <w:sz w:val="18"/>
          <w:szCs w:val="18"/>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Nontransferability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889"/>
        <w:spacing w:after="0" w:line="266" w:lineRule="auto"/>
        <w:tabs>
          <w:tab w:leader="none" w:pos="11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175" w:lineRule="exact"/>
        <w:rPr>
          <w:rFonts w:ascii="Times New Roman" w:cs="Times New Roman" w:eastAsia="Times New Roman" w:hAnsi="Times New Roman"/>
          <w:sz w:val="18"/>
          <w:szCs w:val="18"/>
          <w:color w:val="auto"/>
        </w:rPr>
      </w:pPr>
    </w:p>
    <w:p>
      <w:pPr>
        <w:jc w:val="both"/>
        <w:ind w:firstLine="889"/>
        <w:spacing w:after="0" w:line="258" w:lineRule="auto"/>
        <w:tabs>
          <w:tab w:leader="none" w:pos="11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68" w:name="page69"/>
    <w:bookmarkEnd w:id="68"/>
    <w:p>
      <w:pPr>
        <w:ind w:right="20" w:firstLine="889"/>
        <w:spacing w:after="0" w:line="253" w:lineRule="auto"/>
        <w:tabs>
          <w:tab w:leader="none" w:pos="11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89"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construed as requiring the Committee to honor a QDRO except to the extent required under applicable law.</w:t>
      </w:r>
    </w:p>
    <w:p>
      <w:pPr>
        <w:spacing w:after="0" w:line="22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Cancellation and Rescission of Awards</w:t>
      </w:r>
      <w:r>
        <w:rPr>
          <w:rFonts w:ascii="Times New Roman" w:cs="Times New Roman" w:eastAsia="Times New Roman" w:hAnsi="Times New Roman"/>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Stand-Alone, Tandem and Substitute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69" w:lineRule="auto"/>
        <w:tabs>
          <w:tab w:leader="none" w:pos="112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w:t>
      </w:r>
    </w:p>
    <w:p>
      <w:pPr>
        <w:spacing w:after="0" w:line="2" w:lineRule="exact"/>
        <w:rPr>
          <w:rFonts w:ascii="Times New Roman" w:cs="Times New Roman" w:eastAsia="Times New Roman" w:hAnsi="Times New Roman"/>
          <w:sz w:val="17"/>
          <w:szCs w:val="17"/>
          <w:color w:val="auto"/>
        </w:rPr>
      </w:pPr>
    </w:p>
    <w:p>
      <w:pPr>
        <w:ind w:right="2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157" w:lineRule="exact"/>
        <w:rPr>
          <w:rFonts w:ascii="Times New Roman" w:cs="Times New Roman" w:eastAsia="Times New Roman" w:hAnsi="Times New Roman"/>
          <w:sz w:val="17"/>
          <w:szCs w:val="17"/>
          <w:color w:val="auto"/>
        </w:rPr>
      </w:pPr>
    </w:p>
    <w:p>
      <w:pPr>
        <w:ind w:right="80" w:firstLine="889"/>
        <w:spacing w:after="0" w:line="254" w:lineRule="auto"/>
        <w:tabs>
          <w:tab w:leader="none" w:pos="11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92"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Compliance with Rule 16b-3</w:t>
      </w:r>
      <w:r>
        <w:rPr>
          <w:rFonts w:ascii="Times New Roman" w:cs="Times New Roman" w:eastAsia="Times New Roman" w:hAnsi="Times New Roman"/>
          <w:sz w:val="18"/>
          <w:szCs w:val="18"/>
          <w:color w:val="auto"/>
        </w:rPr>
        <w:t>. The provisions of this Section 5.7will not apply unless and until the Company has a class of stock that is registered under Section 12 of the Exchange Act.</w:t>
      </w:r>
    </w:p>
    <w:p>
      <w:pPr>
        <w:spacing w:after="0" w:line="162" w:lineRule="exact"/>
        <w:rPr>
          <w:sz w:val="20"/>
          <w:szCs w:val="20"/>
          <w:color w:val="auto"/>
        </w:rPr>
      </w:pPr>
    </w:p>
    <w:p>
      <w:pPr>
        <w:ind w:right="180" w:firstLine="889"/>
        <w:spacing w:after="0" w:line="256" w:lineRule="auto"/>
        <w:tabs>
          <w:tab w:leader="none" w:pos="11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Six-Month Holding Period Advice</w:t>
      </w:r>
      <w:r>
        <w:rPr>
          <w:rFonts w:ascii="Times New Roman" w:cs="Times New Roman" w:eastAsia="Times New Roman" w:hAnsi="Times New Roman"/>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9" w:name="page70"/>
    <w:bookmarkEnd w:id="69"/>
    <w:p>
      <w:pPr>
        <w:ind w:firstLine="889"/>
        <w:spacing w:after="0" w:line="258" w:lineRule="auto"/>
        <w:tabs>
          <w:tab w:leader="none" w:pos="11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Reformation to Comply with Exchange Act Rules</w:t>
      </w:r>
      <w:r>
        <w:rPr>
          <w:rFonts w:ascii="Times New Roman" w:cs="Times New Roman" w:eastAsia="Times New Roman" w:hAnsi="Times New Roman"/>
          <w:sz w:val="18"/>
          <w:szCs w:val="18"/>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83" w:lineRule="exact"/>
        <w:rPr>
          <w:rFonts w:ascii="Times New Roman" w:cs="Times New Roman" w:eastAsia="Times New Roman" w:hAnsi="Times New Roman"/>
          <w:sz w:val="18"/>
          <w:szCs w:val="18"/>
          <w:color w:val="auto"/>
        </w:rPr>
      </w:pPr>
    </w:p>
    <w:p>
      <w:pPr>
        <w:ind w:right="120" w:firstLine="889"/>
        <w:spacing w:after="0" w:line="277" w:lineRule="auto"/>
        <w:tabs>
          <w:tab w:leader="none" w:pos="112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16b-3 Administration</w:t>
      </w:r>
      <w:r>
        <w:rPr>
          <w:rFonts w:ascii="Times New Roman" w:cs="Times New Roman" w:eastAsia="Times New Roman" w:hAnsi="Times New Roman"/>
          <w:sz w:val="17"/>
          <w:szCs w:val="17"/>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6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Deferral of Award Payouts</w:t>
      </w:r>
      <w:r>
        <w:rPr>
          <w:rFonts w:ascii="Times New Roman" w:cs="Times New Roman" w:eastAsia="Times New Roman" w:hAnsi="Times New Roman"/>
          <w:sz w:val="18"/>
          <w:szCs w:val="18"/>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7"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62"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76"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The Exercise Price of an Option under this Plan shall be determined in the sole discretion of the Committee but may not be less than 100% of the Fair Market Value of a Share on the Grant Date (other than in the case of Substitute Awards).</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Grant of Incentive Stock Options</w:t>
      </w:r>
      <w:r>
        <w:rPr>
          <w:rFonts w:ascii="Times New Roman" w:cs="Times New Roman" w:eastAsia="Times New Roman" w:hAnsi="Times New Roman"/>
          <w:sz w:val="18"/>
          <w:szCs w:val="18"/>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62" w:lineRule="exact"/>
        <w:rPr>
          <w:sz w:val="20"/>
          <w:szCs w:val="20"/>
          <w:color w:val="auto"/>
        </w:rPr>
      </w:pPr>
    </w:p>
    <w:p>
      <w:pPr>
        <w:ind w:left="1140" w:hanging="251"/>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granted only to an employee of the Company or a Subsidiary Corporation;</w:t>
      </w:r>
    </w:p>
    <w:p>
      <w:pPr>
        <w:spacing w:after="0" w:line="225" w:lineRule="exact"/>
        <w:rPr>
          <w:rFonts w:ascii="Times New Roman" w:cs="Times New Roman" w:eastAsia="Times New Roman" w:hAnsi="Times New Roman"/>
          <w:sz w:val="18"/>
          <w:szCs w:val="18"/>
          <w:color w:val="auto"/>
        </w:rPr>
      </w:pPr>
    </w:p>
    <w:p>
      <w:pPr>
        <w:jc w:val="both"/>
        <w:ind w:right="180" w:firstLine="889"/>
        <w:spacing w:after="0" w:line="261" w:lineRule="auto"/>
        <w:tabs>
          <w:tab w:leader="none" w:pos="11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ind w:right="420" w:firstLine="889"/>
        <w:spacing w:after="0" w:line="282" w:lineRule="auto"/>
        <w:tabs>
          <w:tab w:leader="none" w:pos="112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161"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179" w:lineRule="exact"/>
        <w:rPr>
          <w:rFonts w:ascii="Times New Roman" w:cs="Times New Roman" w:eastAsia="Times New Roman" w:hAnsi="Times New Roman"/>
          <w:sz w:val="18"/>
          <w:szCs w:val="18"/>
          <w:color w:val="auto"/>
        </w:rPr>
      </w:pPr>
    </w:p>
    <w:p>
      <w:pPr>
        <w:ind w:right="60" w:firstLine="889"/>
        <w:spacing w:after="0" w:line="261" w:lineRule="auto"/>
        <w:tabs>
          <w:tab w:leader="none" w:pos="112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179" w:lineRule="exact"/>
        <w:rPr>
          <w:rFonts w:ascii="Times New Roman" w:cs="Times New Roman" w:eastAsia="Times New Roman" w:hAnsi="Times New Roman"/>
          <w:sz w:val="18"/>
          <w:szCs w:val="18"/>
          <w:color w:val="auto"/>
        </w:rPr>
      </w:pPr>
    </w:p>
    <w:p>
      <w:pPr>
        <w:ind w:right="60" w:firstLine="889"/>
        <w:spacing w:after="0" w:line="266" w:lineRule="auto"/>
        <w:tabs>
          <w:tab w:leader="none" w:pos="110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175" w:lineRule="exact"/>
        <w:rPr>
          <w:rFonts w:ascii="Times New Roman" w:cs="Times New Roman" w:eastAsia="Times New Roman" w:hAnsi="Times New Roman"/>
          <w:sz w:val="18"/>
          <w:szCs w:val="18"/>
          <w:color w:val="auto"/>
        </w:rPr>
      </w:pPr>
    </w:p>
    <w:p>
      <w:pPr>
        <w:ind w:right="220" w:firstLine="889"/>
        <w:spacing w:after="0" w:line="266" w:lineRule="auto"/>
        <w:tabs>
          <w:tab w:leader="none" w:pos="11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175"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62"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176" w:lineRule="exact"/>
        <w:rPr>
          <w:sz w:val="20"/>
          <w:szCs w:val="20"/>
          <w:color w:val="auto"/>
        </w:rPr>
      </w:pPr>
    </w:p>
    <w:p>
      <w:pPr>
        <w:ind w:left="1140" w:hanging="251"/>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personal check or wire transfer;</w:t>
      </w:r>
    </w:p>
    <w:p>
      <w:pPr>
        <w:spacing w:after="0" w:line="225" w:lineRule="exact"/>
        <w:rPr>
          <w:rFonts w:ascii="Times New Roman" w:cs="Times New Roman" w:eastAsia="Times New Roman" w:hAnsi="Times New Roman"/>
          <w:sz w:val="18"/>
          <w:szCs w:val="18"/>
          <w:color w:val="auto"/>
        </w:rPr>
      </w:pPr>
    </w:p>
    <w:p>
      <w:pPr>
        <w:ind w:right="60" w:firstLine="889"/>
        <w:spacing w:after="0" w:line="282" w:lineRule="auto"/>
        <w:tabs>
          <w:tab w:leader="none" w:pos="11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delivery of Common Stock owned by the Grantee prior to exercise, valued at Fair Market Value on the date of exercise;</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Shares acquired upon the exercise of such Option, such Shares valued at Fair Market Value on the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exercise;</w:t>
      </w:r>
    </w:p>
    <w:p>
      <w:pPr>
        <w:spacing w:after="0" w:line="206" w:lineRule="exact"/>
        <w:rPr>
          <w:rFonts w:ascii="Times New Roman" w:cs="Times New Roman" w:eastAsia="Times New Roman" w:hAnsi="Times New Roman"/>
          <w:sz w:val="18"/>
          <w:szCs w:val="18"/>
          <w:color w:val="auto"/>
        </w:rPr>
      </w:pPr>
    </w:p>
    <w:p>
      <w:pPr>
        <w:ind w:right="140" w:firstLine="889"/>
        <w:spacing w:after="0" w:line="282" w:lineRule="auto"/>
        <w:tabs>
          <w:tab w:leader="none" w:pos="113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Restricted Shares held by the Grantee prior to the exercise of the Option, valued at Fair Market Value on the date of exercise; or</w:t>
      </w:r>
    </w:p>
    <w:p>
      <w:pPr>
        <w:spacing w:after="0" w:line="161" w:lineRule="exact"/>
        <w:rPr>
          <w:rFonts w:ascii="Times New Roman" w:cs="Times New Roman" w:eastAsia="Times New Roman" w:hAnsi="Times New Roman"/>
          <w:sz w:val="18"/>
          <w:szCs w:val="18"/>
          <w:color w:val="auto"/>
        </w:rPr>
      </w:pPr>
    </w:p>
    <w:p>
      <w:pPr>
        <w:ind w:right="80" w:firstLine="889"/>
        <w:spacing w:after="0" w:line="261" w:lineRule="auto"/>
        <w:tabs>
          <w:tab w:leader="none" w:pos="11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7" w:lineRule="exact"/>
        <w:rPr>
          <w:sz w:val="20"/>
          <w:szCs w:val="20"/>
          <w:color w:val="auto"/>
        </w:rPr>
      </w:pPr>
    </w:p>
    <w:p>
      <w:pPr>
        <w:ind w:right="160" w:firstLine="441"/>
        <w:spacing w:after="0" w:line="289"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Issuance</w:t>
      </w:r>
      <w:r>
        <w:rPr>
          <w:rFonts w:ascii="Times New Roman" w:cs="Times New Roman" w:eastAsia="Times New Roman" w:hAnsi="Times New Roman"/>
          <w:sz w:val="17"/>
          <w:szCs w:val="17"/>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58"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62"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SAR Exercise Price</w:t>
      </w:r>
      <w:r>
        <w:rPr>
          <w:rFonts w:ascii="Times New Roman" w:cs="Times New Roman" w:eastAsia="Times New Roman" w:hAnsi="Times New Roman"/>
          <w:sz w:val="18"/>
          <w:szCs w:val="18"/>
          <w:color w:val="auto"/>
        </w:rPr>
        <w:t>.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spacing w:after="0" w:line="16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Upon the exercise of an SAR, a Grantee shall be entitled to receive payment from the Company in an amount determined by multiplying:</w:t>
      </w:r>
    </w:p>
    <w:p>
      <w:pPr>
        <w:spacing w:after="0" w:line="162" w:lineRule="exact"/>
        <w:rPr>
          <w:sz w:val="20"/>
          <w:szCs w:val="20"/>
          <w:color w:val="auto"/>
        </w:rPr>
      </w:pPr>
    </w:p>
    <w:p>
      <w:pPr>
        <w:ind w:left="1140" w:hanging="251"/>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a Share on the date of exercise over the Exercise Price; by</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SAR is exercised.</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Shares</w:t>
      </w:r>
      <w:r>
        <w:rPr>
          <w:rFonts w:ascii="Times New Roman" w:cs="Times New Roman" w:eastAsia="Times New Roman" w:hAnsi="Times New Roman"/>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162"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Consideration for Restricted Shares</w:t>
      </w:r>
      <w:r>
        <w:rPr>
          <w:rFonts w:ascii="Times New Roman" w:cs="Times New Roman" w:eastAsia="Times New Roman" w:hAnsi="Times New Roman"/>
          <w:sz w:val="18"/>
          <w:szCs w:val="18"/>
          <w:color w:val="auto"/>
        </w:rPr>
        <w:t>. The Committee shall determine the amount, if any, that a Grantee shall pay for Restricted Shares.</w:t>
      </w:r>
    </w:p>
    <w:p>
      <w:pPr>
        <w:spacing w:after="0" w:line="22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Effect of Forfeiture</w:t>
      </w:r>
      <w:r>
        <w:rPr>
          <w:rFonts w:ascii="Times New Roman" w:cs="Times New Roman" w:eastAsia="Times New Roman" w:hAnsi="Times New Roman"/>
          <w:sz w:val="18"/>
          <w:szCs w:val="18"/>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87" w:lineRule="exact"/>
        <w:rPr>
          <w:sz w:val="20"/>
          <w:szCs w:val="20"/>
          <w:color w:val="auto"/>
        </w:rPr>
      </w:pPr>
    </w:p>
    <w:p>
      <w:pPr>
        <w:ind w:right="280" w:firstLine="441"/>
        <w:spacing w:after="0" w:line="27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Escrow; Legends</w:t>
      </w:r>
      <w:r>
        <w:rPr>
          <w:rFonts w:ascii="Times New Roman" w:cs="Times New Roman" w:eastAsia="Times New Roman" w:hAnsi="Times New Roman"/>
          <w:sz w:val="17"/>
          <w:szCs w:val="17"/>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spacing w:after="0" w:line="1" w:lineRule="exact"/>
        <w:rPr>
          <w:sz w:val="20"/>
          <w:szCs w:val="20"/>
          <w:color w:val="auto"/>
        </w:rPr>
      </w:pPr>
    </w:p>
    <w:p>
      <w:pPr>
        <w:ind w:right="280" w:firstLine="8"/>
        <w:spacing w:after="0" w:line="260"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UNITS AND PERFORMANCE SHARES</w:t>
      </w:r>
    </w:p>
    <w:p>
      <w:pPr>
        <w:spacing w:after="0" w:line="207" w:lineRule="exact"/>
        <w:rPr>
          <w:sz w:val="20"/>
          <w:szCs w:val="20"/>
          <w:color w:val="auto"/>
        </w:rPr>
      </w:pPr>
    </w:p>
    <w:p>
      <w:pPr>
        <w:ind w:right="5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Grant of Performance Units and Performance Shares</w:t>
      </w:r>
      <w:r>
        <w:rPr>
          <w:rFonts w:ascii="Times New Roman" w:cs="Times New Roman" w:eastAsia="Times New Roman" w:hAnsi="Times New Roman"/>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7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Value/Performance Goals</w:t>
      </w:r>
      <w:r>
        <w:rPr>
          <w:rFonts w:ascii="Times New Roman" w:cs="Times New Roman" w:eastAsia="Times New Roman" w:hAnsi="Times New Roman"/>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162" w:lineRule="exact"/>
        <w:rPr>
          <w:sz w:val="20"/>
          <w:szCs w:val="20"/>
          <w:color w:val="auto"/>
        </w:rPr>
      </w:pPr>
    </w:p>
    <w:p>
      <w:pPr>
        <w:ind w:left="1140" w:hanging="251"/>
        <w:spacing w:after="0"/>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Each Performance Unit shall have an initial value that is established by the Committee at the time of grant.</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Each Performance Share shall have an initial value equal to the Fair Market Value of a Share on the date of grant.</w:t>
      </w:r>
    </w:p>
    <w:p>
      <w:pPr>
        <w:spacing w:after="0" w:line="225"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Earning of Performance Units and Performance Shares</w:t>
      </w:r>
      <w:r>
        <w:rPr>
          <w:rFonts w:ascii="Times New Roman" w:cs="Times New Roman" w:eastAsia="Times New Roman" w:hAnsi="Times New Roman"/>
          <w:sz w:val="18"/>
          <w:szCs w:val="18"/>
          <w:color w:val="auto"/>
        </w:rPr>
        <w:t>.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DEFERRED STOCK AND RESTRICTED STOCK UNITS</w:t>
      </w:r>
    </w:p>
    <w:p>
      <w:pPr>
        <w:spacing w:after="0" w:line="207"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Grant of Deferred Stock and Restricted Stock Units</w:t>
      </w:r>
      <w:r>
        <w:rPr>
          <w:rFonts w:ascii="Times New Roman" w:cs="Times New Roman" w:eastAsia="Times New Roman" w:hAnsi="Times New Roman"/>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Vesting and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889"/>
        <w:spacing w:after="0" w:line="254" w:lineRule="auto"/>
        <w:tabs>
          <w:tab w:leader="none" w:pos="11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Deferred Stock</w:t>
      </w:r>
      <w:r>
        <w:rPr>
          <w:rFonts w:ascii="Times New Roman" w:cs="Times New Roman" w:eastAsia="Times New Roman" w:hAnsi="Times New Roman"/>
          <w:sz w:val="18"/>
          <w:szCs w:val="18"/>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9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Restricted Stock Units</w:t>
      </w:r>
      <w:r>
        <w:rPr>
          <w:rFonts w:ascii="Times New Roman" w:cs="Times New Roman" w:eastAsia="Times New Roman" w:hAnsi="Times New Roman"/>
          <w:sz w:val="18"/>
          <w:szCs w:val="18"/>
          <w:color w:val="auto"/>
        </w:rPr>
        <w:t>. Delivery of Shares subject to a grant of Restricted Stock Units shall occur no later than the</w:t>
      </w:r>
    </w:p>
    <w:p>
      <w:pPr>
        <w:spacing w:after="0" w:line="2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Voting and Dividend Equivalent Rights Attributable to Deferred Stock and Restricted Stock Units</w:t>
      </w:r>
      <w:r>
        <w:rPr>
          <w:rFonts w:ascii="Times New Roman" w:cs="Times New Roman" w:eastAsia="Times New Roman" w:hAnsi="Times New Roman"/>
          <w:sz w:val="18"/>
          <w:szCs w:val="18"/>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EQUIVALENTS</w:t>
      </w:r>
    </w:p>
    <w:p>
      <w:pPr>
        <w:spacing w:after="0" w:line="207"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207"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STOCK-BASED AWARDS</w:t>
      </w:r>
    </w:p>
    <w:p>
      <w:pPr>
        <w:spacing w:after="0" w:line="207"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AWARDS</w:t>
      </w:r>
    </w:p>
    <w:p>
      <w:pPr>
        <w:spacing w:after="0" w:line="207"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Non-Employee Director Awards</w:t>
      </w:r>
      <w:r>
        <w:rPr>
          <w:rFonts w:ascii="Times New Roman" w:cs="Times New Roman" w:eastAsia="Times New Roman" w:hAnsi="Times New Roman"/>
          <w:sz w:val="18"/>
          <w:szCs w:val="18"/>
          <w:color w:val="auto"/>
        </w:rPr>
        <w:t>. Subject to the terms of the Plan, the Board may grant Awards to any Non-Employee Director, in such amount and upon such terms and at any time and from time to time as shall be determined by the full Board in its sole discretion. Except as otherwise provided in Section 5.6(b) and in this Article 14, a Non-Employee Director may not be granted Awards for cash or Shares that together with any awards made outside of the Plan have a Fair Market Value (determined as of the date of grant) in excess of (i) $1,000,000 in a single calendar year or (ii) $2,000,000 in the calendar year during which the Non-Employee Director was appointed to the Board.</w:t>
      </w:r>
    </w:p>
    <w:p>
      <w:pPr>
        <w:spacing w:after="0" w:line="183"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Lead Independent Director and Non-Employee Director Chair Awards</w:t>
      </w:r>
      <w:r>
        <w:rPr>
          <w:rFonts w:ascii="Times New Roman" w:cs="Times New Roman" w:eastAsia="Times New Roman" w:hAnsi="Times New Roman"/>
          <w:sz w:val="18"/>
          <w:szCs w:val="18"/>
          <w:color w:val="auto"/>
        </w:rPr>
        <w:t>. Except as otherwise provided in Section 5.6(b), a Lead Independent Director or Non-Employee Director Chair may not be granted Awards for cash or Shares that together with any awards made outside of the Plan have a Fair Market Value (determined as of the date of grant) in excess of $2,000,000 in a single calendar year.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83"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COMPLIANCE WITH CODE SECTION 409A</w:t>
      </w:r>
    </w:p>
    <w:p>
      <w:pPr>
        <w:spacing w:after="0" w:line="20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Awards Subject to Code Section 409A</w:t>
      </w:r>
      <w:r>
        <w:rPr>
          <w:rFonts w:ascii="Times New Roman" w:cs="Times New Roman" w:eastAsia="Times New Roman" w:hAnsi="Times New Roman"/>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76" w:lineRule="exact"/>
        <w:rPr>
          <w:sz w:val="20"/>
          <w:szCs w:val="20"/>
          <w:color w:val="auto"/>
        </w:rPr>
      </w:pPr>
    </w:p>
    <w:p>
      <w:pPr>
        <w:ind w:right="20" w:firstLine="441"/>
        <w:spacing w:after="0" w:line="27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Deferral and/or Distribution Elections</w:t>
      </w:r>
      <w:r>
        <w:rPr>
          <w:rFonts w:ascii="Times New Roman" w:cs="Times New Roman" w:eastAsia="Times New Roman" w:hAnsi="Times New Roman"/>
          <w:sz w:val="17"/>
          <w:szCs w:val="17"/>
          <w:color w:val="auto"/>
        </w:rPr>
        <w:t>. Except as otherwise permitted or required by Code Section 409A, the following rules shall apply to any deferral and/or elections as to the form or timing of distributions (each, an “Election”) that may be permitted or required by the Committee with respect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5" w:name="page76"/>
    <w:bookmarkEnd w:id="75"/>
    <w:p>
      <w:pPr>
        <w:ind w:right="920" w:firstLine="889"/>
        <w:spacing w:after="0" w:line="312" w:lineRule="auto"/>
        <w:tabs>
          <w:tab w:leader="none" w:pos="112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39" w:lineRule="exact"/>
        <w:rPr>
          <w:rFonts w:ascii="Times New Roman" w:cs="Times New Roman" w:eastAsia="Times New Roman" w:hAnsi="Times New Roman"/>
          <w:sz w:val="17"/>
          <w:szCs w:val="17"/>
          <w:color w:val="auto"/>
        </w:rPr>
      </w:pPr>
    </w:p>
    <w:p>
      <w:pPr>
        <w:jc w:val="both"/>
        <w:ind w:firstLine="889"/>
        <w:spacing w:after="0" w:line="261" w:lineRule="auto"/>
        <w:tabs>
          <w:tab w:leader="none" w:pos="11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79" w:lineRule="exact"/>
        <w:rPr>
          <w:rFonts w:ascii="Times New Roman" w:cs="Times New Roman" w:eastAsia="Times New Roman" w:hAnsi="Times New Roman"/>
          <w:sz w:val="18"/>
          <w:szCs w:val="18"/>
          <w:color w:val="auto"/>
        </w:rPr>
      </w:pPr>
    </w:p>
    <w:p>
      <w:pPr>
        <w:ind w:right="100" w:firstLine="889"/>
        <w:spacing w:after="0" w:line="282" w:lineRule="auto"/>
        <w:tabs>
          <w:tab w:leader="none" w:pos="112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Subsequent Elections</w:t>
      </w:r>
      <w:r>
        <w:rPr>
          <w:rFonts w:ascii="Times New Roman" w:cs="Times New Roman" w:eastAsia="Times New Roman" w:hAnsi="Times New Roman"/>
          <w:sz w:val="18"/>
          <w:szCs w:val="18"/>
          <w:color w:val="auto"/>
        </w:rPr>
        <w:t>. Except as otherwise permitted or required by Code Section 409A, any 409A Award which permits a subsequent Election to further defer the distribution or change the form of distribution shall comply with the following requirements:</w:t>
      </w:r>
    </w:p>
    <w:p>
      <w:pPr>
        <w:spacing w:after="0" w:line="162" w:lineRule="exact"/>
        <w:rPr>
          <w:sz w:val="20"/>
          <w:szCs w:val="20"/>
          <w:color w:val="auto"/>
        </w:rPr>
      </w:pPr>
    </w:p>
    <w:p>
      <w:pPr>
        <w:ind w:left="1140" w:hanging="251"/>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may take effect until at least twelve (12) months after the date on which the subsequent Election is made;</w:t>
      </w:r>
    </w:p>
    <w:p>
      <w:pPr>
        <w:spacing w:after="0" w:line="225" w:lineRule="exact"/>
        <w:rPr>
          <w:rFonts w:ascii="Times New Roman" w:cs="Times New Roman" w:eastAsia="Times New Roman" w:hAnsi="Times New Roman"/>
          <w:sz w:val="18"/>
          <w:szCs w:val="18"/>
          <w:color w:val="auto"/>
        </w:rPr>
      </w:pPr>
    </w:p>
    <w:p>
      <w:pPr>
        <w:ind w:right="280" w:firstLine="889"/>
        <w:spacing w:after="0" w:line="282" w:lineRule="auto"/>
        <w:tabs>
          <w:tab w:leader="none" w:pos="11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61" w:lineRule="exact"/>
        <w:rPr>
          <w:rFonts w:ascii="Times New Roman" w:cs="Times New Roman" w:eastAsia="Times New Roman" w:hAnsi="Times New Roman"/>
          <w:sz w:val="18"/>
          <w:szCs w:val="18"/>
          <w:color w:val="auto"/>
        </w:rPr>
      </w:pPr>
    </w:p>
    <w:p>
      <w:pPr>
        <w:ind w:right="520" w:firstLine="889"/>
        <w:spacing w:after="0" w:line="282" w:lineRule="auto"/>
        <w:tabs>
          <w:tab w:leader="none" w:pos="11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Distributions Pursuant to Deferral Elections</w:t>
      </w:r>
      <w:r>
        <w:rPr>
          <w:rFonts w:ascii="Times New Roman" w:cs="Times New Roman" w:eastAsia="Times New Roman" w:hAnsi="Times New Roman"/>
          <w:sz w:val="18"/>
          <w:szCs w:val="18"/>
          <w:color w:val="auto"/>
        </w:rPr>
        <w:t>. Except as otherwise permitted or required by Code Section 409A, no distribution in settlement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may commence earlier than:</w:t>
      </w:r>
    </w:p>
    <w:p>
      <w:pPr>
        <w:spacing w:after="0" w:line="207" w:lineRule="exact"/>
        <w:rPr>
          <w:sz w:val="20"/>
          <w:szCs w:val="20"/>
          <w:color w:val="auto"/>
        </w:rPr>
      </w:pPr>
    </w:p>
    <w:p>
      <w:pPr>
        <w:ind w:left="1140" w:hanging="251"/>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Participant becomes Disabled (as defined in Section 2.15(b);</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w:t>
      </w:r>
    </w:p>
    <w:p>
      <w:pPr>
        <w:spacing w:after="0" w:line="225" w:lineRule="exact"/>
        <w:rPr>
          <w:rFonts w:ascii="Times New Roman" w:cs="Times New Roman" w:eastAsia="Times New Roman" w:hAnsi="Times New Roman"/>
          <w:sz w:val="18"/>
          <w:szCs w:val="18"/>
          <w:color w:val="auto"/>
        </w:rPr>
      </w:pPr>
    </w:p>
    <w:p>
      <w:pPr>
        <w:ind w:right="160" w:firstLine="889"/>
        <w:spacing w:after="0" w:line="282" w:lineRule="auto"/>
        <w:tabs>
          <w:tab w:leader="none" w:pos="11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ownership of the Company or a substantial portion of its assets within the meaning of Treasury Regulation Section 1.409A-3(i)</w:t>
      </w:r>
    </w:p>
    <w:p>
      <w:pPr>
        <w:spacing w:after="0" w:line="27" w:lineRule="exact"/>
        <w:rPr>
          <w:rFonts w:ascii="Times New Roman" w:cs="Times New Roman" w:eastAsia="Times New Roman" w:hAnsi="Times New Roman"/>
          <w:sz w:val="18"/>
          <w:szCs w:val="18"/>
          <w:color w:val="auto"/>
        </w:rPr>
      </w:pPr>
    </w:p>
    <w:p>
      <w:pPr>
        <w:ind w:righ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(5)(v) or (vii) or a change in effective control of the Company within the meaning of Treasury Regulation Section 1.409A-3(i)(5)(vi) (a “Change in Control”).</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Six Month Delay</w:t>
      </w:r>
      <w:r>
        <w:rPr>
          <w:rFonts w:ascii="Times New Roman" w:cs="Times New Roman" w:eastAsia="Times New Roman" w:hAnsi="Times New Roman"/>
          <w:sz w:val="18"/>
          <w:szCs w:val="18"/>
          <w:color w:val="auto"/>
        </w:rPr>
        <w:t>. Notwithstanding anything herein or in any Award Agreement or Election to the contrary, to the extent that distribution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Regulation Section 1.409A-1(i)), no distribution may be made before the date which is six (6) months after such Grantee’s Separation from Service, or, if earlier, the date of the Grantee’s death.</w:t>
      </w:r>
    </w:p>
    <w:p>
      <w:pPr>
        <w:spacing w:after="0" w:line="181" w:lineRule="exact"/>
        <w:rPr>
          <w:sz w:val="20"/>
          <w:szCs w:val="20"/>
          <w:color w:val="auto"/>
        </w:rPr>
      </w:pPr>
    </w:p>
    <w:p>
      <w:pPr>
        <w:jc w:val="both"/>
        <w:ind w:right="3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No Acceleration of Distributions</w:t>
      </w:r>
      <w:r>
        <w:rPr>
          <w:rFonts w:ascii="Times New Roman" w:cs="Times New Roman" w:eastAsia="Times New Roman" w:hAnsi="Times New Roman"/>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Required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8" w:lineRule="auto"/>
        <w:tabs>
          <w:tab w:leader="none" w:pos="11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83"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175" w:lineRule="exact"/>
        <w:rPr>
          <w:rFonts w:ascii="Times New Roman" w:cs="Times New Roman" w:eastAsia="Times New Roman" w:hAnsi="Times New Roman"/>
          <w:sz w:val="18"/>
          <w:szCs w:val="18"/>
          <w:color w:val="auto"/>
        </w:rPr>
      </w:pPr>
    </w:p>
    <w:p>
      <w:pPr>
        <w:ind w:left="1600" w:hanging="270"/>
        <w:spacing w:after="0"/>
        <w:tabs>
          <w:tab w:leader="none" w:pos="16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part or all of the amount to be withheld in the form of Common Stock valued at its Fair Market Value on the Tax Date;</w:t>
      </w:r>
    </w:p>
    <w:p>
      <w:pPr>
        <w:spacing w:after="0" w:line="225" w:lineRule="exact"/>
        <w:rPr>
          <w:rFonts w:ascii="Times New Roman" w:cs="Times New Roman" w:eastAsia="Times New Roman" w:hAnsi="Times New Roman"/>
          <w:sz w:val="18"/>
          <w:szCs w:val="18"/>
          <w:color w:val="auto"/>
        </w:rPr>
      </w:pPr>
    </w:p>
    <w:p>
      <w:pPr>
        <w:ind w:left="880" w:right="60" w:firstLine="450"/>
        <w:spacing w:after="0" w:line="266" w:lineRule="auto"/>
        <w:tabs>
          <w:tab w:leader="none" w:pos="16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75" w:lineRule="exact"/>
        <w:rPr>
          <w:rFonts w:ascii="Times New Roman" w:cs="Times New Roman" w:eastAsia="Times New Roman" w:hAnsi="Times New Roman"/>
          <w:sz w:val="18"/>
          <w:szCs w:val="18"/>
          <w:color w:val="auto"/>
        </w:rPr>
      </w:pPr>
    </w:p>
    <w:p>
      <w:pPr>
        <w:ind w:left="1640" w:hanging="310"/>
        <w:spacing w:after="0"/>
        <w:tabs>
          <w:tab w:leader="none" w:pos="16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any compensation otherwise due to the Grantee.</w:t>
      </w:r>
    </w:p>
    <w:p>
      <w:pPr>
        <w:spacing w:after="0" w:line="225" w:lineRule="exact"/>
        <w:rPr>
          <w:sz w:val="20"/>
          <w:szCs w:val="20"/>
          <w:color w:val="auto"/>
        </w:rPr>
      </w:pPr>
    </w:p>
    <w:p>
      <w:pPr>
        <w:ind w:left="440" w:right="40" w:firstLine="441"/>
        <w:spacing w:after="0" w:line="256" w:lineRule="auto"/>
        <w:rPr>
          <w:sz w:val="20"/>
          <w:szCs w:val="20"/>
          <w:color w:val="auto"/>
        </w:rPr>
      </w:pPr>
      <w:r>
        <w:rPr>
          <w:rFonts w:ascii="Times New Roman" w:cs="Times New Roman" w:eastAsia="Times New Roman" w:hAnsi="Times New Roman"/>
          <w:sz w:val="18"/>
          <w:szCs w:val="18"/>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87" w:lineRule="exact"/>
        <w:rPr>
          <w:sz w:val="20"/>
          <w:szCs w:val="20"/>
          <w:color w:val="auto"/>
        </w:rPr>
      </w:pPr>
    </w:p>
    <w:p>
      <w:pPr>
        <w:ind w:right="340" w:firstLine="889"/>
        <w:spacing w:after="0" w:line="282" w:lineRule="auto"/>
        <w:tabs>
          <w:tab w:leader="none" w:pos="11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Notification under Code Section 83(b)</w:t>
      </w:r>
      <w:r>
        <w:rPr>
          <w:rFonts w:ascii="Times New Roman" w:cs="Times New Roman" w:eastAsia="Times New Roman" w:hAnsi="Times New Roman"/>
          <w:sz w:val="18"/>
          <w:szCs w:val="18"/>
          <w:color w:val="auto"/>
        </w:rPr>
        <w:t>. If the Grantee, in connection with the exercise of any Option, or the grant of Restricted Shares, makes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election permitted under Section 83(b) of the Code to include in such Grantee’s gross income in the year of transfer the amounts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83(b) of the Code, then such Grantee shall notify the Company of such election within 10 days of filing the notice of the election with the Internal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Service, in addition to any filing and notification required pursuant to regulations issued under Section 83(b) of the Code. The Committee may,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grant of an Award or at any time thereafter, prohibit a Grantee from making the election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207"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3" w:lineRule="auto"/>
        <w:tabs>
          <w:tab w:leader="none" w:pos="11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89"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80" w:lineRule="exact"/>
        <w:rPr>
          <w:sz w:val="20"/>
          <w:szCs w:val="20"/>
          <w:color w:val="auto"/>
        </w:rPr>
      </w:pPr>
    </w:p>
    <w:p>
      <w:pPr>
        <w:ind w:right="240" w:firstLine="441"/>
        <w:spacing w:after="0" w:line="253"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78" w:name="page79"/>
    <w:bookmarkEnd w:id="78"/>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89" w:lineRule="exact"/>
        <w:rPr>
          <w:sz w:val="20"/>
          <w:szCs w:val="20"/>
          <w:color w:val="auto"/>
        </w:rPr>
      </w:pPr>
    </w:p>
    <w:p>
      <w:pPr>
        <w:jc w:val="both"/>
        <w:ind w:right="1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Nature of Payments</w:t>
      </w:r>
      <w:r>
        <w:rPr>
          <w:rFonts w:ascii="Times New Roman" w:cs="Times New Roman" w:eastAsia="Times New Roman" w:hAnsi="Times New Roman"/>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3"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Non-Exclusivity of Plan</w:t>
      </w:r>
      <w:r>
        <w:rPr>
          <w:rFonts w:ascii="Times New Roman" w:cs="Times New Roman" w:eastAsia="Times New Roman" w:hAnsi="Times New Roman"/>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76"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3"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Unfunded Status of Awards; Creation of Trusts</w:t>
      </w:r>
      <w:r>
        <w:rPr>
          <w:rFonts w:ascii="Times New Roman" w:cs="Times New Roman" w:eastAsia="Times New Roman" w:hAnsi="Times New Roman"/>
          <w:sz w:val="18"/>
          <w:szCs w:val="18"/>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83"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Affiliation</w:t>
      </w:r>
      <w:r>
        <w:rPr>
          <w:rFonts w:ascii="Times New Roman" w:cs="Times New Roman" w:eastAsia="Times New Roman" w:hAnsi="Times New Roman"/>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76"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No employee or officer shall have the right to be selected to receive an Award under this Plan or, having been so selected, to be selected to receive a future Award.</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Military Service</w:t>
      </w:r>
      <w:r>
        <w:rPr>
          <w:rFonts w:ascii="Times New Roman" w:cs="Times New Roman" w:eastAsia="Times New Roman" w:hAnsi="Times New Roman"/>
          <w:sz w:val="18"/>
          <w:szCs w:val="18"/>
          <w:color w:val="auto"/>
        </w:rPr>
        <w:t>. Awards shall be administered in accordance with Section 414(u) of the Code and the Uniformed Services Employment and Reemployment Rights Act of 1994.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following rules of construction will apply to the Plan: (a) the word “or” is disjunctive but not necessarily exclusive, and</w:t>
      </w:r>
    </w:p>
    <w:p>
      <w:pPr>
        <w:spacing w:after="0" w:line="27" w:lineRule="exact"/>
        <w:rPr>
          <w:sz w:val="20"/>
          <w:szCs w:val="20"/>
          <w:color w:val="auto"/>
        </w:rPr>
      </w:pPr>
    </w:p>
    <w:p>
      <w:pPr>
        <w:ind w:right="340" w:firstLine="8"/>
        <w:spacing w:after="0" w:line="260"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are included solely for convenience of reference, and if there is any conflict between such headings and the text of this Plan, the text shall control.</w:t>
      </w:r>
    </w:p>
    <w:p>
      <w:pPr>
        <w:spacing w:after="0" w:line="162"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18.16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7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18.17 </w:t>
      </w:r>
      <w:r>
        <w:rPr>
          <w:rFonts w:ascii="Times New Roman" w:cs="Times New Roman" w:eastAsia="Times New Roman" w:hAnsi="Times New Roman"/>
          <w:sz w:val="18"/>
          <w:szCs w:val="18"/>
          <w:u w:val="single" w:color="auto"/>
          <w:color w:val="auto"/>
        </w:rPr>
        <w:t>No Right to Continue as Director</w:t>
      </w:r>
      <w:r>
        <w:rPr>
          <w:rFonts w:ascii="Times New Roman" w:cs="Times New Roman" w:eastAsia="Times New Roman" w:hAnsi="Times New Roman"/>
          <w:sz w:val="18"/>
          <w:szCs w:val="18"/>
          <w:color w:val="auto"/>
        </w:rPr>
        <w:t>. Nothing in the Plan or any Award Agreement shall confer upon any Non-Employee Director the right to continue to serve as a director of the Company.</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18.18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320" w:top="796" w:right="679" w:bottom="1440" w:gutter="0" w:footer="0" w:header="0"/>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YOUR VOTE IS IMPORTANT. PLEASE VOTE TODAY</w:t>
      </w:r>
      <w:r>
        <w:rPr>
          <w:rFonts w:ascii="Times New Roman" w:cs="Times New Roman" w:eastAsia="Times New Roman" w:hAnsi="Times New Roman"/>
          <w:sz w:val="17"/>
          <w:szCs w:val="17"/>
          <w:b w:val="1"/>
          <w:bCs w:val="1"/>
          <w:color w:val="auto"/>
        </w:rPr>
        <w:t>.</w:t>
      </w:r>
    </w:p>
    <w:p>
      <w:pPr>
        <w:spacing w:after="0" w:line="4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 xml:space="preserve">Vote by Internet - QUICK </w:t>
      </w:r>
      <w:r>
        <w:rPr>
          <w:sz w:val="1"/>
          <w:szCs w:val="1"/>
          <w:color w:val="auto"/>
        </w:rPr>
        <w:drawing>
          <wp:inline distT="0" distB="0" distL="0" distR="0">
            <wp:extent cx="128905" cy="1117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drawing>
          <wp:inline distT="0" distB="0" distL="0" distR="0">
            <wp:extent cx="257175" cy="1117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 cy="11176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EASY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IMMEDIATE - 24 Hours a Day, 7 Days a Week or by Mail</w:t>
      </w:r>
    </w:p>
    <w:p>
      <w:pPr>
        <w:sectPr>
          <w:pgSz w:w="11900" w:h="16838" w:orient="portrait"/>
          <w:cols w:equalWidth="0" w:num="1">
            <w:col w:w="11240"/>
          </w:cols>
          <w:pgMar w:left="320" w:top="914" w:right="339" w:bottom="1440" w:gutter="0" w:footer="0" w:header="0"/>
        </w:sectPr>
      </w:pPr>
    </w:p>
    <w:p>
      <w:pPr>
        <w:spacing w:after="0" w:line="39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2"/>
          <w:szCs w:val="22"/>
          <w:b w:val="1"/>
          <w:bCs w:val="1"/>
          <w:color w:val="auto"/>
        </w:rPr>
        <w:t>ARCTURUS THERAPEUTICS</w:t>
      </w:r>
    </w:p>
    <w:p>
      <w:pPr>
        <w:spacing w:after="0" w:line="1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2"/>
          <w:szCs w:val="22"/>
          <w:b w:val="1"/>
          <w:bCs w:val="1"/>
          <w:color w:val="auto"/>
        </w:rPr>
        <w:t>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1521460</wp:posOffset>
            </wp:positionV>
            <wp:extent cx="3471545" cy="5657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715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40" w:right="180" w:hanging="192"/>
        <w:spacing w:after="0" w:line="286" w:lineRule="auto"/>
        <w:rPr>
          <w:sz w:val="20"/>
          <w:szCs w:val="20"/>
          <w:color w:val="auto"/>
        </w:rPr>
      </w:pPr>
      <w:r>
        <w:rPr>
          <w:rFonts w:ascii="Times New Roman" w:cs="Times New Roman" w:eastAsia="Times New Roman" w:hAnsi="Times New Roman"/>
          <w:sz w:val="18"/>
          <w:szCs w:val="18"/>
          <w:b w:val="1"/>
          <w:bCs w:val="1"/>
          <w:color w:val="auto"/>
        </w:rPr>
        <w:t>PLEASE DO NOT RETURN THE PROXY CARD IF YOU ARE VOTING ELECTRONICALLY.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color w:val="auto"/>
        </w:rPr>
        <w:t>Your Internet vote authorizes the named proxies to vote your shares in the same manner as if you marked, signed and returned your proxy card. Votes submitted electronically over the Internet must be received by 11:59 p.m., Eastern Time,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4290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0" cy="30861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INTERNET </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www.cstproxyvote.com</w:t>
      </w:r>
    </w:p>
    <w:p>
      <w:pPr>
        <w:spacing w:after="0" w:line="31" w:lineRule="exact"/>
        <w:rPr>
          <w:sz w:val="20"/>
          <w:szCs w:val="20"/>
          <w:color w:val="auto"/>
        </w:rPr>
      </w:pPr>
    </w:p>
    <w:p>
      <w:pPr>
        <w:jc w:val="both"/>
        <w:ind w:left="640" w:right="60"/>
        <w:spacing w:after="0" w:line="255" w:lineRule="auto"/>
        <w:rPr>
          <w:sz w:val="20"/>
          <w:szCs w:val="20"/>
          <w:color w:val="auto"/>
        </w:rPr>
      </w:pPr>
      <w:r>
        <w:rPr>
          <w:rFonts w:ascii="Times New Roman" w:cs="Times New Roman" w:eastAsia="Times New Roman" w:hAnsi="Times New Roman"/>
          <w:sz w:val="18"/>
          <w:szCs w:val="18"/>
          <w:color w:val="auto"/>
        </w:rPr>
        <w:t>Use the Internet to vote your proxy. Have your proxy card available when you access the above website. Follow the prompts to vote your shares.</w:t>
      </w:r>
    </w:p>
    <w:p>
      <w:pPr>
        <w:spacing w:after="0" w:line="182" w:lineRule="exact"/>
        <w:rPr>
          <w:sz w:val="20"/>
          <w:szCs w:val="20"/>
          <w:color w:val="auto"/>
        </w:rPr>
      </w:pPr>
    </w:p>
    <w:p>
      <w:pPr>
        <w:ind w:left="640"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MAIL – </w:t>
      </w:r>
      <w:r>
        <w:rPr>
          <w:rFonts w:ascii="Times New Roman" w:cs="Times New Roman" w:eastAsia="Times New Roman" w:hAnsi="Times New Roman"/>
          <w:sz w:val="18"/>
          <w:szCs w:val="18"/>
          <w:color w:val="auto"/>
        </w:rPr>
        <w:t>Mark, sign and date your proxy card and return it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-298450</wp:posOffset>
            </wp:positionV>
            <wp:extent cx="282575"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2575" cy="214630"/>
                    </a:xfrm>
                    <a:prstGeom prst="rect">
                      <a:avLst/>
                    </a:prstGeom>
                    <a:noFill/>
                  </pic:spPr>
                </pic:pic>
              </a:graphicData>
            </a:graphic>
          </wp:anchor>
        </w:drawing>
      </w:r>
    </w:p>
    <w:p>
      <w:pPr>
        <w:spacing w:after="0" w:line="1293" w:lineRule="exact"/>
        <w:rPr>
          <w:sz w:val="20"/>
          <w:szCs w:val="20"/>
          <w:color w:val="auto"/>
        </w:rPr>
      </w:pPr>
    </w:p>
    <w:p>
      <w:pPr>
        <w:sectPr>
          <w:pgSz w:w="11900" w:h="16838" w:orient="portrait"/>
          <w:cols w:equalWidth="0" w:num="2">
            <w:col w:w="4860" w:space="720"/>
            <w:col w:w="5660"/>
          </w:cols>
          <w:pgMar w:left="320" w:top="914" w:right="339" w:bottom="1440" w:gutter="0" w:footer="0" w:header="0"/>
          <w:type w:val="continuous"/>
        </w:sectPr>
      </w:pP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0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FOLD HERE • DO NOT SEPARATE • INSERT IN ENVELOPE PROVIDED</w:t>
            </w:r>
          </w:p>
        </w:tc>
        <w:tc>
          <w:tcPr>
            <w:tcW w:w="1080" w:type="dxa"/>
            <w:vAlign w:val="bottom"/>
          </w:tcPr>
          <w:p>
            <w:pPr>
              <w:spacing w:after="0"/>
              <w:rPr>
                <w:sz w:val="18"/>
                <w:szCs w:val="18"/>
                <w:color w:val="auto"/>
              </w:rPr>
            </w:pPr>
          </w:p>
        </w:tc>
        <w:tc>
          <w:tcPr>
            <w:tcW w:w="660" w:type="dxa"/>
            <w:vAlign w:val="bottom"/>
            <w:vMerge w:val="restart"/>
          </w:tcPr>
          <w:p>
            <w:pPr>
              <w:ind w:left="80"/>
              <w:spacing w:after="0" w:line="651" w:lineRule="exact"/>
              <w:rPr>
                <w:sz w:val="20"/>
                <w:szCs w:val="20"/>
                <w:color w:val="auto"/>
              </w:rPr>
            </w:pPr>
            <w:r>
              <w:rPr>
                <w:rFonts w:ascii="MS PGothic" w:cs="MS PGothic" w:eastAsia="MS PGothic" w:hAnsi="MS PGothic"/>
                <w:sz w:val="65"/>
                <w:szCs w:val="65"/>
                <w:color w:val="auto"/>
                <w:w w:val="86"/>
              </w:rPr>
              <w:t>☒</w:t>
            </w:r>
          </w:p>
        </w:tc>
        <w:tc>
          <w:tcPr>
            <w:tcW w:w="0" w:type="dxa"/>
            <w:vAlign w:val="bottom"/>
          </w:tcPr>
          <w:p>
            <w:pPr>
              <w:spacing w:after="0"/>
              <w:rPr>
                <w:sz w:val="1"/>
                <w:szCs w:val="1"/>
                <w:color w:val="auto"/>
              </w:rPr>
            </w:pPr>
          </w:p>
        </w:tc>
      </w:tr>
      <w:tr>
        <w:trPr>
          <w:trHeight w:val="220"/>
        </w:trPr>
        <w:tc>
          <w:tcPr>
            <w:tcW w:w="9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PROXY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Please mark</w:t>
            </w: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BY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your votes</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500" w:type="dxa"/>
            <w:vAlign w:val="bottom"/>
            <w:vMerge w:val="continue"/>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like this</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UNDERSIGNED STOCKHOLDER. IF NO INSTRUCTIONS ARE GIVEN, THIS PROXY WILL BE VOTED FOR</w:t>
            </w:r>
          </w:p>
        </w:tc>
        <w:tc>
          <w:tcPr>
            <w:tcW w:w="10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THOSE NOMINEES AND THE PROPOSALS LISTED BELOW. DISCRETIONARY VOTING IS HEREBY</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CONFERRED AS TO CERTAIN MATTERS DESCRIBED IN THE ACCOMPANYING PROXY STATEMENT. THE</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OF DIRECTORS RECOMMENDS A VOTE “FOR” EACH NOMINEE AND “FOR” PROPOSALS 2, 3 AND 4.</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-1096645</wp:posOffset>
            </wp:positionV>
            <wp:extent cx="111125"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-1096645</wp:posOffset>
            </wp:positionV>
            <wp:extent cx="111125"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p>
      <w:pPr>
        <w:spacing w:after="0" w:line="126" w:lineRule="exact"/>
        <w:rPr>
          <w:sz w:val="20"/>
          <w:szCs w:val="20"/>
          <w:color w:val="auto"/>
        </w:rPr>
      </w:pPr>
    </w:p>
    <w:p>
      <w:pPr>
        <w:ind w:left="160" w:right="1960" w:hanging="152"/>
        <w:spacing w:after="0" w:line="241" w:lineRule="auto"/>
        <w:tabs>
          <w:tab w:leader="none" w:pos="16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election of the following individuals as directors of the Company, to serve until the next annual meeting of stockholders.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2.  To approve an amendment to the Amended</w:t>
            </w:r>
          </w:p>
        </w:tc>
        <w:tc>
          <w:tcPr>
            <w:tcW w:w="48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FOR</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AGAINST</w:t>
            </w:r>
          </w:p>
        </w:tc>
        <w:tc>
          <w:tcPr>
            <w:tcW w:w="64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6"/>
              </w:rPr>
              <w:t>ABSTAIN</w:t>
            </w:r>
          </w:p>
        </w:tc>
        <w:tc>
          <w:tcPr>
            <w:tcW w:w="0" w:type="dxa"/>
            <w:vAlign w:val="bottom"/>
          </w:tcPr>
          <w:p>
            <w:pPr>
              <w:spacing w:after="0"/>
              <w:rPr>
                <w:sz w:val="1"/>
                <w:szCs w:val="1"/>
                <w:color w:val="auto"/>
              </w:rPr>
            </w:pPr>
          </w:p>
        </w:tc>
      </w:tr>
      <w:tr>
        <w:trPr>
          <w:trHeight w:val="148"/>
        </w:trPr>
        <w:tc>
          <w:tcPr>
            <w:tcW w:w="28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and Restated 2019 Omnibus Equity</w:t>
            </w:r>
          </w:p>
        </w:tc>
        <w:tc>
          <w:tcPr>
            <w:tcW w:w="4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vMerge w:val="restart"/>
          </w:tcPr>
          <w:p>
            <w:pPr>
              <w:jc w:val="center"/>
              <w:ind w:left="13"/>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28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Incentive Plan (as amended, the “Plan”) to,</w:t>
            </w:r>
          </w:p>
        </w:tc>
        <w:tc>
          <w:tcPr>
            <w:tcW w:w="4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among other things, increase the maximum</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number of shares of common stock</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available to Plan participants thereunder by</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2,000,000 shares to an aggregate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10,750,000 shares, as provided in Proposal</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Number 2 of the Proxy Statement.</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ectPr>
          <w:pgSz w:w="11900" w:h="16838" w:orient="portrait"/>
          <w:cols w:equalWidth="0" w:num="2">
            <w:col w:w="5800" w:space="720"/>
            <w:col w:w="4720"/>
          </w:cols>
          <w:pgMar w:left="320" w:top="914" w:right="339" w:bottom="1440" w:gutter="0" w:footer="0" w:header="0"/>
          <w:type w:val="continuous"/>
        </w:sectPr>
      </w:pPr>
    </w:p>
    <w:tbl>
      <w:tblPr>
        <w:tblLayout w:type="fixed"/>
        <w:tblInd w:w="180" w:type="dxa"/>
        <w:tblCellMar>
          <w:top w:w="0" w:type="dxa"/>
          <w:left w:w="0" w:type="dxa"/>
          <w:bottom w:w="0" w:type="dxa"/>
          <w:right w:w="0" w:type="dxa"/>
        </w:tblCellMar>
      </w:tblPr>
      <w:tr>
        <w:trPr>
          <w:trHeight w:val="161"/>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 Peter Farrell</w:t>
            </w:r>
          </w:p>
        </w:tc>
        <w:tc>
          <w:tcPr>
            <w:tcW w:w="16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all</w:t>
            </w:r>
          </w:p>
        </w:tc>
        <w:tc>
          <w:tcPr>
            <w:tcW w:w="23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WITHHOLD AUTHORITY</w:t>
            </w:r>
          </w:p>
        </w:tc>
        <w:tc>
          <w:tcPr>
            <w:tcW w:w="3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  Approval, by non-binding advisory vote, of</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FOR</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AGAINST</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w w:val="93"/>
              </w:rPr>
              <w:t>ABSTAIN</w:t>
            </w:r>
          </w:p>
        </w:tc>
        <w:tc>
          <w:tcPr>
            <w:tcW w:w="0" w:type="dxa"/>
            <w:vAlign w:val="bottom"/>
          </w:tcPr>
          <w:p>
            <w:pPr>
              <w:spacing w:after="0"/>
              <w:rPr>
                <w:sz w:val="1"/>
                <w:szCs w:val="1"/>
                <w:color w:val="auto"/>
              </w:rPr>
            </w:pPr>
          </w:p>
        </w:tc>
      </w:tr>
      <w:tr>
        <w:trPr>
          <w:trHeight w:val="148"/>
        </w:trPr>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9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Joseph E. Payne</w:t>
            </w:r>
          </w:p>
        </w:tc>
        <w:tc>
          <w:tcPr>
            <w:tcW w:w="16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Nominees</w:t>
            </w:r>
          </w:p>
        </w:tc>
        <w:tc>
          <w:tcPr>
            <w:tcW w:w="234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to vote (except as marked to</w:t>
            </w:r>
          </w:p>
        </w:tc>
        <w:tc>
          <w:tcPr>
            <w:tcW w:w="31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the resolution approving the Company’s</w:t>
            </w:r>
          </w:p>
        </w:tc>
        <w:tc>
          <w:tcPr>
            <w:tcW w:w="4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vMerge w:val="restart"/>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640" w:type="dxa"/>
            <w:vAlign w:val="bottom"/>
            <w:vMerge w:val="restart"/>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  Andy Sassine</w:t>
            </w:r>
          </w:p>
        </w:tc>
        <w:tc>
          <w:tcPr>
            <w:tcW w:w="16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listed to the</w:t>
            </w:r>
          </w:p>
        </w:tc>
        <w:tc>
          <w:tcPr>
            <w:tcW w:w="23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the contrary for all nominees</w:t>
            </w:r>
          </w:p>
        </w:tc>
        <w:tc>
          <w:tcPr>
            <w:tcW w:w="31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Named Executive Officer compensation, as</w:t>
            </w:r>
          </w:p>
        </w:tc>
        <w:tc>
          <w:tcPr>
            <w:tcW w:w="4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(4)  James Barlow</w:t>
            </w:r>
          </w:p>
        </w:tc>
        <w:tc>
          <w:tcPr>
            <w:tcW w:w="16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rPr>
              <w:t>left</w:t>
            </w:r>
          </w:p>
        </w:tc>
        <w:tc>
          <w:tcPr>
            <w:tcW w:w="234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color w:val="auto"/>
              </w:rPr>
              <w:t>listed to the left)</w:t>
            </w:r>
          </w:p>
        </w:tc>
        <w:tc>
          <w:tcPr>
            <w:tcW w:w="31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provided in Proposal Number 3 of the Proxy</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  Dr. Edward W. Holmes</w:t>
            </w:r>
          </w:p>
        </w:tc>
        <w:tc>
          <w:tcPr>
            <w:tcW w:w="1620" w:type="dxa"/>
            <w:vAlign w:val="bottom"/>
            <w:vMerge w:val="restart"/>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2340" w:type="dxa"/>
            <w:vAlign w:val="bottom"/>
            <w:vMerge w:val="restart"/>
          </w:tcPr>
          <w:p>
            <w:pPr>
              <w:ind w:left="1160"/>
              <w:spacing w:after="0" w:line="141" w:lineRule="exact"/>
              <w:rPr>
                <w:sz w:val="20"/>
                <w:szCs w:val="20"/>
                <w:color w:val="auto"/>
              </w:rPr>
            </w:pPr>
            <w:r>
              <w:rPr>
                <w:rFonts w:ascii="MS PGothic" w:cs="MS PGothic" w:eastAsia="MS PGothic" w:hAnsi="MS PGothic"/>
                <w:sz w:val="14"/>
                <w:szCs w:val="14"/>
                <w:color w:val="auto"/>
              </w:rPr>
              <w:t>☐</w:t>
            </w:r>
          </w:p>
        </w:tc>
        <w:tc>
          <w:tcPr>
            <w:tcW w:w="310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Statement.</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 Magda Marquet</w:t>
            </w:r>
          </w:p>
        </w:tc>
        <w:tc>
          <w:tcPr>
            <w:tcW w:w="1620" w:type="dxa"/>
            <w:vAlign w:val="bottom"/>
            <w:vMerge w:val="continue"/>
          </w:tcPr>
          <w:p>
            <w:pPr>
              <w:spacing w:after="0"/>
              <w:rPr>
                <w:sz w:val="14"/>
                <w:szCs w:val="14"/>
                <w:color w:val="auto"/>
              </w:rPr>
            </w:pPr>
          </w:p>
        </w:tc>
        <w:tc>
          <w:tcPr>
            <w:tcW w:w="2340" w:type="dxa"/>
            <w:vAlign w:val="bottom"/>
            <w:vMerge w:val="continue"/>
          </w:tcPr>
          <w:p>
            <w:pPr>
              <w:spacing w:after="0"/>
              <w:rPr>
                <w:sz w:val="14"/>
                <w:szCs w:val="14"/>
                <w:color w:val="auto"/>
              </w:rPr>
            </w:pPr>
          </w:p>
        </w:tc>
        <w:tc>
          <w:tcPr>
            <w:tcW w:w="3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0" w:hanging="212"/>
        <w:spacing w:after="0" w:line="221" w:lineRule="auto"/>
        <w:tabs>
          <w:tab w:leader="none" w:pos="4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Jing L. Marantz</w:t>
      </w:r>
    </w:p>
    <w:p>
      <w:pPr>
        <w:ind w:left="400" w:hanging="212"/>
        <w:spacing w:after="0"/>
        <w:tabs>
          <w:tab w:leader="none" w:pos="4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John Markels</w:t>
      </w:r>
    </w:p>
    <w:p>
      <w:pPr>
        <w:sectPr>
          <w:pgSz w:w="11900" w:h="16838" w:orient="portrait"/>
          <w:cols w:equalWidth="0" w:num="1">
            <w:col w:w="11240"/>
          </w:cols>
          <w:pgMar w:left="320" w:top="914" w:right="339" w:bottom="1440" w:gutter="0" w:footer="0" w:header="0"/>
          <w:type w:val="continuous"/>
        </w:sectPr>
      </w:pP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(INSTRUCTION: To withhold authority to vote for any individual nominee, strike a line through that nominee’s name in the list above)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4.  Ratification of the appointment of Deloitte</w:t>
            </w: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FOR</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AGAINST</w:t>
            </w:r>
          </w:p>
        </w:tc>
        <w:tc>
          <w:tcPr>
            <w:tcW w:w="64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6"/>
              </w:rPr>
              <w:t>ABSTAIN</w:t>
            </w:r>
          </w:p>
        </w:tc>
        <w:tc>
          <w:tcPr>
            <w:tcW w:w="0" w:type="dxa"/>
            <w:vAlign w:val="bottom"/>
          </w:tcPr>
          <w:p>
            <w:pPr>
              <w:spacing w:after="0"/>
              <w:rPr>
                <w:sz w:val="1"/>
                <w:szCs w:val="1"/>
                <w:color w:val="auto"/>
              </w:rPr>
            </w:pPr>
          </w:p>
        </w:tc>
      </w:tr>
      <w:tr>
        <w:trPr>
          <w:trHeight w:val="148"/>
        </w:trPr>
        <w:tc>
          <w:tcPr>
            <w:tcW w:w="28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&amp; Touche LLP as the Company’s</w:t>
            </w:r>
          </w:p>
        </w:tc>
        <w:tc>
          <w:tcPr>
            <w:tcW w:w="4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40" w:type="dxa"/>
            <w:vAlign w:val="bottom"/>
            <w:vMerge w:val="restart"/>
          </w:tcPr>
          <w:p>
            <w:pPr>
              <w:jc w:val="center"/>
              <w:ind w:left="13"/>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28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independent registered public accounting</w:t>
            </w:r>
          </w:p>
        </w:tc>
        <w:tc>
          <w:tcPr>
            <w:tcW w:w="4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firm for the fiscal year ending December 31,</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40" w:space="180"/>
            <w:col w:w="4720"/>
          </w:cols>
          <w:pgMar w:left="320" w:top="914" w:right="339" w:bottom="1440" w:gutter="0" w:footer="0" w:header="0"/>
          <w:type w:val="continuous"/>
        </w:sectPr>
      </w:pPr>
    </w:p>
    <w:p>
      <w:pPr>
        <w:spacing w:after="0" w:line="197"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54325"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43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Signature__________________________Signature if held jointly</w:t>
      </w:r>
      <w:r>
        <w:rPr>
          <w:rFonts w:ascii="Times New Roman" w:cs="Times New Roman" w:eastAsia="Times New Roman" w:hAnsi="Times New Roman"/>
          <w:sz w:val="18"/>
          <w:szCs w:val="18"/>
          <w:color w:val="auto"/>
        </w:rPr>
        <w:t>_</w:t>
      </w:r>
      <w:r>
        <w:rPr>
          <w:rFonts w:ascii="Times New Roman" w:cs="Times New Roman" w:eastAsia="Times New Roman" w:hAnsi="Times New Roman"/>
          <w:sz w:val="18"/>
          <w:szCs w:val="18"/>
          <w:b w:val="1"/>
          <w:bCs w:val="1"/>
          <w:color w:val="auto"/>
        </w:rPr>
        <w:t>_____________________ Date____________, 2024.</w:t>
      </w:r>
    </w:p>
    <w:p>
      <w:pPr>
        <w:spacing w:after="0" w:line="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Note: Please sign exactly as your name appears on this Proxy. When shares are held jointly, each holder should sign. When signing as an executor, administrator, trustee, or guardian, please give the full title as such. If the signer is a corporation, please sign the full corporate name by a duly 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81" w:name="page82"/>
    <w:bookmarkEnd w:id="81"/>
    <w:p>
      <w:pPr>
        <w:jc w:val="center"/>
        <w:ind w:left="340" w:right="2740"/>
        <w:spacing w:after="0" w:line="246" w:lineRule="auto"/>
        <w:rPr>
          <w:sz w:val="20"/>
          <w:szCs w:val="20"/>
          <w:color w:val="auto"/>
        </w:rPr>
      </w:pPr>
      <w:r>
        <w:rPr>
          <w:rFonts w:ascii="Times New Roman" w:cs="Times New Roman" w:eastAsia="Times New Roman" w:hAnsi="Times New Roman"/>
          <w:sz w:val="22"/>
          <w:szCs w:val="22"/>
          <w:b w:val="1"/>
          <w:bCs w:val="1"/>
          <w:color w:val="auto"/>
        </w:rPr>
        <w:t>Important Notice Regarding the Internet Availability of Proxy Materials for the Annual Meeting of Stockholders to be held Friday, June 14,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view the 2024 Proxy Statement and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Annual Report please go to:</w:t>
      </w:r>
    </w:p>
    <w:p>
      <w:pPr>
        <w:jc w:val="center"/>
        <w:spacing w:after="0"/>
        <w:rPr>
          <w:sz w:val="20"/>
          <w:szCs w:val="20"/>
          <w:color w:val="auto"/>
        </w:rPr>
      </w:pPr>
      <w:r>
        <w:rPr>
          <w:rFonts w:ascii="Times New Roman" w:cs="Times New Roman" w:eastAsia="Times New Roman" w:hAnsi="Times New Roman"/>
          <w:sz w:val="22"/>
          <w:szCs w:val="22"/>
          <w:b w:val="1"/>
          <w:bCs w:val="1"/>
          <w:color w:val="auto"/>
        </w:rPr>
        <w:t>https://www.cstproxy.com/arcturusrx/2024</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sz w:val="1"/>
          <w:szCs w:val="1"/>
          <w:color w:val="auto"/>
        </w:rPr>
        <w:drawing>
          <wp:inline distT="0" distB="0" distL="0" distR="0">
            <wp:extent cx="111125" cy="10287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FOLD HERE • DO NOT SEPARATE • INSERT IN ENVELOPE PROVIDED</w:t>
      </w:r>
      <w:r>
        <w:rPr>
          <w:sz w:val="1"/>
          <w:szCs w:val="1"/>
          <w:color w:val="auto"/>
        </w:rPr>
        <w:drawing>
          <wp:inline distT="0" distB="0" distL="0" distR="0">
            <wp:extent cx="111125" cy="10287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ANNUAL MEETING OF STOCKHOLDERS TO BE HELD JUNE 14, 2024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ARCTURUS THERAPEUTICS HOLDINGS INC.</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undersigned appoints Joseph E. Payne and Andy Sassine, and each of them, agents and proxies of the undersigned, with full power of substitution to each of them, to represent and to vote on behalf of the undersigned all the Common Stock of Arcturus Therapeutics Holdings Inc. (the “Company”) which the undersigned is entitled to vote at the Annual Meeting of Stockholders (the “Meeting”) to be held at 9:00 a.m. (Pacific Time) on Friday, June 14, 2024, and at any adjournments or postponements thereof, upon the following matters on the reverse side, which are more fully described in the Proxy Statement relating to the Meeting.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the other side)</w:t>
      </w:r>
    </w:p>
    <w:sectPr>
      <w:pgSz w:w="11900" w:h="16838" w:orient="portrait"/>
      <w:cols w:equalWidth="0" w:num="1">
        <w:col w:w="11240"/>
      </w:cols>
      <w:pgMar w:left="320" w:top="7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decimal"/>
      <w:start w:val="3"/>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decimal"/>
      <w:start w:val="1"/>
    </w:lvl>
  </w:abstractNum>
  <w:abstractNum w:abstractNumId="6">
    <w:nsid w:val="6A2342EC"/>
    <w:multiLevelType w:val="hybridMultilevel"/>
    <w:lvl w:ilvl="0">
      <w:lvlJc w:val="left"/>
      <w:lvlText w:val="(%1)"/>
      <w:numFmt w:val="decimal"/>
      <w:start w:val="2"/>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1)"/>
      <w:numFmt w:val="lowerRoman"/>
      <w:start w:val="3"/>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decimal"/>
      <w:start w:val="1"/>
    </w:lvl>
    <w:lvl w:ilvl="1">
      <w:lvlJc w:val="left"/>
      <w:lvlText w:val="(%2)"/>
      <w:numFmt w:val="decimal"/>
      <w:start w:val="1"/>
    </w:lvl>
  </w:abstractNum>
  <w:abstractNum w:abstractNumId="26">
    <w:nsid w:val="12E685FB"/>
    <w:multiLevelType w:val="hybridMultilevel"/>
    <w:lvl w:ilvl="0">
      <w:lvlJc w:val="left"/>
      <w:lvlText w:val="(%1)"/>
      <w:numFmt w:val="decimal"/>
      <w:start w:val="2"/>
    </w:lvl>
    <w:lvl w:ilvl="1">
      <w:lvlJc w:val="left"/>
      <w:lvlText w:val="%2"/>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4"/>
    </w:lvl>
  </w:abstractNum>
  <w:abstractNum w:abstractNumId="34">
    <w:nsid w:val="39386575"/>
    <w:multiLevelType w:val="hybridMultilevel"/>
    <w:lvl w:ilvl="0">
      <w:lvlJc w:val="left"/>
      <w:lvlText w:val="(%1)"/>
      <w:numFmt w:val="decimal"/>
      <w:start w:val="5"/>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2"/>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1"/>
      <w:numFmt w:val="lowerLetter"/>
      <w:start w:val="1"/>
    </w:lvl>
    <w:lvl w:ilvl="1">
      <w:lvlJc w:val="left"/>
      <w:lvlText w:val="(%2)"/>
      <w:numFmt w:val="lowerLetter"/>
      <w:start w:val="1"/>
    </w:lvl>
  </w:abstractNum>
  <w:abstractNum w:abstractNumId="45">
    <w:nsid w:val="61574095"/>
    <w:multiLevelType w:val="hybridMultilevel"/>
    <w:lvl w:ilvl="0">
      <w:lvlJc w:val="left"/>
      <w:lvlText w:val="(%1)"/>
      <w:numFmt w:val="lowerLetter"/>
      <w:start w:val="9"/>
    </w:lvl>
    <w:lvl w:ilvl="1">
      <w:lvlJc w:val="left"/>
      <w:lvlText w:val="(%2)"/>
      <w:numFmt w:val="lowerLetter"/>
      <w:start w:val="3"/>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Roman"/>
      <w:start w:val="1"/>
    </w:lvl>
  </w:abstractNum>
  <w:abstractNum w:abstractNumId="48">
    <w:nsid w:val="579BE4F1"/>
    <w:multiLevelType w:val="hybridMultilevel"/>
    <w:lvl w:ilvl="0">
      <w:lvlJc w:val="left"/>
      <w:lvlText w:val="(%1)"/>
      <w:numFmt w:val="lowerLetter"/>
      <w:start w:val="2"/>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Letter"/>
      <w:start w:val="3"/>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1"/>
    </w:lvl>
    <w:lvl w:ilvl="1">
      <w:lvlJc w:val="left"/>
      <w:lvlText w:val="(%2)"/>
      <w:numFmt w:val="lowerLetter"/>
      <w:start w:val="11"/>
    </w:lvl>
  </w:abstractNum>
  <w:abstractNum w:abstractNumId="53">
    <w:nsid w:val="1DBABF00"/>
    <w:multiLevelType w:val="hybridMultilevel"/>
    <w:lvl w:ilvl="0">
      <w:lvlJc w:val="left"/>
      <w:lvlText w:val="(%1)"/>
      <w:numFmt w:val="lowerLetter"/>
      <w:start w:val="35"/>
    </w:lvl>
    <w:lvl w:ilvl="1">
      <w:lvlJc w:val="left"/>
      <w:lvlText w:val="(%2)"/>
      <w:numFmt w:val="lowerLetter"/>
      <w:start w:val="14"/>
    </w:lvl>
  </w:abstractNum>
  <w:abstractNum w:abstractNumId="54">
    <w:nsid w:val="4AD084E9"/>
    <w:multiLevelType w:val="hybridMultilevel"/>
    <w:lvl w:ilvl="0">
      <w:lvlJc w:val="left"/>
      <w:lvlText w:val="(%1)"/>
      <w:numFmt w:val="lowerRoman"/>
      <w:start w:val="1"/>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3"/>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3"/>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2"/>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3"/>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25"/>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Letter"/>
      <w:start w:val="1"/>
    </w:lvl>
    <w:lvl w:ilvl="1">
      <w:lvlJc w:val="left"/>
      <w:lvlText w:val="(%2)"/>
      <w:numFmt w:val="lowerRoman"/>
      <w:start w:val="1"/>
    </w:lvl>
  </w:abstractNum>
  <w:abstractNum w:abstractNumId="73">
    <w:nsid w:val="613EFDC5"/>
    <w:multiLevelType w:val="hybridMultilevel"/>
    <w:lvl w:ilvl="0">
      <w:lvlJc w:val="left"/>
      <w:lvlText w:val="(%1)"/>
      <w:numFmt w:val="lowerLetter"/>
      <w:start w:val="2"/>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2"/>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2024-04-29T15:19:49Z</dcterms:created>
  <dcterms:modified xsi:type="dcterms:W3CDTF">2024-04-29T15:19:49Z</dcterms:modified>
</cp:coreProperties>
</file>