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4613_8k-arct.htm"/>
      <w:bookmarkStart w:id="1" w:name="kse664613_8karct"/>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Washington, D.C. 20549</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 </w:t>
      </w:r>
      <w:bookmarkStart w:id="2" w:name="xdx_908_edei--DocumentType_c20250606__20"/>
      <w:bookmarkEnd w:id="2"/>
      <w:r>
        <w:rPr>
          <w:rFonts w:ascii="Times New Roman;Times;Serif" w:hAnsi="Times New Roman;Times;Serif"/>
          <w:b/>
          <w:i w:val="false"/>
          <w:caps w:val="false"/>
          <w:smallCaps w:val="false"/>
          <w:color w:val="212529"/>
          <w:sz w:val="20"/>
        </w:rPr>
        <w:t>8-K</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of the Securities Exchange Act of 1934</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Date of Report (Date of earliest event reported): </w:t>
      </w:r>
      <w:bookmarkStart w:id="3" w:name="xdx_90C_edei--DocumentPeriodEndDate_c202"/>
      <w:bookmarkEnd w:id="3"/>
      <w:r>
        <w:rPr>
          <w:rFonts w:ascii="Times New Roman;Times;Serif" w:hAnsi="Times New Roman;Times;Serif"/>
          <w:b/>
          <w:i w:val="false"/>
          <w:caps w:val="false"/>
          <w:smallCaps w:val="false"/>
          <w:color w:val="212529"/>
          <w:sz w:val="20"/>
        </w:rPr>
        <w:t>June 6, 2025</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36"/>
        </w:rPr>
      </w:pPr>
      <w:bookmarkStart w:id="4" w:name="xdx_90A_edei--EntityRegistrantName_c2025"/>
      <w:bookmarkEnd w:id="4"/>
      <w:r>
        <w:rPr>
          <w:rFonts w:ascii="Times New Roman;Times;Serif" w:hAnsi="Times New Roman;Times;Serif"/>
          <w:b/>
          <w:i w:val="false"/>
          <w:caps w:val="false"/>
          <w:smallCaps w:val="false"/>
          <w:color w:val="212529"/>
          <w:sz w:val="36"/>
        </w:rPr>
        <w:t>ARCTURUS THERAPEUTICS HOLDINGS INC.</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(Exact name of registrant as specified in its charter)</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rPr>
            </w:pPr>
            <w:bookmarkStart w:id="5" w:name="xdx_909_edei--EntityIncorporationStateCo"/>
            <w:bookmarkEnd w:id="5"/>
            <w:r>
              <w:rPr>
                <w:rFonts w:ascii="Times New Roman;Times;Serif" w:hAnsi="Times New Roman;Times;Serif"/>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rPr>
            </w:pPr>
            <w:bookmarkStart w:id="6" w:name="xdx_907_edei--EntityFileNumber_c20250606"/>
            <w:bookmarkEnd w:id="6"/>
            <w:r>
              <w:rPr>
                <w:rFonts w:ascii="Times New Roman;Times;Serif" w:hAnsi="Times New Roman;Times;Serif"/>
                <w:b/>
              </w:rPr>
              <w:t>001-38942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rPr>
            </w:pPr>
            <w:bookmarkStart w:id="7" w:name="xdx_905_edei--EntityTaxIdentificationNum"/>
            <w:bookmarkEnd w:id="7"/>
            <w:r>
              <w:rPr>
                <w:rFonts w:ascii="Times New Roman;Times;Serif" w:hAnsi="Times New Roman;Times;Serif"/>
                <w:b/>
              </w:rPr>
              <w:t>32-0595345</w:t>
            </w:r>
          </w:p>
        </w:tc>
      </w:tr>
      <w:tr>
        <w:trPr/>
        <w:tc>
          <w:tcPr>
            <w:tcW w:w="272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(I.R.S. Employer</w:t>
              <w:br/>
              <w:t>Identification No.)</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8" w:name="xdx_900_edei--EntityAddressAddressLine1_"/>
      <w:bookmarkEnd w:id="8"/>
      <w:r>
        <w:rPr>
          <w:rFonts w:ascii="Times New Roman;Times;Serif" w:hAnsi="Times New Roman;Times;Serif"/>
          <w:b/>
          <w:i w:val="false"/>
          <w:caps w:val="false"/>
          <w:smallCaps w:val="false"/>
          <w:color w:val="212529"/>
          <w:sz w:val="20"/>
        </w:rPr>
        <w:t>10628 Science Center Drive,</w:t>
      </w:r>
      <w:bookmarkStart w:id="9" w:name="xdx_904_edei--EntityAddressAddressLine2_"/>
      <w:bookmarkEnd w:id="9"/>
      <w:r>
        <w:rPr>
          <w:rFonts w:ascii="Times New Roman;Times;Serif" w:hAnsi="Times New Roman;Times;Serif"/>
          <w:b/>
          <w:i w:val="false"/>
          <w:caps w:val="false"/>
          <w:smallCaps w:val="false"/>
          <w:color w:val="212529"/>
          <w:sz w:val="20"/>
        </w:rPr>
        <w:t> Suite 250</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10" w:name="xdx_900_edei--EntityAddressCityOrTown_c2"/>
      <w:bookmarkEnd w:id="10"/>
      <w:r>
        <w:rPr>
          <w:rFonts w:ascii="Times New Roman;Times;Serif" w:hAnsi="Times New Roman;Times;Serif"/>
          <w:b/>
          <w:i w:val="false"/>
          <w:caps w:val="false"/>
          <w:smallCaps w:val="false"/>
          <w:color w:val="212529"/>
          <w:sz w:val="20"/>
        </w:rPr>
        <w:t>San Diego, </w:t>
      </w:r>
      <w:bookmarkStart w:id="11" w:name="xdx_900_edei--EntityAddressStateOrProvin"/>
      <w:bookmarkEnd w:id="11"/>
      <w:r>
        <w:rPr>
          <w:rFonts w:ascii="Times New Roman;Times;Serif" w:hAnsi="Times New Roman;Times;Serif"/>
          <w:b/>
          <w:i w:val="false"/>
          <w:caps w:val="false"/>
          <w:smallCaps w:val="false"/>
          <w:color w:val="212529"/>
          <w:sz w:val="20"/>
        </w:rPr>
        <w:t>California </w:t>
      </w:r>
      <w:bookmarkStart w:id="12" w:name="xdx_900_edei--EntityAddressPostalZipCode"/>
      <w:bookmarkEnd w:id="12"/>
      <w:r>
        <w:rPr>
          <w:rFonts w:ascii="Times New Roman;Times;Serif" w:hAnsi="Times New Roman;Times;Serif"/>
          <w:b/>
          <w:i w:val="false"/>
          <w:caps w:val="false"/>
          <w:smallCaps w:val="false"/>
          <w:color w:val="212529"/>
          <w:sz w:val="20"/>
        </w:rPr>
        <w:t>92121</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(Address of principal executive offices)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Registrant’s telephone number, including area code: </w:t>
      </w:r>
      <w:bookmarkStart w:id="13" w:name="xdx_902_edei--CityAreaCode_c20250606__20"/>
      <w:bookmarkEnd w:id="13"/>
      <w:r>
        <w:rPr>
          <w:rFonts w:ascii="Times New Roman;Times;Serif" w:hAnsi="Times New Roman;Times;Serif"/>
          <w:b/>
          <w:i w:val="false"/>
          <w:caps w:val="false"/>
          <w:smallCaps w:val="false"/>
          <w:color w:val="212529"/>
          <w:sz w:val="20"/>
        </w:rPr>
        <w:t>(858) </w:t>
      </w:r>
      <w:bookmarkStart w:id="14" w:name="xdx_90D_edei--LocalPhoneNumber_c20250606"/>
      <w:bookmarkEnd w:id="14"/>
      <w:r>
        <w:rPr>
          <w:rFonts w:ascii="Times New Roman;Times;Serif" w:hAnsi="Times New Roman;Times;Serif"/>
          <w:b/>
          <w:i w:val="false"/>
          <w:caps w:val="false"/>
          <w:smallCaps w:val="false"/>
          <w:color w:val="212529"/>
          <w:sz w:val="20"/>
        </w:rPr>
        <w:t>900-2660</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(Former name or former address, if changed since last report)</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1_edei--SolicitingMaterial_c202506"/>
            <w:bookmarkEnd w:id="16"/>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Securities registered pursuant to Section 12(b) of the Act:</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8925" w:type="dxa"/>
        <w:jc w:val="left"/>
        <w:tblInd w:w="0" w:type="dxa"/>
        <w:tblLayout w:type="fixed"/>
        <w:tblCellMar>
          <w:top w:w="0" w:type="dxa"/>
          <w:left w:w="0" w:type="dxa"/>
          <w:bottom w:w="28" w:type="dxa"/>
          <w:right w:w="0" w:type="dxa"/>
        </w:tblCellMar>
      </w:tblPr>
      <w:tblGrid>
        <w:gridCol w:w="4385"/>
        <w:gridCol w:w="60"/>
        <w:gridCol w:w="860"/>
        <w:gridCol w:w="60"/>
        <w:gridCol w:w="3560"/>
      </w:tblGrid>
      <w:tr>
        <w:trPr/>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w:t>
              <w:br/>
              <w:t>on which registered</w:t>
            </w:r>
          </w:p>
        </w:tc>
      </w:tr>
      <w:tr>
        <w:trPr/>
        <w:tc>
          <w:tcPr>
            <w:tcW w:w="4385" w:type="dxa"/>
            <w:tcBorders/>
            <w:tcMar>
              <w:bottom w:w="0" w:type="dxa"/>
            </w:tcMar>
            <w:vAlign w:val="center"/>
          </w:tcPr>
          <w:p>
            <w:pPr>
              <w:pStyle w:val="TableContents"/>
              <w:bidi w:val="0"/>
              <w:spacing w:before="0" w:after="283"/>
              <w:jc w:val="center"/>
              <w:rPr>
                <w:rFonts w:ascii="Times New Roman;Times;Serif" w:hAnsi="Times New Roman;Times;Serif"/>
                <w:b/>
              </w:rPr>
            </w:pPr>
            <w:bookmarkStart w:id="19" w:name="xdx_90F_edei--Security12bTitle_c20250606"/>
            <w:bookmarkEnd w:id="19"/>
            <w:r>
              <w:rPr>
                <w:rFonts w:ascii="Times New Roman;Times;Serif" w:hAnsi="Times New Roman;Times;Serif"/>
                <w:b/>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rPr>
            </w:pPr>
            <w:bookmarkStart w:id="20" w:name="xdx_901_edei--TradingSymbol_c20250606__2"/>
            <w:bookmarkEnd w:id="20"/>
            <w:r>
              <w:rPr>
                <w:rFonts w:ascii="Times New Roman;Times;Serif" w:hAnsi="Times New Roman;Times;Serif"/>
                <w:b/>
              </w:rPr>
              <w:t>ARCT</w:t>
            </w:r>
          </w:p>
        </w:tc>
        <w:tc>
          <w:tcPr>
            <w:tcW w:w="6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rFonts w:ascii="Times New Roman;Times;Serif" w:hAnsi="Times New Roman;Times;Serif"/>
                <w:b/>
              </w:rPr>
            </w:pPr>
            <w:bookmarkStart w:id="21" w:name="xdx_90E_edei--SecurityExchangeName_c2025"/>
            <w:bookmarkEnd w:id="21"/>
            <w:r>
              <w:rPr>
                <w:rFonts w:ascii="Times New Roman;Times;Serif" w:hAnsi="Times New Roman;Times;Serif"/>
                <w:b/>
              </w:rPr>
              <w:t>The NASDAQ Stock Market LLC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Emerging growth company </w:t>
      </w:r>
      <w:bookmarkStart w:id="22" w:name="xdx_905_edei--EntityEmergingGrowthCompan"/>
      <w:bookmarkEnd w:id="22"/>
      <w:r>
        <w:rPr>
          <w:rFonts w:ascii="Times New Roman;Times;Serif" w:hAnsi="Times New Roman;Times;Serif"/>
          <w:b w:val="false"/>
          <w:i w:val="false"/>
          <w:caps w:val="false"/>
          <w:smallCaps w:val="false"/>
          <w:color w:val="212529"/>
          <w:sz w:val="20"/>
        </w:rPr>
        <w:t>☐</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6325" w:type="dxa"/>
        <w:jc w:val="left"/>
        <w:tblInd w:w="0" w:type="dxa"/>
        <w:shd w:fill="FFFFFF" w:val="clear"/>
        <w:tblLayout w:type="fixed"/>
        <w:tblCellMar>
          <w:top w:w="0" w:type="dxa"/>
          <w:left w:w="0" w:type="dxa"/>
          <w:bottom w:w="0" w:type="dxa"/>
          <w:right w:w="0" w:type="dxa"/>
        </w:tblCellMar>
      </w:tblPr>
      <w:tblGrid>
        <w:gridCol w:w="980"/>
        <w:gridCol w:w="5345"/>
      </w:tblGrid>
      <w:tr>
        <w:trPr/>
        <w:tc>
          <w:tcPr>
            <w:tcW w:w="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5.07</w:t>
            </w:r>
          </w:p>
        </w:tc>
        <w:tc>
          <w:tcPr>
            <w:tcW w:w="53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Submission of Matters to a Vote of Security Holders.</w:t>
            </w:r>
          </w:p>
        </w:tc>
      </w:tr>
    </w:tbl>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June 6, 2025, Arcturus Therapeutics Holdings Inc. (the “Company”) held its 2025 annual meeting of stockholders (the “Meeting”).The total number of shares of common stock, par value $0.001 per share, entitled to vote at the Meeting was 27,120,603 and there were present at the Meeting, in person or by proxy, 22,006,524 shares, which constituted a quorum for the Meeting.</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At the Meeting, the stockholders voted on the following proposals, each of which is described in more detail in the Company’s definitive proxy statement filed with the SEC on April 25, 2025 (the “Proxy Statement”):</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(1) To elect Dr. Peter Farrell, Joseph E. Payne, Andy Sassine, James Barlow, Dr. Edward W. Holmes, Dr. Magda Marquet, Dr. Jing L. Marantz, Dr. John Markels, and Dr. Moncef Slaoui to the Board of Directors, to serve until the Company’s annual meeting of stockholders;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(2) To approve, on a non-binding advisory basis, the resolution approving named executive officer compensation; and</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(3) To ratify the appointment of Deloitte &amp; Touche LLP (“Deloitte”), as the Company’s independent registered public accounting firm for the fiscal year ending December 31, 2025.</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final results of the stockholder votes at the Meeting are set forth below:</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u w:val="single"/>
        </w:rPr>
      </w:pPr>
      <w:r>
        <w:rPr>
          <w:rFonts w:ascii="Times New Roman;Times;Serif" w:hAnsi="Times New Roman;Times;Serif"/>
          <w:b w:val="false"/>
          <w:i w:val="false"/>
          <w:caps w:val="false"/>
          <w:smallCaps w:val="false"/>
          <w:color w:val="212529"/>
          <w:sz w:val="20"/>
          <w:u w:val="single"/>
        </w:rPr>
        <w:t>Proposal No. 1</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10205" w:type="dxa"/>
        <w:jc w:val="left"/>
        <w:tblInd w:w="0" w:type="dxa"/>
        <w:tblLayout w:type="fixed"/>
        <w:tblCellMar>
          <w:top w:w="0" w:type="dxa"/>
          <w:left w:w="0" w:type="dxa"/>
          <w:bottom w:w="0" w:type="dxa"/>
          <w:right w:w="0" w:type="dxa"/>
        </w:tblCellMar>
      </w:tblPr>
      <w:tblGrid>
        <w:gridCol w:w="6864"/>
        <w:gridCol w:w="60"/>
        <w:gridCol w:w="60"/>
        <w:gridCol w:w="950"/>
        <w:gridCol w:w="60"/>
        <w:gridCol w:w="60"/>
        <w:gridCol w:w="60"/>
        <w:gridCol w:w="695"/>
        <w:gridCol w:w="60"/>
        <w:gridCol w:w="60"/>
        <w:gridCol w:w="78"/>
        <w:gridCol w:w="1099"/>
        <w:gridCol w:w="99"/>
      </w:tblGrid>
      <w:tr>
        <w:trPr/>
        <w:tc>
          <w:tcPr>
            <w:tcW w:w="6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Withhold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7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Broker Non-Votes</w:t>
            </w:r>
          </w:p>
        </w:tc>
      </w:tr>
      <w:tr>
        <w:trPr/>
        <w:tc>
          <w:tcPr>
            <w:tcW w:w="68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Approval of the election of the following individuals as directors of the Company, as provided in Proposal Number 1 of the Proxy Statement: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8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Dr. Peter Farrell</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18,907,661</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215,201</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8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 Joseph E. Payne</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18,932,228</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190,634</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8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 Andy Sassine</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18,757,976</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364,886</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8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 James Barlow</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18,821,935</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300,927</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8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 Dr. Edward W. Holmes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18,555,174</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567,688</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8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 Dr. Magda Marquet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18,791,599</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331,263</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8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 Dr. Jing L. Marantz</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18,805,219</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317,643</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8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 Dr. John H. Markels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18,969,935</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152,927</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8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 Dr. Moncef Slaoui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19,059,965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8"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Each of the nine nominees was elected to the Board, each to hold office until the Company’s 2026 annual meeting of stockholders and until their respective successors are elected and qualified.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u w:val="single"/>
        </w:rPr>
      </w:pPr>
      <w:r>
        <w:rPr>
          <w:rFonts w:ascii="Times New Roman;Times;Serif" w:hAnsi="Times New Roman;Times;Serif"/>
          <w:b w:val="false"/>
          <w:i w:val="false"/>
          <w:caps w:val="false"/>
          <w:smallCaps w:val="false"/>
          <w:color w:val="212529"/>
          <w:sz w:val="20"/>
          <w:u w:val="single"/>
        </w:rPr>
        <w:t>Proposal No. 2</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10205" w:type="dxa"/>
        <w:jc w:val="left"/>
        <w:tblInd w:w="0" w:type="dxa"/>
        <w:tblLayout w:type="fixed"/>
        <w:tblCellMar>
          <w:top w:w="0" w:type="dxa"/>
          <w:left w:w="0" w:type="dxa"/>
          <w:bottom w:w="0" w:type="dxa"/>
          <w:right w:w="0" w:type="dxa"/>
        </w:tblCellMar>
      </w:tblPr>
      <w:tblGrid>
        <w:gridCol w:w="6210"/>
        <w:gridCol w:w="60"/>
        <w:gridCol w:w="60"/>
        <w:gridCol w:w="950"/>
        <w:gridCol w:w="60"/>
        <w:gridCol w:w="60"/>
        <w:gridCol w:w="60"/>
        <w:gridCol w:w="695"/>
        <w:gridCol w:w="60"/>
        <w:gridCol w:w="60"/>
        <w:gridCol w:w="60"/>
        <w:gridCol w:w="590"/>
        <w:gridCol w:w="60"/>
        <w:gridCol w:w="60"/>
        <w:gridCol w:w="70"/>
        <w:gridCol w:w="999"/>
        <w:gridCol w:w="91"/>
      </w:tblGrid>
      <w:tr>
        <w:trPr/>
        <w:tc>
          <w:tcPr>
            <w:tcW w:w="6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Against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Abstain</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6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Broker Non-Votes</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Approval, </w:t>
            </w:r>
            <w:r>
              <w:rPr>
                <w:rFonts w:ascii="Times New Roman;Times;Serif" w:hAnsi="Times New Roman;Times;Serif"/>
                <w:b w:val="false"/>
                <w:i w:val="false"/>
                <w:caps w:val="false"/>
                <w:smallCaps w:val="false"/>
                <w:color w:val="212529"/>
                <w:sz w:val="20"/>
              </w:rPr>
              <w:t>on a non-binding advisory basis, the resolution approving named executive officer compensation</w:t>
            </w:r>
            <w:r>
              <w:rPr>
                <w:rFonts w:ascii="Times New Roman;Times;Serif" w:hAnsi="Times New Roman;Times;Serif"/>
                <w:b w:val="false"/>
                <w:i w:val="false"/>
                <w:caps w:val="false"/>
                <w:smallCaps w:val="false"/>
                <w:color w:val="000000"/>
                <w:sz w:val="20"/>
              </w:rPr>
              <w:t>, referred to as “say-on-pay,” as provided in Proposal Number 2 of the Proxy Statement: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18,472,131</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586,006</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64,724</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2,883,662</w:t>
            </w:r>
          </w:p>
        </w:tc>
        <w:tc>
          <w:tcPr>
            <w:tcW w:w="9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proposal was approved.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u w:val="single"/>
        </w:rPr>
      </w:pPr>
      <w:r>
        <w:rPr>
          <w:rFonts w:ascii="Times New Roman;Times;Serif" w:hAnsi="Times New Roman;Times;Serif"/>
          <w:b w:val="false"/>
          <w:i w:val="false"/>
          <w:caps w:val="false"/>
          <w:smallCaps w:val="false"/>
          <w:color w:val="212529"/>
          <w:sz w:val="20"/>
          <w:u w:val="single"/>
        </w:rPr>
        <w:t>Proposal No. 3</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10205" w:type="dxa"/>
        <w:jc w:val="left"/>
        <w:tblInd w:w="0" w:type="dxa"/>
        <w:tblLayout w:type="fixed"/>
        <w:tblCellMar>
          <w:top w:w="0" w:type="dxa"/>
          <w:left w:w="0" w:type="dxa"/>
          <w:bottom w:w="0" w:type="dxa"/>
          <w:right w:w="0" w:type="dxa"/>
        </w:tblCellMar>
      </w:tblPr>
      <w:tblGrid>
        <w:gridCol w:w="6440"/>
        <w:gridCol w:w="60"/>
        <w:gridCol w:w="60"/>
        <w:gridCol w:w="950"/>
        <w:gridCol w:w="60"/>
        <w:gridCol w:w="60"/>
        <w:gridCol w:w="60"/>
        <w:gridCol w:w="590"/>
        <w:gridCol w:w="60"/>
        <w:gridCol w:w="60"/>
        <w:gridCol w:w="64"/>
        <w:gridCol w:w="521"/>
        <w:gridCol w:w="65"/>
        <w:gridCol w:w="60"/>
        <w:gridCol w:w="1095"/>
      </w:tblGrid>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Against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5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Abstain</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Broker Non-Votes</w:t>
            </w:r>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Approval of the ratification of the appointment of Deloitte as the Company’s independent registered public accounting firm for the year ending December 31, 2025, as provided in Proposal Number 3 of the Proxy Statement: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21,971,168</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30,589</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4"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4,767</w:t>
            </w:r>
          </w:p>
        </w:tc>
        <w:tc>
          <w:tcPr>
            <w:tcW w:w="6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w:t>
            </w:r>
          </w:p>
        </w:tc>
      </w:tr>
    </w:tbl>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appointment was ratified.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SIGNATURES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5589" w:type="dxa"/>
        <w:jc w:val="left"/>
        <w:tblInd w:w="0" w:type="dxa"/>
        <w:tblLayout w:type="fixed"/>
        <w:tblCellMar>
          <w:top w:w="0" w:type="dxa"/>
          <w:left w:w="0" w:type="dxa"/>
          <w:bottom w:w="0" w:type="dxa"/>
          <w:right w:w="0" w:type="dxa"/>
        </w:tblCellMar>
      </w:tblPr>
      <w:tblGrid>
        <w:gridCol w:w="1820"/>
        <w:gridCol w:w="830"/>
        <w:gridCol w:w="2939"/>
      </w:tblGrid>
      <w:tr>
        <w:trPr/>
        <w:tc>
          <w:tcPr>
            <w:tcW w:w="182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Arcturus Therapeutics Holdings Inc.</w:t>
            </w:r>
          </w:p>
        </w:tc>
      </w:tr>
      <w:tr>
        <w:trPr/>
        <w:tc>
          <w:tcPr>
            <w:tcW w:w="18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June 6, 2025</w:t>
            </w:r>
          </w:p>
        </w:tc>
        <w:tc>
          <w:tcPr>
            <w:tcW w:w="3769"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939"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18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9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E. Payne</w:t>
            </w:r>
          </w:p>
        </w:tc>
      </w:tr>
      <w:tr>
        <w:trPr/>
        <w:tc>
          <w:tcPr>
            <w:tcW w:w="18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9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4292</Characters>
  <CharactersWithSpaces>5153</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