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13d-101)</w:t>
      </w:r>
    </w:p>
    <w:p>
      <w:pPr>
        <w:spacing w:after="0" w:line="236"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4980" w:right="4820" w:firstLine="199"/>
        <w:spacing w:after="0" w:line="460" w:lineRule="auto"/>
        <w:tabs>
          <w:tab w:leader="none" w:pos="5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240.13d-2(a) (Amendment No. )</w:t>
      </w:r>
      <w:r>
        <w:rPr>
          <w:rFonts w:ascii="Arial" w:cs="Arial" w:eastAsia="Arial" w:hAnsi="Arial"/>
          <w:sz w:val="24"/>
          <w:szCs w:val="24"/>
          <w:color w:val="auto"/>
          <w:vertAlign w:val="superscript"/>
        </w:rPr>
        <w:t>1</w:t>
      </w:r>
    </w:p>
    <w:p>
      <w:pPr>
        <w:jc w:val="center"/>
        <w:ind w:right="-1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0.01</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M2239P 10 9</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BROSH CAPITAL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January 23, 2017</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0"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9" w:lineRule="exact"/>
        <w:rPr>
          <w:sz w:val="24"/>
          <w:szCs w:val="24"/>
          <w:color w:val="auto"/>
        </w:rPr>
      </w:pPr>
    </w:p>
    <w:p>
      <w:pPr>
        <w:ind w:right="60" w:firstLine="8"/>
        <w:spacing w:after="0" w:line="211" w:lineRule="auto"/>
        <w:tabs>
          <w:tab w:leader="none" w:pos="693"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3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Brosh Capital L.P.</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Cayman Islands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939,471</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939,471</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939,471</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2</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Exodus Capital L.P.</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Cayman Islands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1,035,596</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1,035,596</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1,035,596</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3</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Brosh Funds Management Ltd.</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939,471</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939,471</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939,471</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4</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Exodus Management Israel Ltd.</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1,125,041</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1,125,041</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1,125,041</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5</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Amir Efrati</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2,064,512</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2,064,512</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2,064,512</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6</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statement relates to the Ordinary Shares, par value of NIS 0.01 (the “Shares”), of Alcobra Ltd., an Israeli corporation (the “Issuer”). The address of the principal executive offices of the Issuer is Azrieli Triangle Building, 132 Derech Menachem Begin, 39th Floor, Tel Aviv 6701101 Israel.</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52" w:lineRule="exact"/>
        <w:rPr>
          <w:sz w:val="20"/>
          <w:szCs w:val="20"/>
          <w:color w:val="auto"/>
        </w:rPr>
      </w:pPr>
    </w:p>
    <w:p>
      <w:pPr>
        <w:ind w:left="2000" w:hanging="695"/>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52" w:lineRule="exact"/>
        <w:rPr>
          <w:rFonts w:ascii="Arial" w:cs="Arial" w:eastAsia="Arial" w:hAnsi="Arial"/>
          <w:sz w:val="18"/>
          <w:szCs w:val="18"/>
          <w:color w:val="auto"/>
        </w:rPr>
      </w:pPr>
    </w:p>
    <w:p>
      <w:pPr>
        <w:ind w:left="1960" w:hanging="493"/>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Brosh Capital L.P., a Cayman Islands limited partnership (“Brosh”);</w:t>
      </w:r>
    </w:p>
    <w:p>
      <w:pPr>
        <w:spacing w:after="0" w:line="252" w:lineRule="exact"/>
        <w:rPr>
          <w:rFonts w:ascii="Arial" w:cs="Arial" w:eastAsia="Arial" w:hAnsi="Arial"/>
          <w:sz w:val="18"/>
          <w:szCs w:val="18"/>
          <w:color w:val="auto"/>
        </w:rPr>
      </w:pPr>
    </w:p>
    <w:p>
      <w:pPr>
        <w:ind w:left="1960" w:hanging="493"/>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Exodus Capital L.P., a Cayman Islands limited partnership (“Exodus”);</w:t>
      </w:r>
    </w:p>
    <w:p>
      <w:pPr>
        <w:spacing w:after="0" w:line="252" w:lineRule="exact"/>
        <w:rPr>
          <w:rFonts w:ascii="Arial" w:cs="Arial" w:eastAsia="Arial" w:hAnsi="Arial"/>
          <w:sz w:val="18"/>
          <w:szCs w:val="18"/>
          <w:color w:val="auto"/>
        </w:rPr>
      </w:pPr>
    </w:p>
    <w:p>
      <w:pPr>
        <w:ind w:left="1960" w:hanging="493"/>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Brosh Funds Management Ltd., an Israeli corporation, which serves as the general partner of Brosh (“Brosh GP”);</w:t>
      </w:r>
    </w:p>
    <w:p>
      <w:pPr>
        <w:spacing w:after="0" w:line="252" w:lineRule="exact"/>
        <w:rPr>
          <w:rFonts w:ascii="Arial" w:cs="Arial" w:eastAsia="Arial" w:hAnsi="Arial"/>
          <w:sz w:val="18"/>
          <w:szCs w:val="18"/>
          <w:color w:val="auto"/>
        </w:rPr>
      </w:pPr>
    </w:p>
    <w:p>
      <w:pPr>
        <w:ind w:left="1960" w:right="500" w:hanging="493"/>
        <w:spacing w:after="0" w:line="277"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Exodus Management Israel Ltd., an Israeli corporation, which serves as the general partner of Exodus (“Exodus GP”) and as portfolio manager for a certain managed account (the “Exodus Managed Account”); and</w:t>
      </w:r>
    </w:p>
    <w:p>
      <w:pPr>
        <w:spacing w:after="0" w:line="197" w:lineRule="exact"/>
        <w:rPr>
          <w:rFonts w:ascii="Arial" w:cs="Arial" w:eastAsia="Arial" w:hAnsi="Arial"/>
          <w:sz w:val="18"/>
          <w:szCs w:val="18"/>
          <w:color w:val="auto"/>
        </w:rPr>
      </w:pPr>
    </w:p>
    <w:p>
      <w:pPr>
        <w:ind w:left="1960" w:hanging="493"/>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Amir Efrati, who serves as the portfolio manager of each of Brosh and Exodus.</w:t>
      </w:r>
    </w:p>
    <w:p>
      <w:pPr>
        <w:spacing w:after="0" w:line="252"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51" w:lineRule="exact"/>
        <w:rPr>
          <w:sz w:val="20"/>
          <w:szCs w:val="20"/>
          <w:color w:val="auto"/>
        </w:rPr>
      </w:pPr>
    </w:p>
    <w:p>
      <w:pPr>
        <w:jc w:val="both"/>
        <w:ind w:firstLine="1305"/>
        <w:spacing w:after="0" w:line="264" w:lineRule="auto"/>
        <w:tabs>
          <w:tab w:leader="none" w:pos="20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address of the principal office of each of the Reporting Persons is 11 Menachem Begin Rd., Ramat-Gan, Israel. The officers and directors of each of Brosh GP and Exodus GP and each of their principal occupations and business addresses are set forth on Schedule A and are incorporated by reference in this Item 2.</w:t>
      </w:r>
    </w:p>
    <w:p>
      <w:pPr>
        <w:spacing w:after="0" w:line="208" w:lineRule="exact"/>
        <w:rPr>
          <w:rFonts w:ascii="Arial" w:cs="Arial" w:eastAsia="Arial" w:hAnsi="Arial"/>
          <w:sz w:val="18"/>
          <w:szCs w:val="18"/>
          <w:color w:val="auto"/>
        </w:rPr>
      </w:pPr>
    </w:p>
    <w:p>
      <w:pPr>
        <w:jc w:val="both"/>
        <w:ind w:firstLine="1305"/>
        <w:spacing w:after="0" w:line="286" w:lineRule="auto"/>
        <w:tabs>
          <w:tab w:leader="none" w:pos="207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principal business of each of Brosh and Exodus is investing in securities. The principal business of Brosh GP is serving as the general partner of Brosh. The principal business of Exodus GP is serving as the general partner of Exodus and as a portfolio manager for the Exodus Managed Account. The principal occupation of Mr. Efrati is serving as the portfolio manager of each of Brosh and Exodus.</w:t>
      </w:r>
    </w:p>
    <w:p>
      <w:pPr>
        <w:spacing w:after="0" w:line="192" w:lineRule="exact"/>
        <w:rPr>
          <w:rFonts w:ascii="Arial" w:cs="Arial" w:eastAsia="Arial" w:hAnsi="Arial"/>
          <w:sz w:val="17"/>
          <w:szCs w:val="17"/>
          <w:color w:val="auto"/>
        </w:rPr>
      </w:pPr>
    </w:p>
    <w:p>
      <w:pPr>
        <w:ind w:firstLine="1305"/>
        <w:spacing w:after="0" w:line="277" w:lineRule="auto"/>
        <w:tabs>
          <w:tab w:leader="none" w:pos="2127"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Reporting Person nor any person listed on Schedule A, annexed hereto, has, during the last five years, been convicted in a criminal proceeding (excluding traffic violations or similar misdemeanors).</w:t>
      </w:r>
    </w:p>
    <w:p>
      <w:pPr>
        <w:spacing w:after="0" w:line="197" w:lineRule="exact"/>
        <w:rPr>
          <w:rFonts w:ascii="Arial" w:cs="Arial" w:eastAsia="Arial" w:hAnsi="Arial"/>
          <w:sz w:val="18"/>
          <w:szCs w:val="18"/>
          <w:color w:val="auto"/>
        </w:rPr>
      </w:pPr>
    </w:p>
    <w:p>
      <w:pPr>
        <w:jc w:val="both"/>
        <w:ind w:firstLine="1305"/>
        <w:spacing w:after="0" w:line="259" w:lineRule="auto"/>
        <w:tabs>
          <w:tab w:leader="none" w:pos="210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Reporting Person nor any person listed on Schedule A, annexed hereto,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3" w:lineRule="exact"/>
        <w:rPr>
          <w:rFonts w:ascii="Arial" w:cs="Arial" w:eastAsia="Arial" w:hAnsi="Arial"/>
          <w:sz w:val="18"/>
          <w:szCs w:val="18"/>
          <w:color w:val="auto"/>
        </w:rPr>
      </w:pPr>
    </w:p>
    <w:p>
      <w:pPr>
        <w:ind w:left="1980" w:hanging="675"/>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Efrati is a citizen of Israel. The citizenship of the persons listed on Schedule A is set forth therein.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Shares purchased by each of Brosh and Exodus, and held in the Exodus Managed Account were purchased with working capital (which may, at any given time, include margin loans made by brokerage firms in the ordinary course of business) in open market purchases, except as otherwise noted in Schedule B, which is incorporated herein by reference. The aggregate purchase price of the 939,471 Shares owned directly by Brosh is approximately $944,450, excluding brokerage commissions. The aggregate purchase price of the 1,035,596 Shares owned directly by Exodus is approximately $1,031,471, excluding brokerage commissions. The aggregate purchase price of the 89,445 Shares held in the Exodus Managed Account is approximately $91,964, excluding brokerage commissions.</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Reporting Persons purchased the securities of the Issuer reported herein based on the Reporting Persons’ belief that such securities, when purchased, were undervalued and represented an attractive investment opportunity. Depending upon overall market conditions, other investment opportunities available to the Reporting Persons, and the availability of securities of the Issuer at prices that would make the purchase or sale of securities of the Issuer desirable, the Reporting Persons may endeavor to increase or decrease their position in the Issuer through, among other things, the purchase or sale of securities of the Issuer on the open market or in private transactions or otherwise, on such terms and at such times as the Reporting Persons may deem advisable.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Reporting Person has any present plan or proposal which would relate to or result in any of the matters set forth in subparagraphs (a) -</w:t>
      </w:r>
    </w:p>
    <w:p>
      <w:pPr>
        <w:spacing w:after="0" w:line="46" w:lineRule="exact"/>
        <w:rPr>
          <w:sz w:val="20"/>
          <w:szCs w:val="20"/>
          <w:color w:val="auto"/>
        </w:rPr>
      </w:pPr>
    </w:p>
    <w:p>
      <w:pPr>
        <w:jc w:val="both"/>
        <w:ind w:firstLine="8"/>
        <w:spacing w:after="0" w:line="288" w:lineRule="auto"/>
        <w:tabs>
          <w:tab w:leader="none" w:pos="237" w:val="left"/>
        </w:tabs>
        <w:numPr>
          <w:ilvl w:val="0"/>
          <w:numId w:val="5"/>
        </w:numPr>
        <w:rPr>
          <w:rFonts w:ascii="Arial" w:cs="Arial" w:eastAsia="Arial" w:hAnsi="Arial"/>
          <w:sz w:val="16"/>
          <w:szCs w:val="16"/>
          <w:color w:val="auto"/>
        </w:rPr>
      </w:pPr>
      <w:r>
        <w:rPr>
          <w:rFonts w:ascii="Arial" w:cs="Arial" w:eastAsia="Arial" w:hAnsi="Arial"/>
          <w:sz w:val="16"/>
          <w:szCs w:val="16"/>
          <w:color w:val="auto"/>
        </w:rPr>
        <w:t>of Item 4 of Schedule 13D except as set forth herein or such as would occur upon completion of any of the actions discussed herein. The Reporting Persons intend to review their investment in the Issuer on a continuing basis and may from time to time engage in additional discussions with management and the Board. Depending on various factors including, without limitation, the Issuer’s financial position and investment strategy, the price levels of the securities of the Issuer, conditions in the securities markets and general economic and industry conditions, the Reporting Persons may in the future take such actions with respect to their investment in the Issuer as they deem appropriate including, without limitation, making proposals to or concerning the Issuer, purchasing additional securities of the Issuer, selling some or all of their securities of the Issuer, engaging in short selling of or any hedging or similar transaction with respect to the securities of the Issuer, or change their intention with respect to any and all matters referred to in Item 4.</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64" w:lineRule="auto"/>
        <w:tabs>
          <w:tab w:leader="none" w:pos="2068"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27,560,920 Shares outstanding, which is the total number of Shares outstanding as reported in the Issuer’s Annual Report on Form 20-F filed with the Securities and Exchange Commission on March 4, 2016.</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Brosh</w:t>
      </w:r>
    </w:p>
    <w:p>
      <w:pPr>
        <w:spacing w:after="0" w:line="252" w:lineRule="exact"/>
        <w:rPr>
          <w:rFonts w:ascii="Arial" w:cs="Arial" w:eastAsia="Arial" w:hAnsi="Arial"/>
          <w:sz w:val="18"/>
          <w:szCs w:val="18"/>
          <w:color w:val="auto"/>
        </w:rPr>
      </w:pPr>
    </w:p>
    <w:p>
      <w:pPr>
        <w:ind w:left="1300" w:right="3540" w:hanging="644"/>
        <w:spacing w:after="0" w:line="53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of the close of business on February 1, 2017, Brosh beneficially owned 939,471 Shares. Percentage: Approximately 3.4%</w:t>
      </w: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939,471</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939,471</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transactions in the Shares by Brosh during the past 60 days are set forth in Schedule B and are incorporated herein by reference.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Exodus</w:t>
      </w:r>
    </w:p>
    <w:p>
      <w:pPr>
        <w:spacing w:after="0" w:line="252" w:lineRule="exact"/>
        <w:rPr>
          <w:rFonts w:ascii="Arial" w:cs="Arial" w:eastAsia="Arial" w:hAnsi="Arial"/>
          <w:sz w:val="18"/>
          <w:szCs w:val="18"/>
          <w:color w:val="auto"/>
        </w:rPr>
      </w:pPr>
    </w:p>
    <w:p>
      <w:pPr>
        <w:ind w:left="1300" w:right="3280" w:hanging="644"/>
        <w:spacing w:after="0" w:line="516"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of the close of business on February 1, 2017, Exodus beneficially owned 1,035,596 Shares. Percentage: Approximately 3.8%</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1,035,596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1,035,596</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transactions in the Shares by Exodus during the past 60 days are set forth in Schedule B and are incorporated herein by reference.</w:t>
      </w:r>
    </w:p>
    <w:p>
      <w:pPr>
        <w:spacing w:after="0" w:line="275"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Brosh GP</w:t>
      </w:r>
    </w:p>
    <w:p>
      <w:pPr>
        <w:spacing w:after="0" w:line="252" w:lineRule="exact"/>
        <w:rPr>
          <w:rFonts w:ascii="Arial" w:cs="Arial" w:eastAsia="Arial" w:hAnsi="Arial"/>
          <w:sz w:val="18"/>
          <w:szCs w:val="18"/>
          <w:color w:val="auto"/>
        </w:rPr>
      </w:pPr>
    </w:p>
    <w:p>
      <w:pPr>
        <w:ind w:left="1300" w:right="560" w:hanging="644"/>
        <w:spacing w:after="0" w:line="516"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the general partner of Brosh, Brosh GP may be deemed the beneficial owner of the 939,471 Shares beneficially owned by Brosh. Percentage: Approximately 3.4%</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939,471</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939,471</w:t>
      </w:r>
    </w:p>
    <w:p>
      <w:pPr>
        <w:spacing w:after="0" w:line="23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Brosh GP has not entered into any transactions in the Shares during the past 60 days. The transactions in the Shares by Brosh during the past 60 days are set forth in Schedule B and are incorporated herein by reference.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Exodus GP</w:t>
      </w:r>
    </w:p>
    <w:p>
      <w:pPr>
        <w:spacing w:after="0" w:line="252" w:lineRule="exact"/>
        <w:rPr>
          <w:rFonts w:ascii="Arial" w:cs="Arial" w:eastAsia="Arial" w:hAnsi="Arial"/>
          <w:sz w:val="18"/>
          <w:szCs w:val="18"/>
          <w:color w:val="auto"/>
        </w:rPr>
      </w:pPr>
    </w:p>
    <w:p>
      <w:pPr>
        <w:ind w:left="1300" w:right="52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the general partner of Exodus, Exodus GP may be deemed the beneficial owner of the (i) 1,035,596 Shares beneficially owned by Exodus and (ii) 89,445 Shares held in the Exodus Managed Account.</w:t>
      </w:r>
    </w:p>
    <w:p>
      <w:pPr>
        <w:spacing w:after="0" w:line="19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4.1%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1,125,041</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1,125,041</w:t>
      </w:r>
    </w:p>
    <w:p>
      <w:pPr>
        <w:spacing w:after="0" w:line="237" w:lineRule="exact"/>
        <w:rPr>
          <w:rFonts w:ascii="Arial" w:cs="Arial" w:eastAsia="Arial" w:hAnsi="Arial"/>
          <w:sz w:val="18"/>
          <w:szCs w:val="18"/>
          <w:color w:val="auto"/>
        </w:rPr>
      </w:pPr>
    </w:p>
    <w:p>
      <w:pPr>
        <w:ind w:left="1300" w:right="56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Exodus GP has not entered into any transactions in the Shares during the past 60 days. The transactions in the Shares by Exodus and through the Exodus Managed Account during the past 60 days are set forth in Schedule B and are incorporated herein by reference.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Efrati</w:t>
      </w:r>
    </w:p>
    <w:p>
      <w:pPr>
        <w:spacing w:after="0" w:line="252" w:lineRule="exact"/>
        <w:rPr>
          <w:rFonts w:ascii="Arial" w:cs="Arial" w:eastAsia="Arial" w:hAnsi="Arial"/>
          <w:sz w:val="18"/>
          <w:szCs w:val="18"/>
          <w:color w:val="auto"/>
        </w:rPr>
      </w:pPr>
    </w:p>
    <w:p>
      <w:pPr>
        <w:ind w:left="1300" w:right="160" w:hanging="644"/>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Mr. Efrati as the portfolio manager of each of Brosh and Exodus, may be deemed the beneficial owner of the (i) 939,471 Shares owned by Brosh ; (ii) 1,035,596 Shares owned by Exodus and (iii) 89,445 Shares held in the Exodus Managed Account.</w:t>
      </w:r>
    </w:p>
    <w:p>
      <w:pPr>
        <w:spacing w:after="0" w:line="173"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Percentage: Approximately 7.5%</w:t>
      </w:r>
    </w:p>
    <w:p>
      <w:pPr>
        <w:spacing w:after="0" w:line="225" w:lineRule="exact"/>
        <w:rPr>
          <w:rFonts w:ascii="Arial" w:cs="Arial" w:eastAsia="Arial" w:hAnsi="Arial"/>
          <w:sz w:val="17"/>
          <w:szCs w:val="17"/>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2,064,512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2,064,512</w:t>
      </w:r>
    </w:p>
    <w:p>
      <w:pPr>
        <w:spacing w:after="0" w:line="23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Mr. Efrati has not entered into any transactions in the Shares during the past 60 days. The transactions in the Shares by each of Brosh and Exodus and through the Exodous Managed Account during the past 60 days are set forth in Schedule B and are incorporated herein by reference.</w:t>
      </w:r>
    </w:p>
    <w:p>
      <w:pPr>
        <w:spacing w:after="0" w:line="20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214" w:lineRule="exact"/>
        <w:rPr>
          <w:sz w:val="20"/>
          <w:szCs w:val="20"/>
          <w:color w:val="auto"/>
        </w:rPr>
      </w:pPr>
    </w:p>
    <w:p>
      <w:pPr>
        <w:ind w:right="440" w:firstLine="656"/>
        <w:spacing w:after="0" w:line="277" w:lineRule="auto"/>
        <w:tabs>
          <w:tab w:leader="none" w:pos="1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person, other than the Reporting Persons and the Exodus Managed Account, is known to have the right to receive, or the power to direct the receipt of dividends from, or proceeds from the sale of, the Shares.</w:t>
      </w:r>
    </w:p>
    <w:p>
      <w:pPr>
        <w:spacing w:after="0" w:line="197" w:lineRule="exact"/>
        <w:rPr>
          <w:sz w:val="20"/>
          <w:szCs w:val="20"/>
          <w:color w:val="auto"/>
        </w:rPr>
      </w:pPr>
    </w:p>
    <w:p>
      <w:pPr>
        <w:ind w:left="2000" w:hanging="695"/>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February 2, 2017, the Reporting Persons entered into a Joint Filing Agreement in which the Reporting Persons agreed to the joint filing on behalf of each of them of statements on Schedule 13D with respect to securities of the Issuer, to the extent required by applicable law. The Joint Filing Agreement is attached hereto as Exhibit 99.1 and is incorporated herein by reference.</w:t>
      </w:r>
    </w:p>
    <w:p>
      <w:pPr>
        <w:spacing w:after="0" w:line="20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52"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Joint Filing Agreement by and among Brosh Capital L.P., Exodus Capital L.P., Brosh Funds Management Ltd., Exodus Management Israel Ltd. and Amir Efrati dated February 2, 2017.</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reasonable inquiry and to the best of his knowledge and belief, the undersigned certifies that the information set forth in this statement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is true, complete and correct.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45"/>
        </w:trPr>
        <w:tc>
          <w:tcPr>
            <w:tcW w:w="6100" w:type="dxa"/>
            <w:vAlign w:val="bottom"/>
          </w:tcPr>
          <w:p>
            <w:pPr>
              <w:spacing w:after="0"/>
              <w:rPr>
                <w:sz w:val="20"/>
                <w:szCs w:val="20"/>
                <w:color w:val="auto"/>
              </w:rPr>
            </w:pPr>
            <w:r>
              <w:rPr>
                <w:rFonts w:ascii="Arial" w:cs="Arial" w:eastAsia="Arial" w:hAnsi="Arial"/>
                <w:sz w:val="18"/>
                <w:szCs w:val="18"/>
                <w:color w:val="auto"/>
              </w:rPr>
              <w:t>Dated: February 2, 2017</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59"/>
        </w:trPr>
        <w:tc>
          <w:tcPr>
            <w:tcW w:w="7360" w:type="dxa"/>
            <w:vAlign w:val="bottom"/>
            <w:gridSpan w:val="3"/>
          </w:tcPr>
          <w:p>
            <w:pPr>
              <w:ind w:left="5640"/>
              <w:spacing w:after="0"/>
              <w:rPr>
                <w:sz w:val="20"/>
                <w:szCs w:val="20"/>
                <w:color w:val="auto"/>
              </w:rPr>
            </w:pPr>
            <w:r>
              <w:rPr>
                <w:rFonts w:ascii="Arial" w:cs="Arial" w:eastAsia="Arial" w:hAnsi="Arial"/>
                <w:sz w:val="18"/>
                <w:szCs w:val="18"/>
                <w:color w:val="auto"/>
                <w:w w:val="93"/>
              </w:rPr>
              <w:t>BROSH CAPITAL L.P.</w:t>
            </w:r>
          </w:p>
        </w:tc>
        <w:tc>
          <w:tcPr>
            <w:tcW w:w="4060" w:type="dxa"/>
            <w:vAlign w:val="bottom"/>
          </w:tcPr>
          <w:p>
            <w:pPr>
              <w:spacing w:after="0"/>
              <w:rPr>
                <w:sz w:val="24"/>
                <w:szCs w:val="24"/>
                <w:color w:val="auto"/>
              </w:rPr>
            </w:pPr>
          </w:p>
        </w:tc>
      </w:tr>
      <w:tr>
        <w:trPr>
          <w:trHeight w:val="418"/>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Brosh Funds Management Ltd.</w:t>
            </w:r>
          </w:p>
        </w:tc>
      </w:tr>
      <w:tr>
        <w:trPr>
          <w:trHeight w:val="230"/>
        </w:trPr>
        <w:tc>
          <w:tcPr>
            <w:tcW w:w="6100" w:type="dxa"/>
            <w:vAlign w:val="bottom"/>
          </w:tcPr>
          <w:p>
            <w:pPr>
              <w:spacing w:after="0"/>
              <w:rPr>
                <w:sz w:val="20"/>
                <w:szCs w:val="20"/>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Its General Partner</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EXODUS CAPITAL L.P.</w:t>
            </w:r>
          </w:p>
        </w:tc>
      </w:tr>
      <w:tr>
        <w:trPr>
          <w:trHeight w:val="418"/>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6100" w:type="dxa"/>
            <w:vAlign w:val="bottom"/>
          </w:tcPr>
          <w:p>
            <w:pPr>
              <w:spacing w:after="0"/>
              <w:rPr>
                <w:sz w:val="20"/>
                <w:szCs w:val="20"/>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Its General Partner</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BROSH FUNDS MANAGEMENT LTD.</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EXODUS MANAGEMENT ISRAEL LTD.</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6791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Amir Efrati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CUSIP NO. M2239P 10 9</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99"/>
              </w:rPr>
              <w:t>SCHEDULE A</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9"/>
        </w:trPr>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1"/>
              </w:rPr>
              <w:t>Directors &amp; Officers of Brosh Funds Management Ltd.</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9"/>
        </w:trPr>
        <w:tc>
          <w:tcPr>
            <w:tcW w:w="7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89"/>
              </w:rPr>
              <w:t>Name and Position</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w w:val="99"/>
              </w:rPr>
              <w:t>Present Principal Occupation</w:t>
            </w:r>
          </w:p>
        </w:tc>
        <w:tc>
          <w:tcPr>
            <w:tcW w:w="104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Business Address</w:t>
            </w:r>
          </w:p>
        </w:tc>
        <w:tc>
          <w:tcPr>
            <w:tcW w:w="2120" w:type="dxa"/>
            <w:vAlign w:val="bottom"/>
            <w:gridSpan w:val="2"/>
          </w:tcPr>
          <w:p>
            <w:pPr>
              <w:ind w:left="1300"/>
              <w:spacing w:after="0"/>
              <w:rPr>
                <w:sz w:val="20"/>
                <w:szCs w:val="20"/>
                <w:color w:val="auto"/>
              </w:rPr>
            </w:pPr>
            <w:r>
              <w:rPr>
                <w:rFonts w:ascii="Arial" w:cs="Arial" w:eastAsia="Arial" w:hAnsi="Arial"/>
                <w:sz w:val="18"/>
                <w:szCs w:val="18"/>
                <w:color w:val="auto"/>
                <w:w w:val="90"/>
              </w:rPr>
              <w:t>Citizenship</w:t>
            </w:r>
          </w:p>
        </w:tc>
      </w:tr>
      <w:tr>
        <w:trPr>
          <w:trHeight w:val="20"/>
        </w:trPr>
        <w:tc>
          <w:tcPr>
            <w:tcW w:w="7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438"/>
        </w:trPr>
        <w:tc>
          <w:tcPr>
            <w:tcW w:w="2520" w:type="dxa"/>
            <w:vAlign w:val="bottom"/>
            <w:gridSpan w:val="3"/>
          </w:tcPr>
          <w:p>
            <w:pPr>
              <w:spacing w:after="0"/>
              <w:rPr>
                <w:sz w:val="20"/>
                <w:szCs w:val="20"/>
                <w:color w:val="auto"/>
              </w:rPr>
            </w:pPr>
            <w:r>
              <w:rPr>
                <w:rFonts w:ascii="Arial" w:cs="Arial" w:eastAsia="Arial" w:hAnsi="Arial"/>
                <w:sz w:val="18"/>
                <w:szCs w:val="18"/>
                <w:color w:val="auto"/>
              </w:rPr>
              <w:t>Amir Efrati, Director &amp;</w:t>
            </w:r>
          </w:p>
        </w:tc>
        <w:tc>
          <w:tcPr>
            <w:tcW w:w="3180" w:type="dxa"/>
            <w:vAlign w:val="bottom"/>
            <w:gridSpan w:val="4"/>
          </w:tcPr>
          <w:p>
            <w:pPr>
              <w:ind w:left="380"/>
              <w:spacing w:after="0"/>
              <w:rPr>
                <w:sz w:val="20"/>
                <w:szCs w:val="20"/>
                <w:color w:val="auto"/>
              </w:rPr>
            </w:pPr>
            <w:r>
              <w:rPr>
                <w:rFonts w:ascii="Arial" w:cs="Arial" w:eastAsia="Arial" w:hAnsi="Arial"/>
                <w:sz w:val="18"/>
                <w:szCs w:val="18"/>
                <w:color w:val="auto"/>
              </w:rPr>
              <w:t>Portfolio Manager of</w:t>
            </w: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Brosh Capital,</w:t>
            </w:r>
          </w:p>
        </w:tc>
        <w:tc>
          <w:tcPr>
            <w:tcW w:w="2120" w:type="dxa"/>
            <w:vAlign w:val="bottom"/>
            <w:gridSpan w:val="2"/>
          </w:tcPr>
          <w:p>
            <w:pPr>
              <w:ind w:left="420"/>
              <w:spacing w:after="0"/>
              <w:rPr>
                <w:sz w:val="20"/>
                <w:szCs w:val="20"/>
                <w:color w:val="auto"/>
              </w:rPr>
            </w:pPr>
            <w:r>
              <w:rPr>
                <w:rFonts w:ascii="Arial" w:cs="Arial" w:eastAsia="Arial" w:hAnsi="Arial"/>
                <w:sz w:val="18"/>
                <w:szCs w:val="18"/>
                <w:color w:val="auto"/>
              </w:rPr>
              <w:t>Israel</w:t>
            </w: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Portfolio Manager</w:t>
            </w:r>
          </w:p>
        </w:tc>
        <w:tc>
          <w:tcPr>
            <w:tcW w:w="3180" w:type="dxa"/>
            <w:vAlign w:val="bottom"/>
            <w:gridSpan w:val="4"/>
          </w:tcPr>
          <w:p>
            <w:pPr>
              <w:ind w:left="380"/>
              <w:spacing w:after="0"/>
              <w:rPr>
                <w:sz w:val="20"/>
                <w:szCs w:val="20"/>
                <w:color w:val="auto"/>
              </w:rPr>
            </w:pPr>
            <w:r>
              <w:rPr>
                <w:rFonts w:ascii="Arial" w:cs="Arial" w:eastAsia="Arial" w:hAnsi="Arial"/>
                <w:sz w:val="18"/>
                <w:szCs w:val="18"/>
                <w:color w:val="auto"/>
              </w:rPr>
              <w:t>Brosh Capital L.P. and</w:t>
            </w: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11 Menachem Begin Rd,</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80" w:type="dxa"/>
            <w:vAlign w:val="bottom"/>
            <w:gridSpan w:val="4"/>
          </w:tcPr>
          <w:p>
            <w:pPr>
              <w:ind w:left="380"/>
              <w:spacing w:after="0"/>
              <w:rPr>
                <w:sz w:val="20"/>
                <w:szCs w:val="20"/>
                <w:color w:val="auto"/>
              </w:rPr>
            </w:pPr>
            <w:r>
              <w:rPr>
                <w:rFonts w:ascii="Arial" w:cs="Arial" w:eastAsia="Arial" w:hAnsi="Arial"/>
                <w:sz w:val="18"/>
                <w:szCs w:val="18"/>
                <w:color w:val="auto"/>
              </w:rPr>
              <w:t>Exodus Capital L.P.</w:t>
            </w: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Ramat-Gan Israel</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5268104</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2520" w:type="dxa"/>
            <w:vAlign w:val="bottom"/>
            <w:gridSpan w:val="3"/>
          </w:tcPr>
          <w:p>
            <w:pPr>
              <w:spacing w:after="0"/>
              <w:rPr>
                <w:sz w:val="20"/>
                <w:szCs w:val="20"/>
                <w:color w:val="auto"/>
              </w:rPr>
            </w:pPr>
            <w:r>
              <w:rPr>
                <w:rFonts w:ascii="Arial" w:cs="Arial" w:eastAsia="Arial" w:hAnsi="Arial"/>
                <w:sz w:val="18"/>
                <w:szCs w:val="18"/>
                <w:color w:val="auto"/>
              </w:rPr>
              <w:t>Uri Rubin, Director</w:t>
            </w:r>
          </w:p>
        </w:tc>
        <w:tc>
          <w:tcPr>
            <w:tcW w:w="3180" w:type="dxa"/>
            <w:vAlign w:val="bottom"/>
            <w:gridSpan w:val="4"/>
          </w:tcPr>
          <w:p>
            <w:pPr>
              <w:ind w:left="380"/>
              <w:spacing w:after="0"/>
              <w:rPr>
                <w:sz w:val="20"/>
                <w:szCs w:val="20"/>
                <w:color w:val="auto"/>
              </w:rPr>
            </w:pPr>
            <w:r>
              <w:rPr>
                <w:rFonts w:ascii="Arial" w:cs="Arial" w:eastAsia="Arial" w:hAnsi="Arial"/>
                <w:sz w:val="18"/>
                <w:szCs w:val="18"/>
                <w:color w:val="auto"/>
              </w:rPr>
              <w:t>Director of Brosh Capital</w:t>
            </w: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Brosh Capital,</w:t>
            </w:r>
          </w:p>
        </w:tc>
        <w:tc>
          <w:tcPr>
            <w:tcW w:w="2120" w:type="dxa"/>
            <w:vAlign w:val="bottom"/>
            <w:gridSpan w:val="2"/>
          </w:tcPr>
          <w:p>
            <w:pPr>
              <w:ind w:left="420"/>
              <w:spacing w:after="0"/>
              <w:rPr>
                <w:sz w:val="20"/>
                <w:szCs w:val="20"/>
                <w:color w:val="auto"/>
              </w:rPr>
            </w:pPr>
            <w:r>
              <w:rPr>
                <w:rFonts w:ascii="Arial" w:cs="Arial" w:eastAsia="Arial" w:hAnsi="Arial"/>
                <w:sz w:val="18"/>
                <w:szCs w:val="18"/>
                <w:color w:val="auto"/>
              </w:rPr>
              <w:t>Israel</w:t>
            </w:r>
          </w:p>
        </w:tc>
      </w:tr>
      <w:tr>
        <w:trPr>
          <w:trHeight w:val="216"/>
        </w:trPr>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80" w:type="dxa"/>
            <w:vAlign w:val="bottom"/>
            <w:gridSpan w:val="4"/>
          </w:tcPr>
          <w:p>
            <w:pPr>
              <w:ind w:left="380"/>
              <w:spacing w:after="0"/>
              <w:rPr>
                <w:sz w:val="20"/>
                <w:szCs w:val="20"/>
                <w:color w:val="auto"/>
              </w:rPr>
            </w:pPr>
            <w:r>
              <w:rPr>
                <w:rFonts w:ascii="Arial" w:cs="Arial" w:eastAsia="Arial" w:hAnsi="Arial"/>
                <w:sz w:val="18"/>
                <w:szCs w:val="18"/>
                <w:color w:val="auto"/>
              </w:rPr>
              <w:t>L.P. and Exodus Capital L.P.</w:t>
            </w: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11 Menachem Begin Rd,</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Ramat-Gan Israel 5268104</w:t>
            </w: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40" w:type="dxa"/>
            <w:vAlign w:val="bottom"/>
            <w:gridSpan w:val="6"/>
          </w:tcPr>
          <w:p>
            <w:pPr>
              <w:spacing w:after="0"/>
              <w:rPr>
                <w:sz w:val="20"/>
                <w:szCs w:val="20"/>
                <w:color w:val="auto"/>
              </w:rPr>
            </w:pPr>
            <w:r>
              <w:rPr>
                <w:rFonts w:ascii="Arial" w:cs="Arial" w:eastAsia="Arial" w:hAnsi="Arial"/>
                <w:sz w:val="18"/>
                <w:szCs w:val="18"/>
                <w:b w:val="1"/>
                <w:bCs w:val="1"/>
                <w:color w:val="auto"/>
              </w:rPr>
              <w:t>Directors &amp; Officers of Exodus Management Israel Ltd.</w:t>
            </w: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39"/>
        </w:trPr>
        <w:tc>
          <w:tcPr>
            <w:tcW w:w="7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89"/>
              </w:rPr>
              <w:t>Name and Position</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w w:val="99"/>
              </w:rPr>
              <w:t>Present Principal Occupation</w:t>
            </w:r>
          </w:p>
        </w:tc>
        <w:tc>
          <w:tcPr>
            <w:tcW w:w="104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Business Address</w:t>
            </w:r>
          </w:p>
        </w:tc>
        <w:tc>
          <w:tcPr>
            <w:tcW w:w="3020" w:type="dxa"/>
            <w:vAlign w:val="bottom"/>
            <w:gridSpan w:val="3"/>
          </w:tcPr>
          <w:p>
            <w:pPr>
              <w:ind w:left="1300"/>
              <w:spacing w:after="0"/>
              <w:rPr>
                <w:sz w:val="20"/>
                <w:szCs w:val="20"/>
                <w:color w:val="auto"/>
              </w:rPr>
            </w:pPr>
            <w:r>
              <w:rPr>
                <w:rFonts w:ascii="Arial" w:cs="Arial" w:eastAsia="Arial" w:hAnsi="Arial"/>
                <w:sz w:val="18"/>
                <w:szCs w:val="18"/>
                <w:color w:val="auto"/>
              </w:rPr>
              <w:t>Citizenship</w:t>
            </w:r>
          </w:p>
        </w:tc>
      </w:tr>
      <w:tr>
        <w:trPr>
          <w:trHeight w:val="20"/>
        </w:trPr>
        <w:tc>
          <w:tcPr>
            <w:tcW w:w="7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38"/>
        </w:trPr>
        <w:tc>
          <w:tcPr>
            <w:tcW w:w="2520" w:type="dxa"/>
            <w:vAlign w:val="bottom"/>
            <w:gridSpan w:val="3"/>
          </w:tcPr>
          <w:p>
            <w:pPr>
              <w:spacing w:after="0"/>
              <w:rPr>
                <w:sz w:val="20"/>
                <w:szCs w:val="20"/>
                <w:color w:val="auto"/>
              </w:rPr>
            </w:pPr>
            <w:r>
              <w:rPr>
                <w:rFonts w:ascii="Arial" w:cs="Arial" w:eastAsia="Arial" w:hAnsi="Arial"/>
                <w:sz w:val="18"/>
                <w:szCs w:val="18"/>
                <w:color w:val="auto"/>
              </w:rPr>
              <w:t>Amir Efrati, Director &amp;</w:t>
            </w:r>
          </w:p>
        </w:tc>
        <w:tc>
          <w:tcPr>
            <w:tcW w:w="3180" w:type="dxa"/>
            <w:vAlign w:val="bottom"/>
            <w:gridSpan w:val="4"/>
          </w:tcPr>
          <w:p>
            <w:pPr>
              <w:ind w:left="380"/>
              <w:spacing w:after="0"/>
              <w:rPr>
                <w:sz w:val="20"/>
                <w:szCs w:val="20"/>
                <w:color w:val="auto"/>
              </w:rPr>
            </w:pPr>
            <w:r>
              <w:rPr>
                <w:rFonts w:ascii="Arial" w:cs="Arial" w:eastAsia="Arial" w:hAnsi="Arial"/>
                <w:sz w:val="18"/>
                <w:szCs w:val="18"/>
                <w:color w:val="auto"/>
              </w:rPr>
              <w:t>Portfolio Manager of</w:t>
            </w: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Brosh Capital,</w:t>
            </w:r>
          </w:p>
        </w:tc>
        <w:tc>
          <w:tcPr>
            <w:tcW w:w="3020" w:type="dxa"/>
            <w:vAlign w:val="bottom"/>
            <w:gridSpan w:val="3"/>
          </w:tcPr>
          <w:p>
            <w:pPr>
              <w:ind w:left="420"/>
              <w:spacing w:after="0"/>
              <w:rPr>
                <w:sz w:val="20"/>
                <w:szCs w:val="20"/>
                <w:color w:val="auto"/>
              </w:rPr>
            </w:pPr>
            <w:r>
              <w:rPr>
                <w:rFonts w:ascii="Arial" w:cs="Arial" w:eastAsia="Arial" w:hAnsi="Arial"/>
                <w:sz w:val="18"/>
                <w:szCs w:val="18"/>
                <w:color w:val="auto"/>
              </w:rPr>
              <w:t>Israel</w:t>
            </w: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Portfolio Manager</w:t>
            </w:r>
          </w:p>
        </w:tc>
        <w:tc>
          <w:tcPr>
            <w:tcW w:w="3180" w:type="dxa"/>
            <w:vAlign w:val="bottom"/>
            <w:gridSpan w:val="4"/>
          </w:tcPr>
          <w:p>
            <w:pPr>
              <w:ind w:left="380"/>
              <w:spacing w:after="0"/>
              <w:rPr>
                <w:sz w:val="20"/>
                <w:szCs w:val="20"/>
                <w:color w:val="auto"/>
              </w:rPr>
            </w:pPr>
            <w:r>
              <w:rPr>
                <w:rFonts w:ascii="Arial" w:cs="Arial" w:eastAsia="Arial" w:hAnsi="Arial"/>
                <w:sz w:val="18"/>
                <w:szCs w:val="18"/>
                <w:color w:val="auto"/>
              </w:rPr>
              <w:t>Brosh Capital L.P. and</w:t>
            </w: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11 Menachem Begin Rd,</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80" w:type="dxa"/>
            <w:vAlign w:val="bottom"/>
            <w:gridSpan w:val="4"/>
          </w:tcPr>
          <w:p>
            <w:pPr>
              <w:ind w:left="380"/>
              <w:spacing w:after="0"/>
              <w:rPr>
                <w:sz w:val="20"/>
                <w:szCs w:val="20"/>
                <w:color w:val="auto"/>
              </w:rPr>
            </w:pPr>
            <w:r>
              <w:rPr>
                <w:rFonts w:ascii="Arial" w:cs="Arial" w:eastAsia="Arial" w:hAnsi="Arial"/>
                <w:sz w:val="18"/>
                <w:szCs w:val="18"/>
                <w:color w:val="auto"/>
              </w:rPr>
              <w:t>Exodus Capital L.P.</w:t>
            </w: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Ramat-Gan Israel</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5268104</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2520" w:type="dxa"/>
            <w:vAlign w:val="bottom"/>
            <w:gridSpan w:val="3"/>
          </w:tcPr>
          <w:p>
            <w:pPr>
              <w:spacing w:after="0"/>
              <w:rPr>
                <w:sz w:val="20"/>
                <w:szCs w:val="20"/>
                <w:color w:val="auto"/>
              </w:rPr>
            </w:pPr>
            <w:r>
              <w:rPr>
                <w:rFonts w:ascii="Arial" w:cs="Arial" w:eastAsia="Arial" w:hAnsi="Arial"/>
                <w:sz w:val="18"/>
                <w:szCs w:val="18"/>
                <w:color w:val="auto"/>
              </w:rPr>
              <w:t>Uri Rubin, Director</w:t>
            </w:r>
          </w:p>
        </w:tc>
        <w:tc>
          <w:tcPr>
            <w:tcW w:w="3180" w:type="dxa"/>
            <w:vAlign w:val="bottom"/>
            <w:gridSpan w:val="4"/>
          </w:tcPr>
          <w:p>
            <w:pPr>
              <w:ind w:left="380"/>
              <w:spacing w:after="0"/>
              <w:rPr>
                <w:sz w:val="20"/>
                <w:szCs w:val="20"/>
                <w:color w:val="auto"/>
              </w:rPr>
            </w:pPr>
            <w:r>
              <w:rPr>
                <w:rFonts w:ascii="Arial" w:cs="Arial" w:eastAsia="Arial" w:hAnsi="Arial"/>
                <w:sz w:val="18"/>
                <w:szCs w:val="18"/>
                <w:color w:val="auto"/>
              </w:rPr>
              <w:t>Director of Brosh Capital</w:t>
            </w: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Brosh Capital,</w:t>
            </w:r>
          </w:p>
        </w:tc>
        <w:tc>
          <w:tcPr>
            <w:tcW w:w="3020" w:type="dxa"/>
            <w:vAlign w:val="bottom"/>
            <w:gridSpan w:val="3"/>
          </w:tcPr>
          <w:p>
            <w:pPr>
              <w:ind w:left="420"/>
              <w:spacing w:after="0"/>
              <w:rPr>
                <w:sz w:val="20"/>
                <w:szCs w:val="20"/>
                <w:color w:val="auto"/>
              </w:rPr>
            </w:pPr>
            <w:r>
              <w:rPr>
                <w:rFonts w:ascii="Arial" w:cs="Arial" w:eastAsia="Arial" w:hAnsi="Arial"/>
                <w:sz w:val="18"/>
                <w:szCs w:val="18"/>
                <w:color w:val="auto"/>
              </w:rPr>
              <w:t>Israel</w:t>
            </w:r>
          </w:p>
        </w:tc>
      </w:tr>
      <w:tr>
        <w:trPr>
          <w:trHeight w:val="216"/>
        </w:trPr>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80" w:type="dxa"/>
            <w:vAlign w:val="bottom"/>
            <w:gridSpan w:val="4"/>
          </w:tcPr>
          <w:p>
            <w:pPr>
              <w:ind w:left="380"/>
              <w:spacing w:after="0"/>
              <w:rPr>
                <w:sz w:val="20"/>
                <w:szCs w:val="20"/>
                <w:color w:val="auto"/>
              </w:rPr>
            </w:pPr>
            <w:r>
              <w:rPr>
                <w:rFonts w:ascii="Arial" w:cs="Arial" w:eastAsia="Arial" w:hAnsi="Arial"/>
                <w:sz w:val="18"/>
                <w:szCs w:val="18"/>
                <w:color w:val="auto"/>
              </w:rPr>
              <w:t>L.P. and Exodus Capital L.P.</w:t>
            </w: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11 Menachem Begin Rd,</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4"/>
          </w:tcPr>
          <w:p>
            <w:pPr>
              <w:ind w:left="220"/>
              <w:spacing w:after="0"/>
              <w:rPr>
                <w:sz w:val="20"/>
                <w:szCs w:val="20"/>
                <w:color w:val="auto"/>
              </w:rPr>
            </w:pPr>
            <w:r>
              <w:rPr>
                <w:rFonts w:ascii="Arial" w:cs="Arial" w:eastAsia="Arial" w:hAnsi="Arial"/>
                <w:sz w:val="18"/>
                <w:szCs w:val="18"/>
                <w:color w:val="auto"/>
              </w:rPr>
              <w:t>Ramat-Gan Israel</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5268104</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753"/>
        </w:trPr>
        <w:tc>
          <w:tcPr>
            <w:tcW w:w="7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M2239P 10 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 in the Shares During the Past Sixty (60) Days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Arial" w:cs="Arial" w:eastAsia="Arial" w:hAnsi="Arial"/>
                <w:sz w:val="18"/>
                <w:szCs w:val="18"/>
                <w:color w:val="auto"/>
              </w:rPr>
              <w:t>Nature of Transaction</w:t>
            </w:r>
          </w:p>
        </w:tc>
        <w:tc>
          <w:tcPr>
            <w:tcW w:w="3540" w:type="dxa"/>
            <w:vAlign w:val="bottom"/>
            <w:gridSpan w:val="7"/>
          </w:tcPr>
          <w:p>
            <w:pPr>
              <w:jc w:val="center"/>
              <w:ind w:right="660"/>
              <w:spacing w:after="0"/>
              <w:rPr>
                <w:sz w:val="20"/>
                <w:szCs w:val="20"/>
                <w:color w:val="auto"/>
              </w:rPr>
            </w:pPr>
            <w:r>
              <w:rPr>
                <w:rFonts w:ascii="Arial" w:cs="Arial" w:eastAsia="Arial" w:hAnsi="Arial"/>
                <w:sz w:val="18"/>
                <w:szCs w:val="18"/>
                <w:color w:val="auto"/>
                <w:w w:val="88"/>
              </w:rPr>
              <w:t>Date of Purchase/Sale</w:t>
            </w:r>
          </w:p>
        </w:tc>
        <w:tc>
          <w:tcPr>
            <w:tcW w:w="2220" w:type="dxa"/>
            <w:vAlign w:val="bottom"/>
            <w:gridSpan w:val="4"/>
          </w:tcPr>
          <w:p>
            <w:pPr>
              <w:spacing w:after="0"/>
              <w:rPr>
                <w:sz w:val="20"/>
                <w:szCs w:val="20"/>
                <w:color w:val="auto"/>
              </w:rPr>
            </w:pPr>
            <w:r>
              <w:rPr>
                <w:rFonts w:ascii="Arial" w:cs="Arial" w:eastAsia="Arial" w:hAnsi="Arial"/>
                <w:sz w:val="18"/>
                <w:szCs w:val="18"/>
                <w:color w:val="auto"/>
              </w:rPr>
              <w:t>Securities Purchased</w:t>
            </w:r>
          </w:p>
        </w:tc>
        <w:tc>
          <w:tcPr>
            <w:tcW w:w="2800" w:type="dxa"/>
            <w:vAlign w:val="bottom"/>
            <w:gridSpan w:val="4"/>
          </w:tcPr>
          <w:p>
            <w:pPr>
              <w:ind w:left="740"/>
              <w:spacing w:after="0"/>
              <w:rPr>
                <w:sz w:val="20"/>
                <w:szCs w:val="20"/>
                <w:color w:val="auto"/>
              </w:rPr>
            </w:pPr>
            <w:r>
              <w:rPr>
                <w:rFonts w:ascii="Arial" w:cs="Arial" w:eastAsia="Arial" w:hAnsi="Arial"/>
                <w:sz w:val="18"/>
                <w:szCs w:val="18"/>
                <w:color w:val="auto"/>
              </w:rPr>
              <w:t>Price [U.S. cents]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8"/>
              </w:rPr>
              <w:t>[dd/mm/yyyy]</w:t>
            </w:r>
          </w:p>
        </w:tc>
        <w:tc>
          <w:tcPr>
            <w:tcW w:w="28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gridSpan w:val="8"/>
          </w:tcPr>
          <w:p>
            <w:pPr>
              <w:jc w:val="center"/>
              <w:ind w:right="1940"/>
              <w:spacing w:after="0"/>
              <w:rPr>
                <w:sz w:val="20"/>
                <w:szCs w:val="20"/>
                <w:color w:val="auto"/>
              </w:rPr>
            </w:pPr>
            <w:r>
              <w:rPr>
                <w:rFonts w:ascii="Arial" w:cs="Arial" w:eastAsia="Arial" w:hAnsi="Arial"/>
                <w:sz w:val="18"/>
                <w:szCs w:val="18"/>
                <w:b w:val="1"/>
                <w:bCs w:val="1"/>
                <w:color w:val="auto"/>
                <w:w w:val="97"/>
              </w:rPr>
              <w:t>BROSH CAPITAL L.P.</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18/01/2017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51,500</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99.02</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19/01/2017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80,878</w:t>
            </w:r>
          </w:p>
        </w:tc>
        <w:tc>
          <w:tcPr>
            <w:tcW w:w="720" w:type="dxa"/>
            <w:vAlign w:val="bottom"/>
          </w:tcPr>
          <w:p>
            <w:pPr>
              <w:spacing w:after="0"/>
              <w:rPr>
                <w:sz w:val="18"/>
                <w:szCs w:val="18"/>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101.00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19/01/2017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89"/>
              </w:rPr>
              <w:t>275,980</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90"/>
              </w:rPr>
              <w:t>101.35</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19/01/2017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79,581</w:t>
            </w:r>
          </w:p>
        </w:tc>
        <w:tc>
          <w:tcPr>
            <w:tcW w:w="720" w:type="dxa"/>
            <w:vAlign w:val="bottom"/>
          </w:tcPr>
          <w:p>
            <w:pPr>
              <w:spacing w:after="0"/>
              <w:rPr>
                <w:sz w:val="18"/>
                <w:szCs w:val="18"/>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101.00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19/01/2017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52,618</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90"/>
              </w:rPr>
              <w:t>101.00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19/01/2017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30,262</w:t>
            </w:r>
          </w:p>
        </w:tc>
        <w:tc>
          <w:tcPr>
            <w:tcW w:w="720" w:type="dxa"/>
            <w:vAlign w:val="bottom"/>
          </w:tcPr>
          <w:p>
            <w:pPr>
              <w:spacing w:after="0"/>
              <w:rPr>
                <w:sz w:val="18"/>
                <w:szCs w:val="18"/>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101.00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20/01/2017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75,819</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98.45</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20/01/2017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10,577</w:t>
            </w:r>
          </w:p>
        </w:tc>
        <w:tc>
          <w:tcPr>
            <w:tcW w:w="720" w:type="dxa"/>
            <w:vAlign w:val="bottom"/>
          </w:tcPr>
          <w:p>
            <w:pPr>
              <w:spacing w:after="0"/>
              <w:rPr>
                <w:sz w:val="18"/>
                <w:szCs w:val="18"/>
                <w:color w:val="auto"/>
              </w:rPr>
            </w:pPr>
          </w:p>
        </w:tc>
        <w:tc>
          <w:tcPr>
            <w:tcW w:w="2000" w:type="dxa"/>
            <w:vAlign w:val="bottom"/>
            <w:gridSpan w:val="3"/>
          </w:tcPr>
          <w:p>
            <w:pPr>
              <w:jc w:val="center"/>
              <w:ind w:left="750"/>
              <w:spacing w:after="0"/>
              <w:rPr>
                <w:sz w:val="20"/>
                <w:szCs w:val="20"/>
                <w:color w:val="auto"/>
              </w:rPr>
            </w:pPr>
            <w:r>
              <w:rPr>
                <w:rFonts w:ascii="Arial" w:cs="Arial" w:eastAsia="Arial" w:hAnsi="Arial"/>
                <w:sz w:val="18"/>
                <w:szCs w:val="18"/>
                <w:color w:val="auto"/>
                <w:w w:val="88"/>
              </w:rPr>
              <w:t>98.45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20/01/2017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8"/>
              </w:rPr>
              <w:t>6,993</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98.45</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20/01/2017</w:t>
            </w:r>
          </w:p>
        </w:tc>
        <w:tc>
          <w:tcPr>
            <w:tcW w:w="1300" w:type="dxa"/>
            <w:vAlign w:val="bottom"/>
          </w:tcPr>
          <w:p>
            <w:pPr>
              <w:spacing w:after="0"/>
              <w:rPr>
                <w:sz w:val="18"/>
                <w:szCs w:val="18"/>
                <w:color w:val="auto"/>
              </w:rPr>
            </w:pPr>
          </w:p>
        </w:tc>
        <w:tc>
          <w:tcPr>
            <w:tcW w:w="1500" w:type="dxa"/>
            <w:vAlign w:val="bottom"/>
            <w:gridSpan w:val="3"/>
          </w:tcPr>
          <w:p>
            <w:pPr>
              <w:jc w:val="center"/>
              <w:ind w:left="170"/>
              <w:spacing w:after="0"/>
              <w:rPr>
                <w:sz w:val="20"/>
                <w:szCs w:val="20"/>
                <w:color w:val="auto"/>
              </w:rPr>
            </w:pPr>
            <w:r>
              <w:rPr>
                <w:rFonts w:ascii="Arial" w:cs="Arial" w:eastAsia="Arial" w:hAnsi="Arial"/>
                <w:sz w:val="18"/>
                <w:szCs w:val="18"/>
                <w:color w:val="auto"/>
                <w:w w:val="88"/>
              </w:rPr>
              <w:t>4,022</w:t>
            </w:r>
          </w:p>
        </w:tc>
        <w:tc>
          <w:tcPr>
            <w:tcW w:w="720" w:type="dxa"/>
            <w:vAlign w:val="bottom"/>
          </w:tcPr>
          <w:p>
            <w:pPr>
              <w:spacing w:after="0"/>
              <w:rPr>
                <w:sz w:val="18"/>
                <w:szCs w:val="18"/>
                <w:color w:val="auto"/>
              </w:rPr>
            </w:pPr>
          </w:p>
        </w:tc>
        <w:tc>
          <w:tcPr>
            <w:tcW w:w="2000" w:type="dxa"/>
            <w:vAlign w:val="bottom"/>
            <w:gridSpan w:val="3"/>
          </w:tcPr>
          <w:p>
            <w:pPr>
              <w:jc w:val="center"/>
              <w:ind w:left="750"/>
              <w:spacing w:after="0"/>
              <w:rPr>
                <w:sz w:val="20"/>
                <w:szCs w:val="20"/>
                <w:color w:val="auto"/>
              </w:rPr>
            </w:pPr>
            <w:r>
              <w:rPr>
                <w:rFonts w:ascii="Arial" w:cs="Arial" w:eastAsia="Arial" w:hAnsi="Arial"/>
                <w:sz w:val="18"/>
                <w:szCs w:val="18"/>
                <w:color w:val="auto"/>
                <w:w w:val="88"/>
              </w:rPr>
              <w:t>98.45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23/01/2017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76,001</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99.64</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23/01/2017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15,286</w:t>
            </w:r>
          </w:p>
        </w:tc>
        <w:tc>
          <w:tcPr>
            <w:tcW w:w="720" w:type="dxa"/>
            <w:vAlign w:val="bottom"/>
          </w:tcPr>
          <w:p>
            <w:pPr>
              <w:spacing w:after="0"/>
              <w:rPr>
                <w:sz w:val="18"/>
                <w:szCs w:val="18"/>
                <w:color w:val="auto"/>
              </w:rPr>
            </w:pPr>
          </w:p>
        </w:tc>
        <w:tc>
          <w:tcPr>
            <w:tcW w:w="2000" w:type="dxa"/>
            <w:vAlign w:val="bottom"/>
            <w:gridSpan w:val="3"/>
          </w:tcPr>
          <w:p>
            <w:pPr>
              <w:jc w:val="center"/>
              <w:ind w:left="750"/>
              <w:spacing w:after="0"/>
              <w:rPr>
                <w:sz w:val="20"/>
                <w:szCs w:val="20"/>
                <w:color w:val="auto"/>
              </w:rPr>
            </w:pPr>
            <w:r>
              <w:rPr>
                <w:rFonts w:ascii="Arial" w:cs="Arial" w:eastAsia="Arial" w:hAnsi="Arial"/>
                <w:sz w:val="18"/>
                <w:szCs w:val="18"/>
                <w:color w:val="auto"/>
                <w:w w:val="88"/>
              </w:rPr>
              <w:t>99.64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23/01/2017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10,107</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99.64</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23/01/2017</w:t>
            </w:r>
          </w:p>
        </w:tc>
        <w:tc>
          <w:tcPr>
            <w:tcW w:w="1300" w:type="dxa"/>
            <w:vAlign w:val="bottom"/>
          </w:tcPr>
          <w:p>
            <w:pPr>
              <w:spacing w:after="0"/>
              <w:rPr>
                <w:sz w:val="18"/>
                <w:szCs w:val="18"/>
                <w:color w:val="auto"/>
              </w:rPr>
            </w:pPr>
          </w:p>
        </w:tc>
        <w:tc>
          <w:tcPr>
            <w:tcW w:w="1500" w:type="dxa"/>
            <w:vAlign w:val="bottom"/>
            <w:gridSpan w:val="3"/>
          </w:tcPr>
          <w:p>
            <w:pPr>
              <w:jc w:val="center"/>
              <w:ind w:left="170"/>
              <w:spacing w:after="0"/>
              <w:rPr>
                <w:sz w:val="20"/>
                <w:szCs w:val="20"/>
                <w:color w:val="auto"/>
              </w:rPr>
            </w:pPr>
            <w:r>
              <w:rPr>
                <w:rFonts w:ascii="Arial" w:cs="Arial" w:eastAsia="Arial" w:hAnsi="Arial"/>
                <w:sz w:val="18"/>
                <w:szCs w:val="18"/>
                <w:color w:val="auto"/>
                <w:w w:val="88"/>
              </w:rPr>
              <w:t>5,813</w:t>
            </w:r>
          </w:p>
        </w:tc>
        <w:tc>
          <w:tcPr>
            <w:tcW w:w="720" w:type="dxa"/>
            <w:vAlign w:val="bottom"/>
          </w:tcPr>
          <w:p>
            <w:pPr>
              <w:spacing w:after="0"/>
              <w:rPr>
                <w:sz w:val="18"/>
                <w:szCs w:val="18"/>
                <w:color w:val="auto"/>
              </w:rPr>
            </w:pPr>
          </w:p>
        </w:tc>
        <w:tc>
          <w:tcPr>
            <w:tcW w:w="2000" w:type="dxa"/>
            <w:vAlign w:val="bottom"/>
            <w:gridSpan w:val="3"/>
          </w:tcPr>
          <w:p>
            <w:pPr>
              <w:jc w:val="center"/>
              <w:ind w:left="750"/>
              <w:spacing w:after="0"/>
              <w:rPr>
                <w:sz w:val="20"/>
                <w:szCs w:val="20"/>
                <w:color w:val="auto"/>
              </w:rPr>
            </w:pPr>
            <w:r>
              <w:rPr>
                <w:rFonts w:ascii="Arial" w:cs="Arial" w:eastAsia="Arial" w:hAnsi="Arial"/>
                <w:sz w:val="18"/>
                <w:szCs w:val="18"/>
                <w:color w:val="auto"/>
                <w:w w:val="88"/>
              </w:rPr>
              <w:t>99.64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24/01/2017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67,274</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99.10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24/01/2017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13,531</w:t>
            </w:r>
          </w:p>
        </w:tc>
        <w:tc>
          <w:tcPr>
            <w:tcW w:w="720" w:type="dxa"/>
            <w:vAlign w:val="bottom"/>
          </w:tcPr>
          <w:p>
            <w:pPr>
              <w:spacing w:after="0"/>
              <w:rPr>
                <w:sz w:val="18"/>
                <w:szCs w:val="18"/>
                <w:color w:val="auto"/>
              </w:rPr>
            </w:pPr>
          </w:p>
        </w:tc>
        <w:tc>
          <w:tcPr>
            <w:tcW w:w="2000" w:type="dxa"/>
            <w:vAlign w:val="bottom"/>
            <w:gridSpan w:val="3"/>
          </w:tcPr>
          <w:p>
            <w:pPr>
              <w:jc w:val="center"/>
              <w:ind w:left="750"/>
              <w:spacing w:after="0"/>
              <w:rPr>
                <w:sz w:val="20"/>
                <w:szCs w:val="20"/>
                <w:color w:val="auto"/>
              </w:rPr>
            </w:pPr>
            <w:r>
              <w:rPr>
                <w:rFonts w:ascii="Arial" w:cs="Arial" w:eastAsia="Arial" w:hAnsi="Arial"/>
                <w:sz w:val="18"/>
                <w:szCs w:val="18"/>
                <w:color w:val="auto"/>
                <w:w w:val="88"/>
              </w:rPr>
              <w:t>99.10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24/01/2017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8"/>
              </w:rPr>
              <w:t>8,946</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99.10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24/01/2017</w:t>
            </w:r>
          </w:p>
        </w:tc>
        <w:tc>
          <w:tcPr>
            <w:tcW w:w="1300" w:type="dxa"/>
            <w:vAlign w:val="bottom"/>
          </w:tcPr>
          <w:p>
            <w:pPr>
              <w:spacing w:after="0"/>
              <w:rPr>
                <w:sz w:val="18"/>
                <w:szCs w:val="18"/>
                <w:color w:val="auto"/>
              </w:rPr>
            </w:pPr>
          </w:p>
        </w:tc>
        <w:tc>
          <w:tcPr>
            <w:tcW w:w="1500" w:type="dxa"/>
            <w:vAlign w:val="bottom"/>
            <w:gridSpan w:val="3"/>
          </w:tcPr>
          <w:p>
            <w:pPr>
              <w:jc w:val="center"/>
              <w:ind w:left="170"/>
              <w:spacing w:after="0"/>
              <w:rPr>
                <w:sz w:val="20"/>
                <w:szCs w:val="20"/>
                <w:color w:val="auto"/>
              </w:rPr>
            </w:pPr>
            <w:r>
              <w:rPr>
                <w:rFonts w:ascii="Arial" w:cs="Arial" w:eastAsia="Arial" w:hAnsi="Arial"/>
                <w:sz w:val="18"/>
                <w:szCs w:val="18"/>
                <w:color w:val="auto"/>
                <w:w w:val="88"/>
              </w:rPr>
              <w:t>5,145</w:t>
            </w:r>
          </w:p>
        </w:tc>
        <w:tc>
          <w:tcPr>
            <w:tcW w:w="720" w:type="dxa"/>
            <w:vAlign w:val="bottom"/>
          </w:tcPr>
          <w:p>
            <w:pPr>
              <w:spacing w:after="0"/>
              <w:rPr>
                <w:sz w:val="18"/>
                <w:szCs w:val="18"/>
                <w:color w:val="auto"/>
              </w:rPr>
            </w:pPr>
          </w:p>
        </w:tc>
        <w:tc>
          <w:tcPr>
            <w:tcW w:w="2000" w:type="dxa"/>
            <w:vAlign w:val="bottom"/>
            <w:gridSpan w:val="3"/>
          </w:tcPr>
          <w:p>
            <w:pPr>
              <w:jc w:val="center"/>
              <w:ind w:left="750"/>
              <w:spacing w:after="0"/>
              <w:rPr>
                <w:sz w:val="20"/>
                <w:szCs w:val="20"/>
                <w:color w:val="auto"/>
              </w:rPr>
            </w:pPr>
            <w:r>
              <w:rPr>
                <w:rFonts w:ascii="Arial" w:cs="Arial" w:eastAsia="Arial" w:hAnsi="Arial"/>
                <w:sz w:val="18"/>
                <w:szCs w:val="18"/>
                <w:color w:val="auto"/>
                <w:w w:val="88"/>
              </w:rPr>
              <w:t>99.10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26/01/2017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49,013</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90"/>
              </w:rPr>
              <w:t>103.00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26/01/2017</w:t>
            </w:r>
          </w:p>
        </w:tc>
        <w:tc>
          <w:tcPr>
            <w:tcW w:w="1300" w:type="dxa"/>
            <w:vAlign w:val="bottom"/>
          </w:tcPr>
          <w:p>
            <w:pPr>
              <w:spacing w:after="0"/>
              <w:rPr>
                <w:sz w:val="18"/>
                <w:szCs w:val="18"/>
                <w:color w:val="auto"/>
              </w:rPr>
            </w:pPr>
          </w:p>
        </w:tc>
        <w:tc>
          <w:tcPr>
            <w:tcW w:w="1500" w:type="dxa"/>
            <w:vAlign w:val="bottom"/>
            <w:gridSpan w:val="3"/>
          </w:tcPr>
          <w:p>
            <w:pPr>
              <w:jc w:val="center"/>
              <w:ind w:left="170"/>
              <w:spacing w:after="0"/>
              <w:rPr>
                <w:sz w:val="20"/>
                <w:szCs w:val="20"/>
                <w:color w:val="auto"/>
              </w:rPr>
            </w:pPr>
            <w:r>
              <w:rPr>
                <w:rFonts w:ascii="Arial" w:cs="Arial" w:eastAsia="Arial" w:hAnsi="Arial"/>
                <w:sz w:val="18"/>
                <w:szCs w:val="18"/>
                <w:color w:val="auto"/>
                <w:w w:val="88"/>
              </w:rPr>
              <w:t>9,858</w:t>
            </w:r>
          </w:p>
        </w:tc>
        <w:tc>
          <w:tcPr>
            <w:tcW w:w="720" w:type="dxa"/>
            <w:vAlign w:val="bottom"/>
          </w:tcPr>
          <w:p>
            <w:pPr>
              <w:spacing w:after="0"/>
              <w:rPr>
                <w:sz w:val="18"/>
                <w:szCs w:val="18"/>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103.00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26/01/2017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8"/>
              </w:rPr>
              <w:t>6,518</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90"/>
              </w:rPr>
              <w:t>103.00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26/01/2017</w:t>
            </w:r>
          </w:p>
        </w:tc>
        <w:tc>
          <w:tcPr>
            <w:tcW w:w="1300" w:type="dxa"/>
            <w:vAlign w:val="bottom"/>
          </w:tcPr>
          <w:p>
            <w:pPr>
              <w:spacing w:after="0"/>
              <w:rPr>
                <w:sz w:val="20"/>
                <w:szCs w:val="20"/>
                <w:color w:val="auto"/>
              </w:rPr>
            </w:pPr>
          </w:p>
        </w:tc>
        <w:tc>
          <w:tcPr>
            <w:tcW w:w="1500" w:type="dxa"/>
            <w:vAlign w:val="bottom"/>
            <w:gridSpan w:val="3"/>
          </w:tcPr>
          <w:p>
            <w:pPr>
              <w:jc w:val="center"/>
              <w:ind w:left="170"/>
              <w:spacing w:after="0"/>
              <w:rPr>
                <w:sz w:val="20"/>
                <w:szCs w:val="20"/>
                <w:color w:val="auto"/>
              </w:rPr>
            </w:pPr>
            <w:r>
              <w:rPr>
                <w:rFonts w:ascii="Arial" w:cs="Arial" w:eastAsia="Arial" w:hAnsi="Arial"/>
                <w:sz w:val="18"/>
                <w:szCs w:val="18"/>
                <w:color w:val="auto"/>
                <w:w w:val="88"/>
              </w:rPr>
              <w:t>3,749</w:t>
            </w:r>
          </w:p>
        </w:tc>
        <w:tc>
          <w:tcPr>
            <w:tcW w:w="720" w:type="dxa"/>
            <w:vAlign w:val="bottom"/>
          </w:tcPr>
          <w:p>
            <w:pPr>
              <w:spacing w:after="0"/>
              <w:rPr>
                <w:sz w:val="20"/>
                <w:szCs w:val="20"/>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103.00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gridSpan w:val="8"/>
          </w:tcPr>
          <w:p>
            <w:pPr>
              <w:jc w:val="center"/>
              <w:ind w:right="1940"/>
              <w:spacing w:after="0"/>
              <w:rPr>
                <w:sz w:val="20"/>
                <w:szCs w:val="20"/>
                <w:color w:val="auto"/>
              </w:rPr>
            </w:pPr>
            <w:r>
              <w:rPr>
                <w:rFonts w:ascii="Arial" w:cs="Arial" w:eastAsia="Arial" w:hAnsi="Arial"/>
                <w:sz w:val="18"/>
                <w:szCs w:val="18"/>
                <w:b w:val="1"/>
                <w:bCs w:val="1"/>
                <w:color w:val="auto"/>
                <w:w w:val="98"/>
              </w:rPr>
              <w:t>EXODUS CAPITAL L.P.</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18/01/2017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89"/>
              </w:rPr>
              <w:t>325,967</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96.98</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19/01/2017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256,661</w:t>
            </w:r>
          </w:p>
        </w:tc>
        <w:tc>
          <w:tcPr>
            <w:tcW w:w="720" w:type="dxa"/>
            <w:vAlign w:val="bottom"/>
          </w:tcPr>
          <w:p>
            <w:pPr>
              <w:spacing w:after="0"/>
              <w:rPr>
                <w:sz w:val="18"/>
                <w:szCs w:val="18"/>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101.00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20/01/2017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52,589</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98.45</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23/01/2017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109,570</w:t>
            </w:r>
          </w:p>
        </w:tc>
        <w:tc>
          <w:tcPr>
            <w:tcW w:w="720" w:type="dxa"/>
            <w:vAlign w:val="bottom"/>
          </w:tcPr>
          <w:p>
            <w:pPr>
              <w:spacing w:after="0"/>
              <w:rPr>
                <w:sz w:val="18"/>
                <w:szCs w:val="18"/>
                <w:color w:val="auto"/>
              </w:rPr>
            </w:pPr>
          </w:p>
        </w:tc>
        <w:tc>
          <w:tcPr>
            <w:tcW w:w="2000" w:type="dxa"/>
            <w:vAlign w:val="bottom"/>
            <w:gridSpan w:val="3"/>
          </w:tcPr>
          <w:p>
            <w:pPr>
              <w:jc w:val="center"/>
              <w:ind w:left="750"/>
              <w:spacing w:after="0"/>
              <w:rPr>
                <w:sz w:val="20"/>
                <w:szCs w:val="20"/>
                <w:color w:val="auto"/>
              </w:rPr>
            </w:pPr>
            <w:r>
              <w:rPr>
                <w:rFonts w:ascii="Arial" w:cs="Arial" w:eastAsia="Arial" w:hAnsi="Arial"/>
                <w:sz w:val="18"/>
                <w:szCs w:val="18"/>
                <w:color w:val="auto"/>
                <w:w w:val="88"/>
              </w:rPr>
              <w:t>99.64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24/01/2017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96,990</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99.10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25/01/2017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27,619</w:t>
            </w:r>
          </w:p>
        </w:tc>
        <w:tc>
          <w:tcPr>
            <w:tcW w:w="720" w:type="dxa"/>
            <w:vAlign w:val="bottom"/>
          </w:tcPr>
          <w:p>
            <w:pPr>
              <w:spacing w:after="0"/>
              <w:rPr>
                <w:sz w:val="18"/>
                <w:szCs w:val="18"/>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103.00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26/01/2017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70,662</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90"/>
              </w:rPr>
              <w:t>103.00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27/01/2017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22,687</w:t>
            </w:r>
          </w:p>
        </w:tc>
        <w:tc>
          <w:tcPr>
            <w:tcW w:w="720" w:type="dxa"/>
            <w:vAlign w:val="bottom"/>
          </w:tcPr>
          <w:p>
            <w:pPr>
              <w:spacing w:after="0"/>
              <w:rPr>
                <w:sz w:val="18"/>
                <w:szCs w:val="18"/>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101.21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30/01/2017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24,836</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90"/>
              </w:rPr>
              <w:t>102.32</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31/01/2017</w:t>
            </w:r>
          </w:p>
        </w:tc>
        <w:tc>
          <w:tcPr>
            <w:tcW w:w="1300" w:type="dxa"/>
            <w:vAlign w:val="bottom"/>
          </w:tcPr>
          <w:p>
            <w:pPr>
              <w:spacing w:after="0"/>
              <w:rPr>
                <w:sz w:val="20"/>
                <w:szCs w:val="20"/>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48,015</w:t>
            </w:r>
          </w:p>
        </w:tc>
        <w:tc>
          <w:tcPr>
            <w:tcW w:w="720" w:type="dxa"/>
            <w:vAlign w:val="bottom"/>
          </w:tcPr>
          <w:p>
            <w:pPr>
              <w:spacing w:after="0"/>
              <w:rPr>
                <w:sz w:val="20"/>
                <w:szCs w:val="20"/>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102.99</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60" w:type="dxa"/>
            <w:vAlign w:val="bottom"/>
            <w:gridSpan w:val="18"/>
          </w:tcPr>
          <w:p>
            <w:pPr>
              <w:jc w:val="center"/>
              <w:ind w:right="660"/>
              <w:spacing w:after="0"/>
              <w:rPr>
                <w:sz w:val="20"/>
                <w:szCs w:val="20"/>
                <w:color w:val="auto"/>
              </w:rPr>
            </w:pPr>
            <w:r>
              <w:rPr>
                <w:rFonts w:ascii="Arial" w:cs="Arial" w:eastAsia="Arial" w:hAnsi="Arial"/>
                <w:sz w:val="18"/>
                <w:szCs w:val="18"/>
                <w:b w:val="1"/>
                <w:bCs w:val="1"/>
                <w:color w:val="auto"/>
              </w:rPr>
              <w:t>EXODUS MANAGEMENT ISRAEL LTD. (THROUGH THE EXODUS MANAGED ACCOUNT)</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25/01/2017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8"/>
              </w:rPr>
              <w:t>8,200</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90"/>
              </w:rPr>
              <w:t>101.00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tcPr>
          <w:p>
            <w:pPr>
              <w:jc w:val="right"/>
              <w:ind w:right="160"/>
              <w:spacing w:after="0"/>
              <w:rPr>
                <w:sz w:val="20"/>
                <w:szCs w:val="20"/>
                <w:color w:val="auto"/>
              </w:rPr>
            </w:pPr>
            <w:r>
              <w:rPr>
                <w:rFonts w:ascii="Arial" w:cs="Arial" w:eastAsia="Arial" w:hAnsi="Arial"/>
                <w:sz w:val="18"/>
                <w:szCs w:val="18"/>
                <w:color w:val="auto"/>
              </w:rPr>
              <w:t>26/01/2017</w:t>
            </w:r>
          </w:p>
        </w:tc>
        <w:tc>
          <w:tcPr>
            <w:tcW w:w="1300" w:type="dxa"/>
            <w:vAlign w:val="bottom"/>
          </w:tcPr>
          <w:p>
            <w:pPr>
              <w:spacing w:after="0"/>
              <w:rPr>
                <w:sz w:val="18"/>
                <w:szCs w:val="18"/>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78,845</w:t>
            </w:r>
          </w:p>
        </w:tc>
        <w:tc>
          <w:tcPr>
            <w:tcW w:w="720" w:type="dxa"/>
            <w:vAlign w:val="bottom"/>
          </w:tcPr>
          <w:p>
            <w:pPr>
              <w:spacing w:after="0"/>
              <w:rPr>
                <w:sz w:val="18"/>
                <w:szCs w:val="18"/>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103.00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27/01/2017</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8"/>
              </w:rPr>
              <w:t>2,400</w:t>
            </w:r>
          </w:p>
        </w:tc>
        <w:tc>
          <w:tcPr>
            <w:tcW w:w="7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90"/>
              </w:rPr>
              <w:t>103.00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accordance with Rule 13d-1(k)(1)(iii) under the Securities Exchange Act of 1934, as amended, the persons named below agree to the joint filing on behalf of each of them of a Statement on Schedule 13D (including amendments thereto) with respect to the shares of Ordinary Shares, par value of NIS</w:t>
      </w:r>
    </w:p>
    <w:tbl>
      <w:tblPr>
        <w:tblLayout w:type="fixed"/>
        <w:tblInd w:w="0" w:type="dxa"/>
        <w:tblCellMar>
          <w:top w:w="0" w:type="dxa"/>
          <w:left w:w="0" w:type="dxa"/>
          <w:bottom w:w="0" w:type="dxa"/>
          <w:right w:w="0" w:type="dxa"/>
        </w:tblCellMar>
      </w:tblPr>
      <w:tr>
        <w:trPr>
          <w:trHeight w:val="230"/>
        </w:trPr>
        <w:tc>
          <w:tcPr>
            <w:tcW w:w="7360" w:type="dxa"/>
            <w:vAlign w:val="bottom"/>
            <w:gridSpan w:val="3"/>
          </w:tcPr>
          <w:p>
            <w:pPr>
              <w:spacing w:after="0"/>
              <w:rPr>
                <w:sz w:val="20"/>
                <w:szCs w:val="20"/>
                <w:color w:val="auto"/>
              </w:rPr>
            </w:pPr>
            <w:r>
              <w:rPr>
                <w:rFonts w:ascii="Arial" w:cs="Arial" w:eastAsia="Arial" w:hAnsi="Arial"/>
                <w:sz w:val="18"/>
                <w:szCs w:val="18"/>
                <w:color w:val="auto"/>
                <w:w w:val="97"/>
              </w:rPr>
              <w:t>0.01, of Alcobra Ltd. This Joint Filing Agreement shall be filed as an Exhibit to such Statement.</w:t>
            </w:r>
          </w:p>
        </w:tc>
        <w:tc>
          <w:tcPr>
            <w:tcW w:w="4060" w:type="dxa"/>
            <w:vAlign w:val="bottom"/>
          </w:tcPr>
          <w:p>
            <w:pPr>
              <w:spacing w:after="0"/>
              <w:rPr>
                <w:sz w:val="20"/>
                <w:szCs w:val="20"/>
                <w:color w:val="auto"/>
              </w:rPr>
            </w:pPr>
          </w:p>
        </w:tc>
      </w:tr>
      <w:tr>
        <w:trPr>
          <w:trHeight w:val="445"/>
        </w:trPr>
        <w:tc>
          <w:tcPr>
            <w:tcW w:w="6100" w:type="dxa"/>
            <w:vAlign w:val="bottom"/>
          </w:tcPr>
          <w:p>
            <w:pPr>
              <w:spacing w:after="0"/>
              <w:rPr>
                <w:sz w:val="20"/>
                <w:szCs w:val="20"/>
                <w:color w:val="auto"/>
              </w:rPr>
            </w:pPr>
            <w:r>
              <w:rPr>
                <w:rFonts w:ascii="Arial" w:cs="Arial" w:eastAsia="Arial" w:hAnsi="Arial"/>
                <w:sz w:val="18"/>
                <w:szCs w:val="18"/>
                <w:color w:val="auto"/>
              </w:rPr>
              <w:t>Dated: February 2, 2017</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59"/>
        </w:trPr>
        <w:tc>
          <w:tcPr>
            <w:tcW w:w="7360" w:type="dxa"/>
            <w:vAlign w:val="bottom"/>
            <w:gridSpan w:val="3"/>
          </w:tcPr>
          <w:p>
            <w:pPr>
              <w:ind w:left="5640"/>
              <w:spacing w:after="0"/>
              <w:rPr>
                <w:sz w:val="20"/>
                <w:szCs w:val="20"/>
                <w:color w:val="auto"/>
              </w:rPr>
            </w:pPr>
            <w:r>
              <w:rPr>
                <w:rFonts w:ascii="Arial" w:cs="Arial" w:eastAsia="Arial" w:hAnsi="Arial"/>
                <w:sz w:val="18"/>
                <w:szCs w:val="18"/>
                <w:color w:val="auto"/>
                <w:w w:val="93"/>
              </w:rPr>
              <w:t>BROSH CAPITAL L.P.</w:t>
            </w:r>
          </w:p>
        </w:tc>
        <w:tc>
          <w:tcPr>
            <w:tcW w:w="4060" w:type="dxa"/>
            <w:vAlign w:val="bottom"/>
          </w:tcPr>
          <w:p>
            <w:pPr>
              <w:spacing w:after="0"/>
              <w:rPr>
                <w:sz w:val="24"/>
                <w:szCs w:val="24"/>
                <w:color w:val="auto"/>
              </w:rPr>
            </w:pPr>
          </w:p>
        </w:tc>
      </w:tr>
      <w:tr>
        <w:trPr>
          <w:trHeight w:val="418"/>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Brosh Funds Management Ltd.</w:t>
            </w:r>
          </w:p>
        </w:tc>
      </w:tr>
      <w:tr>
        <w:trPr>
          <w:trHeight w:val="230"/>
        </w:trPr>
        <w:tc>
          <w:tcPr>
            <w:tcW w:w="6100" w:type="dxa"/>
            <w:vAlign w:val="bottom"/>
          </w:tcPr>
          <w:p>
            <w:pPr>
              <w:spacing w:after="0"/>
              <w:rPr>
                <w:sz w:val="20"/>
                <w:szCs w:val="20"/>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Its General Partner</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EXODUS CAPITAL L.P.</w:t>
            </w:r>
          </w:p>
        </w:tc>
      </w:tr>
      <w:tr>
        <w:trPr>
          <w:trHeight w:val="418"/>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6100" w:type="dxa"/>
            <w:vAlign w:val="bottom"/>
          </w:tcPr>
          <w:p>
            <w:pPr>
              <w:spacing w:after="0"/>
              <w:rPr>
                <w:sz w:val="20"/>
                <w:szCs w:val="20"/>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Its General Partner</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BROSH FUNDS MANAGEMENT LTD.</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EXODUS MANAGEMENT ISRAEL LTD.</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6791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Amir Efrati</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1)"/>
      <w:numFmt w:val="lowerLetter"/>
      <w:start w:val="1"/>
    </w:lvl>
    <w:lvl w:ilvl="1">
      <w:lvlJc w:val="left"/>
      <w:lvlText w:val="(%2)"/>
      <w:numFmt w:val="lowerRoman"/>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10"/>
    </w:lvl>
  </w:abstractNum>
  <w:abstractNum w:abstractNumId="5">
    <w:nsid w:val="515F007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
    <w:nsid w:val="5BD062C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
    <w:nsid w:val="12200854"/>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2"/>
    </w:lvl>
  </w:abstractNum>
  <w:abstractNum w:abstractNumId="8">
    <w:nsid w:val="4DB127F8"/>
    <w:multiLevelType w:val="hybridMultilevel"/>
    <w:lvl w:ilvl="0">
      <w:lvlJc w:val="left"/>
      <w:lvlText w:val="%1."/>
      <w:numFmt w:val="upperLetter"/>
      <w:start w:val="5"/>
    </w:lvl>
    <w:lvl w:ilvl="1">
      <w:lvlJc w:val="left"/>
      <w:lvlText w:val="(%2)"/>
      <w:numFmt w:val="lowerLetter"/>
      <w:start w:val="1"/>
    </w:lvl>
    <w:lvl w:ilvl="2">
      <w:lvlJc w:val="left"/>
      <w:lvlText w:val="%3."/>
      <w:numFmt w:val="decimal"/>
      <w:start w:val="2"/>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2019-12-07T18:40:53Z</dcterms:created>
  <dcterms:modified xsi:type="dcterms:W3CDTF">2019-12-07T18:40:53Z</dcterms:modified>
</cp:coreProperties>
</file>