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9, 2022</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ARCTURUS THERAPEUTICS HOLDINGS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001-38942</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32-0595345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10628 Science Center Drive, Suite 250</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San Diego, California 92121</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(858) 900-2660</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10"/>
        </w:trPr>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1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32"/>
        </w:trPr>
        <w:tc>
          <w:tcPr>
            <w:tcW w:w="4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20" w:type="dxa"/>
            <w:vAlign w:val="bottom"/>
          </w:tcPr>
          <w:p>
            <w:pPr>
              <w:spacing w:after="0"/>
              <w:rPr>
                <w:sz w:val="20"/>
                <w:szCs w:val="20"/>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ARCT</w:t>
            </w:r>
          </w:p>
        </w:tc>
        <w:tc>
          <w:tcPr>
            <w:tcW w:w="120" w:type="dxa"/>
            <w:vAlign w:val="bottom"/>
          </w:tcPr>
          <w:p>
            <w:pPr>
              <w:spacing w:after="0"/>
              <w:rPr>
                <w:sz w:val="20"/>
                <w:szCs w:val="20"/>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Conditions.</w:t>
      </w:r>
    </w:p>
    <w:p>
      <w:pPr>
        <w:spacing w:after="0" w:line="229"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On May 9, 2022, Arcturus Therapeutics Holdings Inc. (the “Company” or “Arcturus”) issued a press release, a copy of which is furnished herewith as Exhibit 99.1, announcing the Company’s financial results for the quarter ended March 31, 2022 and providing a corporate update (the “Press Release”).</w:t>
      </w:r>
    </w:p>
    <w:p>
      <w:pPr>
        <w:spacing w:after="0" w:line="14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shall not be deemed “filed” for the purposes of Section 18 of the Securities Exchange Act of 1934, as amended, or otherwise subject to the liability of that section or Sections 11 and 12(a)(2) of the Securities Act of 1933, as amended. In addition, this information shall not be deemed incorporated by reference into any of the Company’s filings with the Securities and Exchange Commission (the “SEC”), except as shall be expressly set forth by specific reference in any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Current Report on Form 8-K and the Press Release contain forward-looking statements that involve substantial risks and uncertainties for purposes of the safe harbor provided by the Private Securities Litigation Reform Act of 1995. Any statements, other than statements of historical fact included in this press Current Report on Form 8-K and the Press Release, are forward-looking statements, including those regarding strategy, future operations, the expectations for or likelihood of success of any collaborations, the promise of the company’s platform technologies for multiple types of nucleic acid medicines, the likelihood of success (including safety and efficacy) of the Company’s pipeline (including ARCT-154, ARCT-810, ARCT-032 and a STARR mRNA candidate for influenza), the likelihood that any independent verification by Arcturus, or any regulatory body’s assessment of, of data will be consistent with the information shared by Vinbiocare from the ARCT-154 study in Vietnam, the likelihood that the clinical results of ARCT-154 studies (including the efficacy, booster durability or other antibody responses), or any other non-clinical or clinical data, will be predictive of future clinical results or efficacy, predictive of results against existing or future COVID variants, or sufficient for any regulatory approval, the likelihood of regulatory clearance to proceed with, and the planned timing, design (including number of participants), screening, enrollment, initiation or completion of, and data readouts of, a booster study of ARCT-154, a Phase 2 study for ARCT-810, or any other clinical trials, the timing of interim data from the ARCT-810 study or any other data, the likelihood or timing of an EUA or regulatory approval in Vietnam for ARCT-154 or for any regulatory approval, the likelihood, and timing for, a filing to proceed with a clinical study of ARCT-032, the likelihood that a patent will issue from any patent application, its financial projections,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the Company’s Annual Report on Form 10-K for the year ended December 31, 2021, and in subsequent filings with, or submissions to, the SEC, which are available on the SEC’s website at www.sec.gov. The statements made in this Current Report on Form 8-K and the Press Release speak only as of the date stated herein, and subsequent events and developments may cause the Company’s expectations and beliefs to change. While the Company may elect to update these forward-looking statements publicly at some point in the future, the Company specifically disclaims any obligation to do so, whether as a result of new information, future events or otherwise, except as required by law. These forward-looking statements should not be relied upon as representing the Company’s views as of any date after the date stated herein.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tc>
        <w:tc>
          <w:tcPr>
            <w:tcW w:w="2380" w:type="dxa"/>
            <w:vAlign w:val="bottom"/>
          </w:tcPr>
          <w:p>
            <w:pPr>
              <w:spacing w:after="0"/>
              <w:rPr>
                <w:sz w:val="20"/>
                <w:szCs w:val="20"/>
                <w:color w:val="auto"/>
              </w:rPr>
            </w:pPr>
          </w:p>
        </w:tc>
        <w:tc>
          <w:tcPr>
            <w:tcW w:w="7620" w:type="dxa"/>
            <w:vAlign w:val="bottom"/>
          </w:tcPr>
          <w:p>
            <w:pPr>
              <w:spacing w:after="0"/>
              <w:rPr>
                <w:sz w:val="20"/>
                <w:szCs w:val="20"/>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0000EE"/>
              </w:rPr>
              <w:t>Press Release dated May 9, 2022</w:t>
            </w:r>
          </w:p>
        </w:tc>
      </w:tr>
      <w:tr>
        <w:trPr>
          <w:trHeight w:val="20"/>
        </w:trPr>
        <w:tc>
          <w:tcPr>
            <w:tcW w:w="124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3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to this Current Report on Form 8-K in Inline XBRL</w:t>
            </w:r>
          </w:p>
        </w:tc>
      </w:tr>
      <w:tr>
        <w:trPr>
          <w:trHeight w:val="594"/>
        </w:trPr>
        <w:tc>
          <w:tcPr>
            <w:tcW w:w="1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Arcturus Therapeutics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pacing w:after="0" w:line="207"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E. Payne</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Joseph E. Payne</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725"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Arcturus Therapeutics Announces First Quarter 2022 Financial Update and Pipeline Progress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ARCT-154 booster data show 54- and 46-fold increases in neutralizing antibody response against Omicron BA.1 and BA.2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Investor conference call at 4:30 p.m. ET today</w:t>
      </w:r>
    </w:p>
    <w:p>
      <w:pPr>
        <w:spacing w:after="0" w:line="22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SAN DIEGO—(BUSINESS WIRE)—May 9, 2022 </w:t>
      </w:r>
      <w:r>
        <w:rPr>
          <w:rFonts w:ascii="Times New Roman" w:cs="Times New Roman" w:eastAsia="Times New Roman" w:hAnsi="Times New Roman"/>
          <w:sz w:val="18"/>
          <w:szCs w:val="18"/>
          <w:color w:val="auto"/>
        </w:rPr>
        <w:t>– Arcturus Therapeutics Holdings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333333"/>
        </w:rPr>
        <w:t xml:space="preserve">(the “Company”, “Arcturus”, Nasdaq: ARCT), a global late-stage clinical messenger RNA medicines company focused on the development of infectious disease vaccines and significant opportunities within liver and respiratory rare diseases, today </w:t>
      </w:r>
      <w:r>
        <w:rPr>
          <w:rFonts w:ascii="Times New Roman" w:cs="Times New Roman" w:eastAsia="Times New Roman" w:hAnsi="Times New Roman"/>
          <w:sz w:val="18"/>
          <w:szCs w:val="18"/>
          <w:color w:val="000000"/>
        </w:rPr>
        <w:t>announced its financial results for the first quarter ended March 31, 2022, and provided corporate updates.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first quarter of this year has been commemorated by several key achievements for Arcturus. Our self-amplifying mRNA platform has been the first of its kind to demonstrate meaningful protection against COVID-19 disease in a pivotal primary vaccination trial,” said Joseph Payne, President and CEO of Arcturus Therapeutics. “In addition, ARCT-154 has shown promising booster data against all SARS-CoV-2 variants tested, including Omicron BA.1 and BA.2. We are expanding development activities of ARCT-154 into a global registrational booster trial and expect to begin dosing soon.”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31" w:lineRule="exact"/>
        <w:rPr>
          <w:sz w:val="20"/>
          <w:szCs w:val="20"/>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today announced neutralizing antibody data from its ongoing Phase 1/2 study evaluating a single 5-mcg booster dose of ARCT-154 given at least five months following two primary doses of Comirnaty®. Pseudovirus microneutralization (MNT) assay on sera samples from twelve participants in the study demonstrate 54-fold and 46-fold geometric mean fold rises (GMFR) in neutralizing antibody titers against the original Omicron BA.1 and currently circulating Omicron BA.2 strains, respectively, on Day 29 post-boost compared to Day 1 pre-boost levels (see Figure).</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Arcturus recently announced three-month durability results from the booster study. Validated pseudovirus MNT assay results demonstrated high levels of neutralizing antibody response against the D614G SARS-CoV-2 strain. Neutralizing antibody responses on Day 15 and Day 29 were 28-fold and 40-fold, respectively, and persisted at 30-fold GMFR three months post-boosting. Validated pseudovirus MNT assay for the Beta strain also demonstrated notable durability of neutralizing antibody response at three months with 24-fold of GMFR. The GMFRs were 26-fold and 31-fold over baseline on Day 15 and Day 29, respectively.</w:t>
      </w:r>
    </w:p>
    <w:p>
      <w:pPr>
        <w:spacing w:after="0" w:line="1" w:lineRule="exact"/>
        <w:rPr>
          <w:rFonts w:ascii="Times New Roman" w:cs="Times New Roman" w:eastAsia="Times New Roman" w:hAnsi="Times New Roman"/>
          <w:sz w:val="18"/>
          <w:szCs w:val="18"/>
          <w:color w:val="auto"/>
        </w:rPr>
      </w:pPr>
    </w:p>
    <w:p>
      <w:pPr>
        <w:jc w:val="both"/>
        <w:ind w:left="660" w:right="14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Surrogate virus neutralization (sVNT) assay results illustrated persistent and broad neutralizing antibody responses against several SARS-CoV-2 variants. Three months following booster dose administration of ARCT-154, sVNT responses remained 13 to 30-fold elevated over baseline pre-boost levels.</w:t>
      </w:r>
    </w:p>
    <w:p>
      <w:pPr>
        <w:spacing w:after="0" w:line="1" w:lineRule="exact"/>
        <w:rPr>
          <w:rFonts w:ascii="Times New Roman" w:cs="Times New Roman" w:eastAsia="Times New Roman" w:hAnsi="Times New Roman"/>
          <w:sz w:val="18"/>
          <w:szCs w:val="18"/>
          <w:color w:val="auto"/>
        </w:rPr>
      </w:pPr>
    </w:p>
    <w:p>
      <w:pPr>
        <w:ind w:left="660" w:right="140" w:hanging="328"/>
        <w:spacing w:after="0" w:line="25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shared compelling vaccine efficacy data from an ongoing trial evaluating ARCT-154 as a primary vaccine in April. The primary efficacy endpoint was met, and the data also demonstrated remarkable vaccine efficacy of 95.3% (95% CI; </w:t>
      </w:r>
      <w:r>
        <w:rPr>
          <w:rFonts w:ascii="Times New Roman" w:cs="Times New Roman" w:eastAsia="Times New Roman" w:hAnsi="Times New Roman"/>
          <w:sz w:val="18"/>
          <w:szCs w:val="18"/>
          <w:color w:val="333333"/>
        </w:rPr>
        <w:t>80.4% - 98.9%</w:t>
      </w:r>
      <w:r>
        <w:rPr>
          <w:rFonts w:ascii="Times New Roman" w:cs="Times New Roman" w:eastAsia="Times New Roman" w:hAnsi="Times New Roman"/>
          <w:sz w:val="18"/>
          <w:szCs w:val="18"/>
          <w:color w:val="auto"/>
        </w:rPr>
        <w:t xml:space="preserve">) in the prevention of severe and fatal COVID-19 disease. The vaccine efficacy was 55.0% (95% CI; </w:t>
      </w:r>
      <w:r>
        <w:rPr>
          <w:rFonts w:ascii="Times New Roman" w:cs="Times New Roman" w:eastAsia="Times New Roman" w:hAnsi="Times New Roman"/>
          <w:sz w:val="18"/>
          <w:szCs w:val="18"/>
          <w:color w:val="333333"/>
        </w:rPr>
        <w:t>46.9% - 61.9%</w:t>
      </w:r>
      <w:r>
        <w:rPr>
          <w:rFonts w:ascii="Times New Roman" w:cs="Times New Roman" w:eastAsia="Times New Roman" w:hAnsi="Times New Roman"/>
          <w:sz w:val="18"/>
          <w:szCs w:val="18"/>
          <w:color w:val="auto"/>
        </w:rPr>
        <w:t>) for preventing overall COVID-19 disease, which is noteworthy against a backdrop of Delta and Omicron SARS-CoV-2 variant circulation in Vietnam*. These data from approximately 16,000 participants in the placebo-controlled efficacy study were shared with the Vietnam Ministry of Health by Arcturus’ partner and study sponsor Vinbiocare and added to the regulatory data package for EUA application presently under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4" w:name="page5"/>
    <w:bookmarkEnd w:id="4"/>
    <w:p>
      <w:pPr>
        <w:ind w:left="660" w:right="40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Primary immunogenicity objective of Phase 1/2/3a portions of the study was met with 98.4% four-fold seroconversion for ancestral (Wuhan) strain.</w:t>
      </w:r>
    </w:p>
    <w:p>
      <w:pPr>
        <w:ind w:left="660" w:right="1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Solicited adverse events in the study have been generally mild or moderate in severity and transient (&lt; 4 days duration) in ARCT-154 vaccinated participants. Unsolicited adverse events in the study have been comparable in the placebo and vaccinated arms. No unexpected safety concerns have been identified. Safety data collection remains ongoing.</w:t>
      </w:r>
    </w:p>
    <w:p>
      <w:pPr>
        <w:spacing w:after="0" w:line="1"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transfer activities between Arcturus and Vinbiocare continue to mature toward completion of a manufacturing facility in Hanoi for self-amplifying mRNA vaccines.</w:t>
      </w:r>
    </w:p>
    <w:p>
      <w:pPr>
        <w:ind w:left="660" w:right="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ARCT-810, the Company’s mRNA therapeutic candidate for ornithine transcarbamylase (OTC) deficiency will be evaluated in a randomized, double-blind, placebo-controlled, nested single and multiple ascending dose Phase 2 study in 24 adolescents and adults with OTC deficiency. The Company remains on track to initiate dosing of the first participants in the second quarter and obtain interim human proof-of-concept data in the second half of 2022.</w:t>
      </w:r>
    </w:p>
    <w:p>
      <w:pPr>
        <w:spacing w:after="0" w:line="1"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ARCT-032, the Company’s mRNA therapeutic candidate for cystic fibrosis, is on track for a Clinical Trial Application (CTA) filing in Q3 2022.</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*References</w:t>
      </w:r>
      <w:r>
        <w:rPr>
          <w:rFonts w:ascii="Times New Roman" w:cs="Times New Roman" w:eastAsia="Times New Roman" w:hAnsi="Times New Roman"/>
          <w:sz w:val="18"/>
          <w:szCs w:val="18"/>
          <w:color w:val="333333"/>
        </w:rPr>
        <w: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607E"/>
        </w:rPr>
        <w:t>https://covariants.org/per-country;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607E"/>
        </w:rPr>
        <w:t>https://covid19.who.int/region/wpro/country/vn</w:t>
      </w:r>
      <w:r>
        <w:rPr>
          <w:rFonts w:ascii="Times New Roman" w:cs="Times New Roman" w:eastAsia="Times New Roman" w:hAnsi="Times New Roman"/>
          <w:sz w:val="18"/>
          <w:szCs w:val="18"/>
          <w:color w:val="00607E"/>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00607E"/>
        </w:rPr>
        <w:t>https://ourworldindata.org</w:t>
      </w:r>
      <w:r>
        <w:rPr>
          <w:rFonts w:ascii="Times New Roman" w:cs="Times New Roman" w:eastAsia="Times New Roman" w:hAnsi="Times New Roman"/>
          <w:sz w:val="18"/>
          <w:szCs w:val="18"/>
          <w:color w:val="00607E"/>
        </w:rPr>
        <w:t xml:space="preserve"> (Vietnam Link)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142875</wp:posOffset>
            </wp:positionV>
            <wp:extent cx="1945640" cy="297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64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Pseudovirus MNT assay (exploratory assay; Moore Laboratory</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National Institute for Communicable Diseases and University of the Witwatersrand</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South Africa) showing GMFR levels of neutralizing antibody responses over Day 1 (baseline levels prior to boosting with ARCT-154) calculated using geometric mean concentrations (with 95% confidence intervals) obtained from participants measured at Days 1 and 29 (n = 12/12).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0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Financial Results for the First Quarter Ended March 31, 2022</w:t>
      </w:r>
    </w:p>
    <w:p>
      <w:pPr>
        <w:spacing w:after="0" w:line="22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color w:val="auto"/>
        </w:rPr>
        <w:t>Revenues in conjunction with strategic alliances and collaborations</w:t>
      </w:r>
      <w:r>
        <w:rPr>
          <w:rFonts w:ascii="Times New Roman" w:cs="Times New Roman" w:eastAsia="Times New Roman" w:hAnsi="Times New Roman"/>
          <w:sz w:val="18"/>
          <w:szCs w:val="18"/>
          <w:color w:val="auto"/>
        </w:rPr>
        <w:t>: Arcturus’ primary sources of revenues were from consulting and 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transfer fees, license fees and collaborative payments received from research and development arrangements with pharmaceutical and biotechnology partners. Total revenue for the three months ended March 31, 2022, was $5.2 million, compared with $2.1 million in the three months ended March 31, 2021, and $5.8 million for the three months ended December 31, 2021. The increase in revenue during the three months ended March 31, 2022, when compared with the three months ended March 31, 2021, is primarily due to the recognition of revenue from manufacturing technology transfer and clinical consulting services provided that are related to the Vinbiocare agreement.</w:t>
      </w:r>
    </w:p>
    <w:p>
      <w:pPr>
        <w:spacing w:after="0" w:line="182"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Total operating expenses for the three months ended March 31, 2022, were $55.6 million compared with $59.8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March 31, 2021, and $43.4 million for the three months ended December 31, 2021. The increase in operating expenses of $12.2 million sequentially was primarily due to the increase in research and development expenses.</w:t>
      </w:r>
    </w:p>
    <w:p>
      <w:pPr>
        <w:spacing w:after="0" w:line="171"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March 31, 2022, were $44.9 million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$50.0 million for the three months ended March 31, 2021, and $32.6 million for the three months ended December 31, 2021. The increase in the three months ended March 31, 2022, when compared with the three months ended December 31, 2021, is primarily attributable manufacturing and quality runs for covid products and an increase in costs associated with the start-up activities toward initiation of the booster trial. In January 2022, the Company entered into an agreement with a pharmaceutical company, whereby the pharmaceutical company agreed to fund up to $25 million for a clinical trial for a LUNAR-COV19 vaccine candidate as a booster.</w:t>
      </w:r>
    </w:p>
    <w:p>
      <w:pPr>
        <w:spacing w:after="0" w:line="182"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three months ended March 31, 2022, Arcturus reported a net loss of approximately $51.2 million, or ($1.94) per basic and diluted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a net loss of $56.3 million, or ($2.15) per basic and diluted share in the three months ended March 31, 2021, and a net loss of $38.7 million, or ($1.47) per basic and diluted share in the three months ended December 31, 2021.</w:t>
      </w:r>
    </w:p>
    <w:p>
      <w:pPr>
        <w:spacing w:after="0" w:line="17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Cash and cash equivalents were $319.7 million as of March 31, 2022, and $370.5 million at December 31, 2021. Based on the current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pipeline, the Company’s cash position is expected to be sufficient to support operations into late 2023.</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Monday, May 9 @ 4:30 p.m. ET</w:t>
            </w:r>
          </w:p>
        </w:tc>
        <w:tc>
          <w:tcPr>
            <w:tcW w:w="340" w:type="dxa"/>
            <w:vAlign w:val="bottom"/>
          </w:tcPr>
          <w:p>
            <w:pPr>
              <w:spacing w:after="0"/>
              <w:rPr>
                <w:sz w:val="19"/>
                <w:szCs w:val="19"/>
                <w:color w:val="auto"/>
              </w:rPr>
            </w:pPr>
          </w:p>
        </w:tc>
        <w:tc>
          <w:tcPr>
            <w:tcW w:w="5280" w:type="dxa"/>
            <w:vAlign w:val="bottom"/>
          </w:tcPr>
          <w:p>
            <w:pPr>
              <w:spacing w:after="0"/>
              <w:rPr>
                <w:sz w:val="19"/>
                <w:szCs w:val="19"/>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Domestic:</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888-256-1007</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323-994-2093</w:t>
            </w: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6122841</w:t>
            </w:r>
          </w:p>
        </w:tc>
      </w:tr>
      <w:tr>
        <w:trPr>
          <w:trHeight w:val="194"/>
        </w:trPr>
        <w:tc>
          <w:tcPr>
            <w:tcW w:w="56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Webcast:</w:t>
            </w:r>
          </w:p>
        </w:tc>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607E"/>
              </w:rPr>
              <w:t>Link</w:t>
            </w:r>
          </w:p>
        </w:tc>
      </w:tr>
      <w:tr>
        <w:trPr>
          <w:trHeight w:val="588"/>
        </w:trPr>
        <w:tc>
          <w:tcPr>
            <w:tcW w:w="5620" w:type="dxa"/>
            <w:vAlign w:val="bottom"/>
            <w:tcBorders>
              <w:bottom w:val="single" w:sz="8" w:color="auto"/>
            </w:tcBorders>
          </w:tcPr>
          <w:p>
            <w:pPr>
              <w:spacing w:after="0"/>
              <w:rPr>
                <w:sz w:val="24"/>
                <w:szCs w:val="24"/>
                <w:color w:val="auto"/>
              </w:rPr>
            </w:pPr>
          </w:p>
        </w:tc>
        <w:tc>
          <w:tcPr>
            <w:tcW w:w="340" w:type="dxa"/>
            <w:vAlign w:val="bottom"/>
            <w:tcBorders>
              <w:top w:val="single" w:sz="8" w:color="00607E"/>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About Arcturus Therapeutics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333333"/>
        </w:rPr>
        <w:t xml:space="preserve">Founded in 2013 and based in </w:t>
      </w:r>
      <w:r>
        <w:rPr>
          <w:rFonts w:ascii="Times New Roman" w:cs="Times New Roman" w:eastAsia="Times New Roman" w:hAnsi="Times New Roman"/>
          <w:sz w:val="18"/>
          <w:szCs w:val="18"/>
          <w:color w:val="000000"/>
        </w:rPr>
        <w:t>San Diego, California</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Arcturus Therapeutics Holdings Inc.</w:t>
      </w:r>
      <w:r>
        <w:rPr>
          <w:rFonts w:ascii="Times New Roman" w:cs="Times New Roman" w:eastAsia="Times New Roman" w:hAnsi="Times New Roman"/>
          <w:sz w:val="18"/>
          <w:szCs w:val="18"/>
          <w:color w:val="333333"/>
        </w:rPr>
        <w:t xml:space="preserve"> (Nasdaq: ARCT) is a global late-stage clinical mRNA medicines and vaccines company with enabling technologies: (i) LUNAR® lipid-mediated delivery, (ii) STARR™ mRNA Technology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(GSD III), hepatitis B virus (HBV), and non-alcoholic steatohepatitis (NASH). Arcturus’ versatile RNA therapeutics platforms can be applied toward multiple types of nucleic acid medicines including messenger RNA, self-amplifying mRNA, small interfering RNA, circular RNA, antisense RNA, microRNA, DNA, and gene editing therapeutics. Arcturus’ technologies are covered by its extensive patent portfolio (with patents and patent applications issued in the </w:t>
      </w:r>
      <w:r>
        <w:rPr>
          <w:rFonts w:ascii="Times New Roman" w:cs="Times New Roman" w:eastAsia="Times New Roman" w:hAnsi="Times New Roman"/>
          <w:sz w:val="18"/>
          <w:szCs w:val="18"/>
          <w:color w:val="000000"/>
        </w:rPr>
        <w:t>U.S.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Europe</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Japan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China</w:t>
      </w:r>
      <w:r>
        <w:rPr>
          <w:rFonts w:ascii="Times New Roman" w:cs="Times New Roman" w:eastAsia="Times New Roman" w:hAnsi="Times New Roman"/>
          <w:sz w:val="18"/>
          <w:szCs w:val="18"/>
          <w:color w:val="333333"/>
        </w:rPr>
        <w:t xml:space="preserve"> and other countries). Arcturus’ commitment to the development of novel RNA therapeutics has led to collaborations with </w:t>
      </w:r>
      <w:r>
        <w:rPr>
          <w:rFonts w:ascii="Times New Roman" w:cs="Times New Roman" w:eastAsia="Times New Roman" w:hAnsi="Times New Roman"/>
          <w:sz w:val="18"/>
          <w:szCs w:val="18"/>
          <w:color w:val="000000"/>
        </w:rPr>
        <w:t>Janssen Pharmaceuticals, Inc.</w:t>
      </w:r>
      <w:r>
        <w:rPr>
          <w:rFonts w:ascii="Times New Roman" w:cs="Times New Roman" w:eastAsia="Times New Roman" w:hAnsi="Times New Roman"/>
          <w:sz w:val="18"/>
          <w:szCs w:val="18"/>
          <w:color w:val="333333"/>
        </w:rPr>
        <w:t xml:space="preserve">, part of the Janssen Pharmaceutical Companies of Johnson &amp; Johnson, Ultragenyx Pharmaceutical, Inc., Takeda Pharmaceutical Company Limited, CureVac AG, </w:t>
      </w:r>
      <w:r>
        <w:rPr>
          <w:rFonts w:ascii="Times New Roman" w:cs="Times New Roman" w:eastAsia="Times New Roman" w:hAnsi="Times New Roman"/>
          <w:sz w:val="18"/>
          <w:szCs w:val="18"/>
          <w:color w:val="000000"/>
        </w:rPr>
        <w:t>Duke-NUS</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Medical School</w:t>
      </w:r>
      <w:r>
        <w:rPr>
          <w:rFonts w:ascii="Times New Roman" w:cs="Times New Roman" w:eastAsia="Times New Roman" w:hAnsi="Times New Roman"/>
          <w:sz w:val="18"/>
          <w:szCs w:val="18"/>
          <w:color w:val="333333"/>
        </w:rPr>
        <w:t>, and the</w:t>
      </w:r>
      <w:r>
        <w:rPr>
          <w:rFonts w:ascii="Times New Roman" w:cs="Times New Roman" w:eastAsia="Times New Roman" w:hAnsi="Times New Roman"/>
          <w:sz w:val="18"/>
          <w:szCs w:val="18"/>
          <w:color w:val="000000"/>
        </w:rPr>
        <w:t xml:space="preserve"> Cystic Fibrosis Foundation</w:t>
      </w:r>
      <w:r>
        <w:rPr>
          <w:rFonts w:ascii="Times New Roman" w:cs="Times New Roman" w:eastAsia="Times New Roman" w:hAnsi="Times New Roman"/>
          <w:sz w:val="18"/>
          <w:szCs w:val="18"/>
          <w:color w:val="333333"/>
        </w:rPr>
        <w:t>. For more information visit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607E"/>
        </w:rPr>
        <w:t>www.ArcturusRx.com</w:t>
      </w:r>
      <w:r>
        <w:rPr>
          <w:rFonts w:ascii="Times New Roman" w:cs="Times New Roman" w:eastAsia="Times New Roman" w:hAnsi="Times New Roman"/>
          <w:sz w:val="18"/>
          <w:szCs w:val="18"/>
          <w:color w:val="333333"/>
        </w:rPr>
        <w:t>. In addition, please connect with us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333333"/>
        </w:rPr>
        <w:t xml:space="preserve">on </w:t>
      </w:r>
      <w:r>
        <w:rPr>
          <w:rFonts w:ascii="Times New Roman" w:cs="Times New Roman" w:eastAsia="Times New Roman" w:hAnsi="Times New Roman"/>
          <w:sz w:val="18"/>
          <w:szCs w:val="18"/>
          <w:u w:val="single" w:color="auto"/>
          <w:color w:val="00607E"/>
        </w:rPr>
        <w:t>Twitter</w:t>
      </w:r>
      <w:r>
        <w:rPr>
          <w:rFonts w:ascii="Times New Roman" w:cs="Times New Roman" w:eastAsia="Times New Roman" w:hAnsi="Times New Roman"/>
          <w:sz w:val="18"/>
          <w:szCs w:val="18"/>
          <w:color w:val="333333"/>
        </w:rPr>
        <w:t xml:space="preserve"> and </w:t>
      </w:r>
      <w:r>
        <w:rPr>
          <w:rFonts w:ascii="Times New Roman" w:cs="Times New Roman" w:eastAsia="Times New Roman" w:hAnsi="Times New Roman"/>
          <w:sz w:val="18"/>
          <w:szCs w:val="18"/>
          <w:u w:val="single" w:color="auto"/>
          <w:color w:val="00607E"/>
        </w:rPr>
        <w:t>LinkedIn</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Forward Looking Statements</w:t>
      </w:r>
    </w:p>
    <w:p>
      <w:pPr>
        <w:spacing w:after="0" w:line="3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333333"/>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future operations, the expectations for or likelihood of success of any collaborations, the promise of the company’s platform technologies for multiple types of nucleic acid medicines, the likelihood of success (including safety and efficacy) of the Company’s pipeline (including ARCT-154, ARCT-810, ARCT-032 and a STARR mRNA candidate for influenza), the likelihood that any independent verification by Arcturus, or any regulatory body’s assessment of, of data will be consistent with the information shared by Vinbiocare from the ARCT-154 study in Vietnam, the likelihood that the clinical results of ARCT-154 studies (including the efficacy, booster durability or other antibody responses), or any other non-clinical or clinical data, will be predictive of future clinical results or efficacy, predictive of results against existing or future COVID variants, or sufficient for any regulatory approval, the likelihood of regulatory clearance to proceed with, and the planned timing, design (including number of participants), screening, enrollment, initiation or completion of, and data readouts of, a booster study of ARCT-154, a Phase 2 study for ARCT-810, or any other clinical trials, the timing of interim data from the ARCT-810 study or any other data, the likelihood or timing of an EUA or regulatory approval</w:t>
      </w:r>
    </w:p>
    <w:p>
      <w:pPr>
        <w:spacing w:after="0" w:line="4"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333333"/>
        </w:rPr>
        <w:t xml:space="preserve">in </w:t>
      </w:r>
      <w:r>
        <w:rPr>
          <w:rFonts w:ascii="Times New Roman" w:cs="Times New Roman" w:eastAsia="Times New Roman" w:hAnsi="Times New Roman"/>
          <w:sz w:val="18"/>
          <w:szCs w:val="18"/>
          <w:color w:val="000000"/>
        </w:rPr>
        <w:t>Vietnam</w:t>
      </w:r>
      <w:r>
        <w:rPr>
          <w:rFonts w:ascii="Times New Roman" w:cs="Times New Roman" w:eastAsia="Times New Roman" w:hAnsi="Times New Roman"/>
          <w:sz w:val="18"/>
          <w:szCs w:val="18"/>
          <w:color w:val="333333"/>
        </w:rPr>
        <w:t xml:space="preserve"> for ARCT-154 or for any regulatory approval, the likelihood, and timing for, a filing to proceed with a clinical study of ARCT-032, the likelihood that a patent will issue from any patent application, its financial projections, current cash position and expected cash burn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w:t>
      </w:r>
      <w:r>
        <w:rPr>
          <w:rFonts w:ascii="Times New Roman" w:cs="Times New Roman" w:eastAsia="Times New Roman" w:hAnsi="Times New Roman"/>
          <w:sz w:val="18"/>
          <w:szCs w:val="18"/>
          <w:color w:val="000000"/>
        </w:rPr>
        <w:t>SEC</w:t>
      </w:r>
      <w:r>
        <w:rPr>
          <w:rFonts w:ascii="Times New Roman" w:cs="Times New Roman" w:eastAsia="Times New Roman" w:hAnsi="Times New Roman"/>
          <w:sz w:val="18"/>
          <w:szCs w:val="18"/>
          <w:color w:val="333333"/>
        </w:rPr>
        <w:t xml:space="preserve">, which are available on the SEC’s website at </w:t>
      </w:r>
      <w:r>
        <w:rPr>
          <w:rFonts w:ascii="Times New Roman" w:cs="Times New Roman" w:eastAsia="Times New Roman" w:hAnsi="Times New Roman"/>
          <w:sz w:val="18"/>
          <w:szCs w:val="18"/>
          <w:u w:val="single" w:color="auto"/>
          <w:color w:val="00607E"/>
        </w:rPr>
        <w:t>www.sec.gov</w:t>
      </w:r>
      <w:r>
        <w:rPr>
          <w:rFonts w:ascii="Times New Roman" w:cs="Times New Roman" w:eastAsia="Times New Roman" w:hAnsi="Times New Roman"/>
          <w:sz w:val="18"/>
          <w:szCs w:val="18"/>
          <w:color w:val="333333"/>
        </w:rPr>
        <w:t>.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9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Trademark Acknowledgements</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77" w:lineRule="exact"/>
        <w:rPr>
          <w:sz w:val="20"/>
          <w:szCs w:val="20"/>
          <w:color w:val="auto"/>
        </w:rPr>
      </w:pPr>
    </w:p>
    <w:p>
      <w:pPr>
        <w:jc w:val="center"/>
        <w:ind w:left="340" w:right="26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ARCTURUS THERAPEUTICS HOLDINGS INC. AND ITS SUBSIDIARIES CONDENSED CONSOLIDATED BALANCE SHEETS </w:t>
      </w:r>
      <w:r>
        <w:rPr>
          <w:rFonts w:ascii="Times New Roman" w:cs="Times New Roman" w:eastAsia="Times New Roman" w:hAnsi="Times New Roman"/>
          <w:sz w:val="18"/>
          <w:szCs w:val="18"/>
          <w:color w:val="auto"/>
        </w:rPr>
        <w:t>(in thousands, except par value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8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319,678</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370,492</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3,691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3,367</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3,636</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5,102</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327,005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378,961</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7,530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5,643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Equity-method investment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Non-current restricted cash</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341,988</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392,814</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10,014</w:t>
            </w:r>
          </w:p>
        </w:tc>
        <w:tc>
          <w:tcPr>
            <w:tcW w:w="220" w:type="dxa"/>
            <w:vAlign w:val="bottom"/>
          </w:tcPr>
          <w:p>
            <w:pPr>
              <w:spacing w:after="0"/>
              <w:rPr>
                <w:sz w:val="18"/>
                <w:szCs w:val="18"/>
                <w:color w:val="auto"/>
              </w:rPr>
            </w:pPr>
          </w:p>
        </w:tc>
        <w:tc>
          <w:tcPr>
            <w:tcW w:w="140" w:type="dxa"/>
            <w:vAlign w:val="bottom"/>
            <w:gridSpan w:val="2"/>
          </w:tcPr>
          <w:p>
            <w:pPr>
              <w:jc w:val="right"/>
              <w:ind w:right="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19,970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23,523</w:t>
            </w:r>
          </w:p>
        </w:tc>
        <w:tc>
          <w:tcPr>
            <w:tcW w:w="0" w:type="dxa"/>
            <w:vAlign w:val="bottom"/>
          </w:tcPr>
          <w:p>
            <w:pPr>
              <w:spacing w:after="0"/>
              <w:rPr>
                <w:sz w:val="1"/>
                <w:szCs w:val="1"/>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24,260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22,474</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53,062</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43,482</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107,306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99,537</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6,641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19,931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22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39,235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40,633</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4,057</w:t>
            </w: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10"/>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157,239</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164,603</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1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60,000 shares authorized; 26,407 issued and outstanding at March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and 26,372 issued and outstanding at December 31, 2021</w:t>
            </w: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583,382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575,675</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(398,659)</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(347,490)</w:t>
            </w:r>
          </w:p>
        </w:tc>
        <w:tc>
          <w:tcPr>
            <w:tcW w:w="0" w:type="dxa"/>
            <w:vAlign w:val="bottom"/>
          </w:tcPr>
          <w:p>
            <w:pPr>
              <w:spacing w:after="0"/>
              <w:rPr>
                <w:sz w:val="1"/>
                <w:szCs w:val="1"/>
                <w:color w:val="auto"/>
              </w:rPr>
            </w:pPr>
          </w:p>
        </w:tc>
      </w:tr>
      <w:tr>
        <w:trPr>
          <w:trHeight w:val="21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184,749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228,211</w:t>
            </w: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341,988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392,814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8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8"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ARCTURUS THERAPEUTICS HOLDINGS INC.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8"/>
        </w:trPr>
        <w:tc>
          <w:tcPr>
            <w:tcW w:w="5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5,794</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44,893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50,050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32,633</w:t>
            </w:r>
          </w:p>
        </w:tc>
      </w:tr>
      <w:tr>
        <w:trPr>
          <w:trHeight w:val="230"/>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10,730</w:t>
            </w:r>
          </w:p>
        </w:tc>
        <w:tc>
          <w:tcPr>
            <w:tcW w:w="2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9,743</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10,806</w:t>
            </w:r>
          </w:p>
        </w:tc>
      </w:tr>
      <w:tr>
        <w:trPr>
          <w:trHeight w:val="209"/>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55,623</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43,439</w:t>
            </w:r>
          </w:p>
        </w:tc>
      </w:tr>
      <w:tr>
        <w:trPr>
          <w:trHeight w:val="20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(37,645)</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from equity-method investment</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Gain from foreign currency</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 net</w:t>
            </w:r>
          </w:p>
        </w:tc>
        <w:tc>
          <w:tcPr>
            <w:tcW w:w="12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63"/>
        </w:trPr>
        <w:tc>
          <w:tcPr>
            <w:tcW w:w="5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24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(56,346)</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(38,664)</w:t>
            </w:r>
          </w:p>
        </w:tc>
      </w:tr>
      <w:tr>
        <w:trPr>
          <w:trHeight w:val="197"/>
        </w:trPr>
        <w:tc>
          <w:tcPr>
            <w:tcW w:w="52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26,376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26,359</w:t>
            </w: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5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64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(56,346)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(38,664)</w:t>
            </w:r>
          </w:p>
        </w:tc>
      </w:tr>
      <w:tr>
        <w:trPr>
          <w:trHeight w:val="223"/>
        </w:trPr>
        <w:tc>
          <w:tcPr>
            <w:tcW w:w="52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(38,664)</w:t>
            </w:r>
          </w:p>
        </w:tc>
      </w:tr>
      <w:tr>
        <w:trPr>
          <w:trHeight w:val="20"/>
        </w:trPr>
        <w:tc>
          <w:tcPr>
            <w:tcW w:w="5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Deepankar Roy, Ph.D.</w:t>
      </w:r>
    </w:p>
    <w:p>
      <w:pPr>
        <w:spacing w:after="0" w:line="9"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900-2682</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607E"/>
        </w:rPr>
        <w:t>IR@ArcturusRx.com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Kendall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914-0008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607E"/>
        </w:rPr>
        <w:t>ctanzi@kendallir.com</w:t>
      </w:r>
    </w:p>
    <w:sectPr>
      <w:pgSz w:w="11900" w:h="16838" w:orient="portrait"/>
      <w:cols w:equalWidth="0" w:num="1">
        <w:col w:w="11240"/>
      </w:cols>
      <w:pgMar w:left="320" w:top="7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858"/>
    </w:lvl>
  </w:abstractNum>
  <w:abstractNum w:abstractNumId="4">
    <w:nsid w:val="46E87CCD"/>
    <w:multiLevelType w:val="hybridMultilevel"/>
    <w:lvl w:ilvl="0">
      <w:lvlJc w:val="left"/>
      <w:lvlText w:val="(%1)"/>
      <w:numFmt w:val="decimal"/>
      <w:start w:val="61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2022-05-09T15:39:06Z</dcterms:created>
  <dcterms:modified xsi:type="dcterms:W3CDTF">2022-05-09T15:39:06Z</dcterms:modified>
</cp:coreProperties>
</file>