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2)*</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Arcturus Therapeutics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03969T109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6"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25" w:lineRule="exact"/>
        <w:rPr>
          <w:sz w:val="24"/>
          <w:szCs w:val="24"/>
          <w:color w:val="auto"/>
        </w:rPr>
      </w:pPr>
    </w:p>
    <w:p>
      <w:pPr>
        <w:ind w:firstLine="8"/>
        <w:spacing w:after="0" w:line="282" w:lineRule="auto"/>
        <w:tabs>
          <w:tab w:leader="none" w:pos="1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277495</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16"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CUSIP No.</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720" w:type="dxa"/>
            <w:vAlign w:val="bottom"/>
            <w:tcBorders>
              <w:top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72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Nikko Asset Management Americas, Inc.</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620" w:type="dxa"/>
            <w:vAlign w:val="bottom"/>
            <w:tcBorders>
              <w:bottom w:val="single" w:sz="8" w:color="auto"/>
            </w:tcBorders>
            <w:gridSpan w:val="5"/>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right w:val="single" w:sz="8" w:color="auto"/>
            </w:tcBorders>
            <w:vMerge w:val="continue"/>
          </w:tcPr>
          <w:p>
            <w:pPr>
              <w:spacing w:after="0"/>
              <w:rPr>
                <w:sz w:val="23"/>
                <w:szCs w:val="23"/>
                <w:color w:val="auto"/>
              </w:rPr>
            </w:pPr>
          </w:p>
        </w:tc>
        <w:tc>
          <w:tcPr>
            <w:tcW w:w="82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830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48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180" w:type="dxa"/>
            <w:vAlign w:val="bottom"/>
            <w:tcBorders>
              <w:bottom w:val="single" w:sz="8" w:color="auto"/>
            </w:tcBorders>
            <w:shd w:val="clear" w:color="auto" w:fill="BFBFBF"/>
          </w:tcPr>
          <w:p>
            <w:pPr>
              <w:spacing w:after="0"/>
              <w:rPr>
                <w:sz w:val="23"/>
                <w:szCs w:val="23"/>
                <w:color w:val="auto"/>
              </w:rPr>
            </w:pPr>
          </w:p>
        </w:tc>
        <w:tc>
          <w:tcPr>
            <w:tcW w:w="48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830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USA</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80" w:type="dxa"/>
            <w:vAlign w:val="bottom"/>
          </w:tcPr>
          <w:p>
            <w:pPr>
              <w:spacing w:after="0"/>
              <w:rPr>
                <w:sz w:val="19"/>
                <w:szCs w:val="19"/>
                <w:color w:val="auto"/>
              </w:rPr>
            </w:pPr>
          </w:p>
        </w:tc>
        <w:tc>
          <w:tcPr>
            <w:tcW w:w="48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1,154,086</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8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3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80" w:type="dxa"/>
            <w:vAlign w:val="bottom"/>
          </w:tcPr>
          <w:p>
            <w:pPr>
              <w:spacing w:after="0"/>
              <w:rPr>
                <w:sz w:val="18"/>
                <w:szCs w:val="18"/>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840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400" w:type="dxa"/>
            <w:vAlign w:val="bottom"/>
            <w:tcBorders>
              <w:left w:val="single" w:sz="8" w:color="auto"/>
            </w:tcBorders>
            <w:vMerge w:val="restart"/>
          </w:tcPr>
          <w:p>
            <w:pPr>
              <w:jc w:val="center"/>
              <w:ind w:left="506"/>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Borders>
              <w:right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83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1,320,652</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1,320,652</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left w:val="single" w:sz="8" w:color="auto"/>
              <w:right w:val="single" w:sz="8" w:color="auto"/>
            </w:tcBorders>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8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left w:val="single" w:sz="8" w:color="auto"/>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8320" w:type="dxa"/>
            <w:vAlign w:val="bottom"/>
            <w:tcBorders>
              <w:bottom w:val="single" w:sz="8" w:color="auto"/>
            </w:tcBorders>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4.94%</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IA</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92"/>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229" w:lineRule="exact"/>
        <w:rPr>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w:t>
      </w:r>
    </w:p>
    <w:p>
      <w:pPr>
        <w:spacing w:after="0" w:line="22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Arcturus Therapeutics Holdings Inc.</w:t>
      </w:r>
    </w:p>
    <w:p>
      <w:pPr>
        <w:spacing w:after="0" w:line="22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Issuer’s Principal Executive Offices</w:t>
      </w:r>
    </w:p>
    <w:p>
      <w:pPr>
        <w:spacing w:after="0" w:line="221" w:lineRule="exact"/>
        <w:rPr>
          <w:rFonts w:ascii="Times New Roman" w:cs="Times New Roman" w:eastAsia="Times New Roman" w:hAnsi="Times New Roman"/>
          <w:sz w:val="18"/>
          <w:szCs w:val="18"/>
          <w:color w:val="auto"/>
        </w:rPr>
      </w:pPr>
    </w:p>
    <w:p>
      <w:pPr>
        <w:ind w:left="1300" w:right="5919"/>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10628 Science Center Drive, Suite 250 San Diego, CA 92121</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229" w:lineRule="exact"/>
        <w:rPr>
          <w:sz w:val="20"/>
          <w:szCs w:val="20"/>
          <w:color w:val="auto"/>
        </w:rPr>
      </w:pPr>
    </w:p>
    <w:p>
      <w:pPr>
        <w:ind w:left="1300" w:hanging="644"/>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Person Filing</w:t>
      </w:r>
    </w:p>
    <w:p>
      <w:pPr>
        <w:spacing w:after="0" w:line="22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Nikko Asset Management Americas, Inc.</w:t>
      </w:r>
    </w:p>
    <w:p>
      <w:pPr>
        <w:spacing w:after="0" w:line="22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Address of Principal Business Office or, if none, Residence</w:t>
      </w:r>
    </w:p>
    <w:p>
      <w:pPr>
        <w:spacing w:after="0" w:line="222" w:lineRule="exact"/>
        <w:rPr>
          <w:rFonts w:ascii="Times New Roman" w:cs="Times New Roman" w:eastAsia="Times New Roman" w:hAnsi="Times New Roman"/>
          <w:sz w:val="17"/>
          <w:szCs w:val="17"/>
          <w:color w:val="auto"/>
        </w:rPr>
      </w:pPr>
    </w:p>
    <w:p>
      <w:pPr>
        <w:ind w:left="13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b w:val="1"/>
          <w:bCs w:val="1"/>
          <w:color w:val="auto"/>
        </w:rPr>
        <w:t>605 Third Avenue, 38</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Floor, New York, NY 10158</w:t>
      </w:r>
    </w:p>
    <w:p>
      <w:pPr>
        <w:spacing w:after="0" w:line="112" w:lineRule="exact"/>
        <w:rPr>
          <w:rFonts w:ascii="Times New Roman" w:cs="Times New Roman" w:eastAsia="Times New Roman" w:hAnsi="Times New Roman"/>
          <w:sz w:val="17"/>
          <w:szCs w:val="17"/>
          <w:color w:val="auto"/>
        </w:rPr>
      </w:pPr>
    </w:p>
    <w:p>
      <w:pPr>
        <w:ind w:left="1300" w:hanging="644"/>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w:t>
      </w:r>
    </w:p>
    <w:p>
      <w:pPr>
        <w:spacing w:after="0" w:line="22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USA</w:t>
      </w:r>
    </w:p>
    <w:p>
      <w:pPr>
        <w:spacing w:after="0" w:line="22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Class of Securities</w:t>
      </w:r>
    </w:p>
    <w:p>
      <w:pPr>
        <w:spacing w:after="0" w:line="22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Common Stock, par value $0.001 per share</w:t>
      </w:r>
    </w:p>
    <w:p>
      <w:pPr>
        <w:spacing w:after="0" w:line="22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CUSIP Number</w:t>
      </w:r>
    </w:p>
    <w:p>
      <w:pPr>
        <w:spacing w:after="0" w:line="22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03969T109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§§240.13d-1(b) or 240.13d-2(b) or (c), check whether the person filing is a:</w:t>
      </w:r>
    </w:p>
    <w:p>
      <w:pPr>
        <w:spacing w:after="0" w:line="188" w:lineRule="exact"/>
        <w:rPr>
          <w:sz w:val="20"/>
          <w:szCs w:val="20"/>
          <w:color w:val="auto"/>
        </w:rPr>
      </w:pPr>
    </w:p>
    <w:p>
      <w:pPr>
        <w:ind w:left="1480" w:hanging="797"/>
        <w:spacing w:after="0" w:line="207" w:lineRule="exact"/>
        <w:tabs>
          <w:tab w:leader="none" w:pos="148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225" w:lineRule="exact"/>
        <w:rPr>
          <w:rFonts w:ascii="Times New Roman" w:cs="Times New Roman" w:eastAsia="Times New Roman" w:hAnsi="Times New Roman"/>
          <w:sz w:val="18"/>
          <w:szCs w:val="18"/>
          <w:color w:val="auto"/>
        </w:rPr>
      </w:pPr>
    </w:p>
    <w:p>
      <w:pPr>
        <w:ind w:left="1480" w:hanging="797"/>
        <w:spacing w:after="0" w:line="207" w:lineRule="exact"/>
        <w:tabs>
          <w:tab w:leader="none" w:pos="148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225" w:lineRule="exact"/>
        <w:rPr>
          <w:rFonts w:ascii="Times New Roman" w:cs="Times New Roman" w:eastAsia="Times New Roman" w:hAnsi="Times New Roman"/>
          <w:sz w:val="18"/>
          <w:szCs w:val="18"/>
          <w:color w:val="auto"/>
        </w:rPr>
      </w:pPr>
    </w:p>
    <w:p>
      <w:pPr>
        <w:ind w:left="1480" w:hanging="797"/>
        <w:spacing w:after="0" w:line="207" w:lineRule="exact"/>
        <w:tabs>
          <w:tab w:leader="none" w:pos="148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225" w:lineRule="exact"/>
        <w:rPr>
          <w:rFonts w:ascii="Times New Roman" w:cs="Times New Roman" w:eastAsia="Times New Roman" w:hAnsi="Times New Roman"/>
          <w:sz w:val="18"/>
          <w:szCs w:val="18"/>
          <w:color w:val="auto"/>
        </w:rPr>
      </w:pPr>
    </w:p>
    <w:p>
      <w:pPr>
        <w:ind w:left="1480" w:hanging="797"/>
        <w:spacing w:after="0" w:line="207" w:lineRule="exact"/>
        <w:tabs>
          <w:tab w:leader="none" w:pos="148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225" w:lineRule="exact"/>
        <w:rPr>
          <w:rFonts w:ascii="Times New Roman" w:cs="Times New Roman" w:eastAsia="Times New Roman" w:hAnsi="Times New Roman"/>
          <w:sz w:val="18"/>
          <w:szCs w:val="18"/>
          <w:color w:val="auto"/>
        </w:rPr>
      </w:pPr>
    </w:p>
    <w:p>
      <w:pPr>
        <w:ind w:left="1480" w:hanging="797"/>
        <w:spacing w:after="0" w:line="207" w:lineRule="exact"/>
        <w:tabs>
          <w:tab w:leader="none" w:pos="148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investment adviser in accordance with §240.13d-1(b)(1)(ii)(E);</w:t>
      </w:r>
    </w:p>
    <w:p>
      <w:pPr>
        <w:spacing w:after="0" w:line="225" w:lineRule="exact"/>
        <w:rPr>
          <w:rFonts w:ascii="Times New Roman" w:cs="Times New Roman" w:eastAsia="Times New Roman" w:hAnsi="Times New Roman"/>
          <w:sz w:val="18"/>
          <w:szCs w:val="18"/>
          <w:color w:val="auto"/>
        </w:rPr>
      </w:pPr>
    </w:p>
    <w:p>
      <w:pPr>
        <w:ind w:left="1480" w:hanging="797"/>
        <w:spacing w:after="0" w:line="207" w:lineRule="exact"/>
        <w:tabs>
          <w:tab w:leader="none" w:pos="148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employee benefit plan or endowment fund in accordance with §240.13d-1(b)(1)(ii)(F);</w:t>
      </w:r>
    </w:p>
    <w:p>
      <w:pPr>
        <w:spacing w:after="0" w:line="225" w:lineRule="exact"/>
        <w:rPr>
          <w:rFonts w:ascii="Times New Roman" w:cs="Times New Roman" w:eastAsia="Times New Roman" w:hAnsi="Times New Roman"/>
          <w:sz w:val="18"/>
          <w:szCs w:val="18"/>
          <w:color w:val="auto"/>
        </w:rPr>
      </w:pPr>
    </w:p>
    <w:p>
      <w:pPr>
        <w:ind w:left="1480" w:hanging="797"/>
        <w:spacing w:after="0" w:line="207" w:lineRule="exact"/>
        <w:tabs>
          <w:tab w:leader="none" w:pos="148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parent holding company or control person in accordance with § 240.13d-1(b)(1)(ii)(G);</w:t>
      </w:r>
    </w:p>
    <w:p>
      <w:pPr>
        <w:spacing w:after="0" w:line="225" w:lineRule="exact"/>
        <w:rPr>
          <w:rFonts w:ascii="Times New Roman" w:cs="Times New Roman" w:eastAsia="Times New Roman" w:hAnsi="Times New Roman"/>
          <w:sz w:val="18"/>
          <w:szCs w:val="18"/>
          <w:color w:val="auto"/>
        </w:rPr>
      </w:pPr>
    </w:p>
    <w:p>
      <w:pPr>
        <w:ind w:left="1480" w:hanging="797"/>
        <w:spacing w:after="0" w:line="207" w:lineRule="exact"/>
        <w:tabs>
          <w:tab w:leader="none" w:pos="148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savings associations as defined in Section 3(b) of the Federal Deposit Insurance Act (12 U.S.C. 1813);</w:t>
      </w:r>
    </w:p>
    <w:p>
      <w:pPr>
        <w:spacing w:after="0" w:line="225" w:lineRule="exact"/>
        <w:rPr>
          <w:rFonts w:ascii="Times New Roman" w:cs="Times New Roman" w:eastAsia="Times New Roman" w:hAnsi="Times New Roman"/>
          <w:sz w:val="18"/>
          <w:szCs w:val="18"/>
          <w:color w:val="auto"/>
        </w:rPr>
      </w:pPr>
    </w:p>
    <w:p>
      <w:pPr>
        <w:ind w:left="1920" w:hanging="1237"/>
        <w:spacing w:after="0" w:line="245" w:lineRule="exact"/>
        <w:tabs>
          <w:tab w:leader="none" w:pos="1474"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spacing w:after="0" w:line="158" w:lineRule="exact"/>
        <w:rPr>
          <w:rFonts w:ascii="Times New Roman" w:cs="Times New Roman" w:eastAsia="Times New Roman" w:hAnsi="Times New Roman"/>
          <w:sz w:val="18"/>
          <w:szCs w:val="18"/>
          <w:color w:val="auto"/>
        </w:rPr>
      </w:pPr>
    </w:p>
    <w:p>
      <w:pPr>
        <w:ind w:left="1480" w:hanging="797"/>
        <w:spacing w:after="0" w:line="207" w:lineRule="exact"/>
        <w:tabs>
          <w:tab w:leader="none" w:pos="148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non-U.S. institution in accordance with § 240.13d-1(b)(1)(ii)(J).</w:t>
      </w:r>
    </w:p>
    <w:p>
      <w:pPr>
        <w:spacing w:after="0" w:line="225" w:lineRule="exact"/>
        <w:rPr>
          <w:rFonts w:ascii="Times New Roman" w:cs="Times New Roman" w:eastAsia="Times New Roman" w:hAnsi="Times New Roman"/>
          <w:sz w:val="18"/>
          <w:szCs w:val="18"/>
          <w:color w:val="auto"/>
        </w:rPr>
      </w:pPr>
    </w:p>
    <w:p>
      <w:pPr>
        <w:ind w:left="1920" w:hanging="1237"/>
        <w:spacing w:after="0" w:line="245" w:lineRule="exact"/>
        <w:tabs>
          <w:tab w:leader="none" w:pos="1474"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group, in accordance with § 240.13d-1(b)(1)(ii)(K). If filing as a non-U.S. institution in accordance with § 240.13d-1(b)(1)(ii) (J),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225" w:lineRule="exact"/>
        <w:rPr>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w:t>
      </w:r>
    </w:p>
    <w:p>
      <w:pPr>
        <w:spacing w:after="0" w:line="22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1,320,652</w:t>
      </w:r>
    </w:p>
    <w:p>
      <w:pPr>
        <w:spacing w:after="0" w:line="22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22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4.94%</w:t>
      </w:r>
    </w:p>
    <w:p>
      <w:pPr>
        <w:spacing w:after="0" w:line="22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w:t>
      </w:r>
    </w:p>
    <w:p>
      <w:pPr>
        <w:spacing w:after="0" w:line="221"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0</w:t>
      </w:r>
    </w:p>
    <w:p>
      <w:pPr>
        <w:spacing w:after="0" w:line="229"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w:t>
      </w:r>
    </w:p>
    <w:p>
      <w:pPr>
        <w:spacing w:after="0" w:line="221"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1,154,086</w:t>
      </w:r>
    </w:p>
    <w:p>
      <w:pPr>
        <w:spacing w:after="0" w:line="229"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w:t>
      </w:r>
    </w:p>
    <w:p>
      <w:pPr>
        <w:spacing w:after="0" w:line="221"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0</w:t>
      </w:r>
    </w:p>
    <w:p>
      <w:pPr>
        <w:spacing w:after="0" w:line="229"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Shared power to dispose or to direct the disposition of:</w:t>
      </w:r>
    </w:p>
    <w:p>
      <w:pPr>
        <w:spacing w:after="0" w:line="22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b w:val="1"/>
          <w:bCs w:val="1"/>
          <w:color w:val="auto"/>
        </w:rPr>
        <w:t>1,320,652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229" w:lineRule="exact"/>
        <w:rPr>
          <w:sz w:val="20"/>
          <w:szCs w:val="20"/>
          <w:color w:val="auto"/>
        </w:rPr>
      </w:pPr>
    </w:p>
    <w:p>
      <w:pPr>
        <w:ind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See Exhibit A.</w:t>
      </w:r>
    </w:p>
    <w:p>
      <w:pPr>
        <w:spacing w:after="0" w:line="225" w:lineRule="exact"/>
        <w:rPr>
          <w:sz w:val="20"/>
          <w:szCs w:val="20"/>
          <w:color w:val="auto"/>
        </w:rPr>
      </w:pPr>
    </w:p>
    <w:p>
      <w:pPr>
        <w:ind w:left="660" w:right="240" w:hanging="647"/>
        <w:spacing w:after="0" w:line="500" w:lineRule="auto"/>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 See Exhibit 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117" w:right="5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Item 10.Certification</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February 12, 2024</w:t>
            </w:r>
          </w:p>
        </w:tc>
        <w:tc>
          <w:tcPr>
            <w:tcW w:w="754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 xml:space="preserve">By: /s/ </w:t>
            </w:r>
            <w:r>
              <w:rPr>
                <w:rFonts w:ascii="Times New Roman" w:cs="Times New Roman" w:eastAsia="Times New Roman" w:hAnsi="Times New Roman"/>
                <w:sz w:val="18"/>
                <w:szCs w:val="18"/>
                <w:i w:val="1"/>
                <w:iCs w:val="1"/>
                <w:color w:val="auto"/>
              </w:rPr>
              <w:t>Gary L. Beckham</w:t>
            </w:r>
          </w:p>
        </w:tc>
      </w:tr>
      <w:tr>
        <w:trPr>
          <w:trHeight w:val="216"/>
        </w:trPr>
        <w:tc>
          <w:tcPr>
            <w:tcW w:w="9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754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Name: Gary L. Beckham</w:t>
            </w:r>
          </w:p>
        </w:tc>
      </w:tr>
      <w:tr>
        <w:trPr>
          <w:trHeight w:val="234"/>
        </w:trPr>
        <w:tc>
          <w:tcPr>
            <w:tcW w:w="9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754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Title: Chief Compliance Officer</w:t>
            </w:r>
          </w:p>
        </w:tc>
      </w:tr>
      <w:tr>
        <w:trPr>
          <w:trHeight w:val="432"/>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Attention:</w:t>
            </w:r>
          </w:p>
        </w:tc>
        <w:tc>
          <w:tcPr>
            <w:tcW w:w="102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Intentional misstatements or omissions of fact constitute Federal criminal violations (See 18 U.S.C. 1001)</w:t>
            </w:r>
          </w:p>
        </w:tc>
      </w:tr>
      <w:tr>
        <w:trPr>
          <w:trHeight w:val="398"/>
        </w:trPr>
        <w:tc>
          <w:tcPr>
            <w:tcW w:w="9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75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6" w:name="page7"/>
    <w:bookmarkEnd w:id="6"/>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instructions in Items 6 and 7 of Schedule 13G, the security being reported on by Nikko Asset Management Americas, Inc., as subsidiary to the parent holding companies listed below, are owned, or may be deemed to be beneficially owned, by its parent holding companies.</w:t>
      </w:r>
    </w:p>
    <w:p>
      <w:pPr>
        <w:spacing w:after="0" w:line="162"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Sumitomo Mitsui Trust Holdings Inc.</w:t>
      </w:r>
    </w:p>
    <w:p>
      <w:pPr>
        <w:spacing w:after="0" w:line="27" w:lineRule="exact"/>
        <w:rPr>
          <w:sz w:val="20"/>
          <w:szCs w:val="20"/>
          <w:color w:val="auto"/>
        </w:rPr>
      </w:pPr>
    </w:p>
    <w:p>
      <w:pPr>
        <w:ind w:left="1300" w:hanging="320"/>
        <w:spacing w:after="0"/>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parent holding company or control person in accordance with §240.13d-1(b)(1)(ii)(G);</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non-U.S. institution in accordance with §240.13d-1(b)(1)(ii)(J).</w:t>
      </w:r>
    </w:p>
    <w:p>
      <w:pPr>
        <w:spacing w:after="0" w:line="20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Nikko Asset Management Co., Ltd.</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adviser in accordance with §240.13d-1(b)(1)(ii)(E);</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non-U.S. institution in accordance with §240.13d-1(b)(1)(ii)(J).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800"/>
      </w:cols>
      <w:pgMar w:left="320" w:top="117" w:right="7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1"/>
    </w:lvl>
    <w:lvl w:ilvl="1">
      <w:lvlJc w:val="left"/>
      <w:lvlText w:val="(%2)"/>
      <w:numFmt w:val="lowerRoman"/>
      <w:start w:val="1"/>
    </w:lvl>
  </w:abstractNum>
  <w:abstractNum w:abstractNumId="7">
    <w:nsid w:val="7545E146"/>
    <w:multiLevelType w:val="hybridMultilevel"/>
    <w:lvl w:ilvl="0">
      <w:lvlJc w:val="left"/>
      <w:lvlText w:val="%1)"/>
      <w:numFmt w:val="decimal"/>
      <w:start w:val="1"/>
    </w:lvl>
    <w:lvl w:ilvl="1">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2024-02-12T17:16:08Z</dcterms:created>
  <dcterms:modified xsi:type="dcterms:W3CDTF">2024-02-12T17:16:08Z</dcterms:modified>
</cp:coreProperties>
</file>