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1" w:lineRule="auto"/>
        <w:framePr w:w="3620" w:h="193" w:wrap="auto" w:vAnchor="page" w:hAnchor="page" w:x="4340" w:y="4438"/>
        <w:rPr>
          <w:rFonts w:ascii="Arial" w:cs="Arial" w:eastAsia="Arial" w:hAnsi="Arial"/>
          <w:sz w:val="21"/>
          <w:szCs w:val="21"/>
          <w:color w:val="auto"/>
        </w:rPr>
      </w:pPr>
      <w:r>
        <w:rPr>
          <w:rFonts w:ascii="Arial" w:cs="Arial" w:eastAsia="Arial" w:hAnsi="Arial"/>
          <w:sz w:val="21"/>
          <w:szCs w:val="21"/>
          <w:color w:val="auto"/>
        </w:rPr>
        <w:t>Rule 10b5-1(c) Transaction Indication</w:t>
      </w:r>
    </w:p>
    <w:p>
      <w:pPr>
        <w:spacing w:after="0" w:line="210" w:lineRule="auto"/>
        <w:framePr w:w="6560" w:h="242" w:wrap="auto" w:vAnchor="page" w:hAnchor="page" w:x="4600" w:y="4895"/>
        <w:rPr>
          <w:rFonts w:ascii="Arial" w:cs="Arial" w:eastAsia="Arial" w:hAnsi="Arial"/>
          <w:sz w:val="12"/>
          <w:szCs w:val="12"/>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auto"/>
        <w:framePr w:w="1700" w:h="154" w:wrap="auto" w:vAnchor="page" w:hAnchor="page" w:x="8920" w:y="3011"/>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Chief Financial Officer</w:t>
      </w:r>
    </w:p>
    <w:p>
      <w:pPr>
        <w:spacing w:after="0" w:line="214" w:lineRule="auto"/>
        <w:framePr w:w="3140" w:h="267" w:wrap="auto" w:vAnchor="page" w:hAnchor="page" w:x="8160" w:y="3391"/>
        <w:rPr>
          <w:rFonts w:ascii="Arial" w:cs="Arial" w:eastAsia="Arial" w:hAnsi="Arial"/>
          <w:sz w:val="13"/>
          <w:szCs w:val="13"/>
          <w:color w:val="0000FF"/>
        </w:rPr>
      </w:pPr>
      <w:r>
        <w:rPr>
          <w:rFonts w:ascii="Arial" w:cs="Arial" w:eastAsia="Arial" w:hAnsi="Arial"/>
          <w:sz w:val="13"/>
          <w:szCs w:val="13"/>
          <w:color w:val="0000FF"/>
        </w:rPr>
        <w:t>6. Individual or Joint/Group Filing (Check Applicable Line)</w:t>
      </w:r>
    </w:p>
    <w:p>
      <w:pPr>
        <w:spacing w:after="0" w:line="193" w:lineRule="auto"/>
        <w:framePr w:w="2220" w:h="121" w:wrap="auto" w:vAnchor="page" w:hAnchor="page" w:x="8680" w:y="3751"/>
        <w:rPr>
          <w:rFonts w:ascii="Arial" w:cs="Arial" w:eastAsia="Arial" w:hAnsi="Arial"/>
          <w:sz w:val="13"/>
          <w:szCs w:val="13"/>
          <w:color w:val="0000FF"/>
        </w:rPr>
      </w:pPr>
      <w:r>
        <w:rPr>
          <w:rFonts w:ascii="Arial" w:cs="Arial" w:eastAsia="Arial" w:hAnsi="Arial"/>
          <w:sz w:val="13"/>
          <w:szCs w:val="13"/>
          <w:color w:val="0000FF"/>
        </w:rPr>
        <w:t>Form filed by One Reporting Person</w:t>
      </w:r>
    </w:p>
    <w:p>
      <w:pPr>
        <w:spacing w:after="0" w:line="214" w:lineRule="auto"/>
        <w:framePr w:w="2400" w:h="267" w:wrap="auto" w:vAnchor="page" w:hAnchor="page" w:x="8680" w:y="3977"/>
        <w:rPr>
          <w:rFonts w:ascii="Arial" w:cs="Arial" w:eastAsia="Arial" w:hAnsi="Arial"/>
          <w:sz w:val="13"/>
          <w:szCs w:val="13"/>
          <w:color w:val="0000FF"/>
        </w:rPr>
      </w:pPr>
      <w:r>
        <w:rPr>
          <w:rFonts w:ascii="Arial" w:cs="Arial" w:eastAsia="Arial" w:hAnsi="Arial"/>
          <w:sz w:val="13"/>
          <w:szCs w:val="13"/>
          <w:color w:val="0000FF"/>
        </w:rPr>
        <w:t>Form filed by More than One Reporting Person</w:t>
      </w: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rFonts w:ascii="Arial" w:cs="Arial" w:eastAsia="Arial" w:hAnsi="Arial"/>
          <w:sz w:val="13"/>
          <w:szCs w:val="13"/>
          <w:color w:val="0000FF"/>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rFonts w:ascii="Arial" w:cs="Arial" w:eastAsia="Arial" w:hAnsi="Arial"/>
          <w:sz w:val="13"/>
          <w:szCs w:val="13"/>
          <w:color w:val="0000FF"/>
        </w:rPr>
      </w:pPr>
    </w:p>
    <w:p>
      <w:pPr>
        <w:spacing w:after="0" w:line="244" w:lineRule="exact"/>
        <w:rPr>
          <w:rFonts w:ascii="Arial" w:cs="Arial" w:eastAsia="Arial" w:hAnsi="Arial"/>
          <w:sz w:val="13"/>
          <w:szCs w:val="13"/>
          <w:color w:val="0000FF"/>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rFonts w:ascii="Arial" w:cs="Arial" w:eastAsia="Arial" w:hAnsi="Arial"/>
          <w:sz w:val="13"/>
          <w:szCs w:val="13"/>
          <w:color w:val="0000FF"/>
        </w:rPr>
      </w:pPr>
      <w:r>
        <w:rPr>
          <w:rFonts w:ascii="Arial" w:cs="Arial" w:eastAsia="Arial" w:hAnsi="Arial"/>
          <w:sz w:val="13"/>
          <w:szCs w:val="13"/>
          <w:color w:val="0000FF"/>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rFonts w:ascii="Arial" w:cs="Arial" w:eastAsia="Arial" w:hAnsi="Arial"/>
          <w:sz w:val="13"/>
          <w:szCs w:val="13"/>
          <w:color w:val="0000FF"/>
        </w:rPr>
      </w:pPr>
      <w:r>
        <w:rPr>
          <w:rFonts w:ascii="Arial" w:cs="Arial" w:eastAsia="Arial" w:hAnsi="Arial"/>
          <w:sz w:val="13"/>
          <w:szCs w:val="13"/>
          <w:color w:val="0000FF"/>
        </w:rPr>
        <w:br w:type="column"/>
      </w:r>
    </w:p>
    <w:p>
      <w:pPr>
        <w:spacing w:after="0" w:line="272" w:lineRule="exact"/>
        <w:rPr>
          <w:rFonts w:ascii="Arial" w:cs="Arial" w:eastAsia="Arial" w:hAnsi="Arial"/>
          <w:sz w:val="13"/>
          <w:szCs w:val="13"/>
          <w:color w:val="0000FF"/>
        </w:rPr>
      </w:pPr>
    </w:p>
    <w:p>
      <w:pPr>
        <w:spacing w:after="0" w:line="1" w:lineRule="exact"/>
        <w:rPr>
          <w:rFonts w:ascii="Arial" w:cs="Arial" w:eastAsia="Arial" w:hAnsi="Arial"/>
          <w:sz w:val="1"/>
          <w:szCs w:val="1"/>
          <w:color w:val="0000FF"/>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rFonts w:ascii="Arial" w:cs="Arial" w:eastAsia="Arial" w:hAnsi="Arial"/>
          <w:sz w:val="13"/>
          <w:szCs w:val="13"/>
          <w:color w:val="0000FF"/>
        </w:rPr>
      </w:pPr>
      <w:r>
        <w:rPr>
          <w:rFonts w:ascii="Arial" w:cs="Arial" w:eastAsia="Arial" w:hAnsi="Arial"/>
          <w:sz w:val="13"/>
          <w:szCs w:val="13"/>
          <w:color w:val="0000FF"/>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rFonts w:ascii="Arial" w:cs="Arial" w:eastAsia="Arial" w:hAnsi="Arial"/>
          <w:sz w:val="13"/>
          <w:szCs w:val="13"/>
          <w:color w:val="0000FF"/>
        </w:rPr>
      </w:pPr>
      <w:r>
        <w:rPr>
          <w:rFonts w:ascii="Arial" w:cs="Arial" w:eastAsia="Arial" w:hAnsi="Arial"/>
          <w:sz w:val="13"/>
          <w:szCs w:val="13"/>
          <w:color w:val="0000FF"/>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50" w:lineRule="exact"/>
        <w:rPr>
          <w:rFonts w:ascii="Arial" w:cs="Arial" w:eastAsia="Arial" w:hAnsi="Arial"/>
          <w:sz w:val="13"/>
          <w:szCs w:val="13"/>
          <w:color w:val="0000FF"/>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SASSINE ANDY</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Arcturus Therapeutics Holdings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1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ARCT </w:t>
            </w:r>
            <w:r>
              <w:rPr>
                <w:rFonts w:ascii="Times New Roman" w:cs="Times New Roman" w:eastAsia="Times New Roman" w:hAnsi="Times New Roman"/>
                <w:sz w:val="21"/>
                <w:szCs w:val="21"/>
                <w:color w:val="000000"/>
              </w:rPr>
              <w:t>]</w:t>
            </w:r>
          </w:p>
        </w:tc>
        <w:tc>
          <w:tcPr>
            <w:tcW w:w="6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Borders>
              <w:top w:val="single" w:sz="8" w:color="0000EE"/>
            </w:tcBorders>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ARCTURUS THERAPEUTICS HOLDINGS</w:t>
            </w:r>
          </w:p>
        </w:tc>
        <w:tc>
          <w:tcPr>
            <w:tcW w:w="3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06/12/2024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10628 SCIENCE CENTER DRIVE, SUITE 250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0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08"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32.03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220,526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in open market transactions by the Reporting Person.</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50,000 shares of common stock of Arcturus Therapeutics Holdings Inc. (the "Issuer") sold by the Reporting Person in multiple transactions on June 12, 2024, with sales prices ranging from $31.52 to $33.54 per share. The Reporting Person undertakes to provide, upon request by the U.S. Securities and Exchange Commission staff, the Issuer, or a security holder of the Issuer, full information regarding the number of shares sold at each separate price.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Ilan Katz, attorney-in-fact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06/14/2024</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5322"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2024-06-14T15:15:06Z</dcterms:created>
  <dcterms:modified xsi:type="dcterms:W3CDTF">2024-06-14T15:15:06Z</dcterms:modified>
</cp:coreProperties>
</file>