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333-232281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Arcturus Therapeutics Holdings Inc. has entered into a Sales Agreement (the “Sales Agreement”) with Stifel, Nicolaus &amp; Company, Incorporated (“Stifel”) to offer and sell up to $40,000,000 of our common stock, $0.001 par value per share, offered by this prospectus supplement and the accompanying prospectus.</w:t>
      </w:r>
    </w:p>
    <w:p>
      <w:pPr>
        <w:spacing w:after="0" w:line="184" w:lineRule="exact"/>
        <w:rPr>
          <w:sz w:val="24"/>
          <w:szCs w:val="24"/>
          <w:color w:val="auto"/>
        </w:rPr>
      </w:pPr>
    </w:p>
    <w:p>
      <w:pPr>
        <w:jc w:val="both"/>
        <w:ind w:right="20"/>
        <w:spacing w:after="0" w:line="259" w:lineRule="auto"/>
        <w:rPr>
          <w:sz w:val="20"/>
          <w:szCs w:val="20"/>
          <w:color w:val="auto"/>
        </w:rPr>
      </w:pPr>
      <w:r>
        <w:rPr>
          <w:rFonts w:ascii="Arial" w:cs="Arial" w:eastAsia="Arial" w:hAnsi="Arial"/>
          <w:sz w:val="18"/>
          <w:szCs w:val="18"/>
          <w:color w:val="auto"/>
        </w:rPr>
        <w:t>In accordance with the terms of the Sales Agreement, we may offer and sell shares of our common stock at any time and from time to time through Stifel as our sales agent. Sales of the common stock, if any, will be made at market prices by any method that is deemed to be an “at the market offering” as defined in Rule 415 under the Securities Act of 1933, as amended (the “Securities Act”). Stifel may also sell our common stock in negotiated transactions with our prior approval.</w:t>
      </w:r>
    </w:p>
    <w:p>
      <w:pPr>
        <w:spacing w:after="0" w:line="187" w:lineRule="exact"/>
        <w:rPr>
          <w:sz w:val="24"/>
          <w:szCs w:val="24"/>
          <w:color w:val="auto"/>
        </w:rPr>
      </w:pPr>
    </w:p>
    <w:p>
      <w:pPr>
        <w:ind w:right="320"/>
        <w:spacing w:after="0" w:line="286" w:lineRule="auto"/>
        <w:rPr>
          <w:sz w:val="20"/>
          <w:szCs w:val="20"/>
          <w:color w:val="auto"/>
        </w:rPr>
      </w:pPr>
      <w:r>
        <w:rPr>
          <w:rFonts w:ascii="Arial" w:cs="Arial" w:eastAsia="Arial" w:hAnsi="Arial"/>
          <w:sz w:val="17"/>
          <w:szCs w:val="17"/>
          <w:color w:val="auto"/>
        </w:rPr>
        <w:t>The aggregate compensation payable to Stifel shall be equal to up to 3.0% of the gross sales price of the shares sold through Stifel pursuant to the Sales Agreement. In connection with the sale of the common stock on our behalf, Stifel will be deemed to be an “underwriter” within the meaning of the Securities Act and the compensation of Stifel will be deemed to be underwriting commissions or discounts.</w:t>
      </w:r>
    </w:p>
    <w:p>
      <w:pPr>
        <w:spacing w:after="0" w:line="165"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Subject to the terms and conditions of the Sales Agreement, Stifel will use its commercially reasonable efforts consistent with its normal trading and sales practices to sell on our behalf any shares to be offered by us under the Sales Agreement. There is no arrangement for funds to be received in any escrow, trust or similar arrangement.</w:t>
      </w:r>
    </w:p>
    <w:p>
      <w:pPr>
        <w:spacing w:after="0" w:line="184"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“ARCT.” The last reported sale price of our common stock on the Nasdaq Global Market on March 26, 2020 was $15.25 per share.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S-6.</w:t>
      </w:r>
    </w:p>
    <w:p>
      <w:pPr>
        <w:spacing w:after="0" w:line="229" w:lineRule="exact"/>
        <w:rPr>
          <w:sz w:val="24"/>
          <w:szCs w:val="24"/>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Neither the Securities and Exchange Commission (the “SEC”), nor any state securities commission, or any other regulatory body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3091180</wp:posOffset>
            </wp:positionH>
            <wp:positionV relativeFrom="paragraph">
              <wp:posOffset>125730</wp:posOffset>
            </wp:positionV>
            <wp:extent cx="96837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837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The date of this prospectus supplement is March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8"/>
        </w:trPr>
        <w:tc>
          <w:tcPr>
            <w:tcW w:w="83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TABLE OF CONTENTS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S-i</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ABOUT THIS PROSPECTUS SUPPLEMENT</w:t>
            </w:r>
          </w:p>
        </w:tc>
        <w:tc>
          <w:tcPr>
            <w:tcW w:w="2900" w:type="dxa"/>
            <w:vAlign w:val="bottom"/>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SUMMARY</w:t>
            </w:r>
          </w:p>
        </w:tc>
        <w:tc>
          <w:tcPr>
            <w:tcW w:w="2900" w:type="dxa"/>
            <w:vAlign w:val="bottom"/>
          </w:tcPr>
          <w:p>
            <w:pPr>
              <w:jc w:val="right"/>
              <w:spacing w:after="0"/>
              <w:rPr>
                <w:sz w:val="20"/>
                <w:szCs w:val="20"/>
                <w:color w:val="auto"/>
              </w:rPr>
            </w:pPr>
            <w:r>
              <w:rPr>
                <w:rFonts w:ascii="Arial" w:cs="Arial" w:eastAsia="Arial" w:hAnsi="Arial"/>
                <w:sz w:val="18"/>
                <w:szCs w:val="18"/>
                <w:color w:val="auto"/>
              </w:rPr>
              <w:t>S-4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2900" w:type="dxa"/>
            <w:vAlign w:val="bottom"/>
          </w:tcPr>
          <w:p>
            <w:pPr>
              <w:jc w:val="right"/>
              <w:spacing w:after="0"/>
              <w:rPr>
                <w:sz w:val="20"/>
                <w:szCs w:val="20"/>
                <w:color w:val="auto"/>
              </w:rPr>
            </w:pPr>
            <w:r>
              <w:rPr>
                <w:rFonts w:ascii="Arial" w:cs="Arial" w:eastAsia="Arial" w:hAnsi="Arial"/>
                <w:sz w:val="18"/>
                <w:szCs w:val="18"/>
                <w:color w:val="auto"/>
              </w:rPr>
              <w:t>S-6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DIVIDEND POLICY</w:t>
            </w:r>
          </w:p>
        </w:tc>
        <w:tc>
          <w:tcPr>
            <w:tcW w:w="2900" w:type="dxa"/>
            <w:vAlign w:val="bottom"/>
          </w:tcPr>
          <w:p>
            <w:pPr>
              <w:jc w:val="right"/>
              <w:spacing w:after="0"/>
              <w:rPr>
                <w:sz w:val="20"/>
                <w:szCs w:val="20"/>
                <w:color w:val="auto"/>
              </w:rPr>
            </w:pPr>
            <w:r>
              <w:rPr>
                <w:rFonts w:ascii="Arial" w:cs="Arial" w:eastAsia="Arial" w:hAnsi="Arial"/>
                <w:sz w:val="18"/>
                <w:szCs w:val="18"/>
                <w:color w:val="auto"/>
              </w:rPr>
              <w:t>S-8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PLAN OF DISTRIBUTION</w:t>
            </w:r>
          </w:p>
        </w:tc>
        <w:tc>
          <w:tcPr>
            <w:tcW w:w="2900" w:type="dxa"/>
            <w:vAlign w:val="bottom"/>
          </w:tcPr>
          <w:p>
            <w:pPr>
              <w:jc w:val="right"/>
              <w:spacing w:after="0"/>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2900" w:type="dxa"/>
            <w:vAlign w:val="bottom"/>
          </w:tcPr>
          <w:p>
            <w:pPr>
              <w:jc w:val="right"/>
              <w:spacing w:after="0"/>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900" w:type="dxa"/>
            <w:vAlign w:val="bottom"/>
          </w:tcPr>
          <w:p>
            <w:pPr>
              <w:jc w:val="right"/>
              <w:spacing w:after="0"/>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WARRANTS WE MAY OFFER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900" w:type="dxa"/>
            <w:vAlign w:val="bottom"/>
          </w:tcPr>
          <w:p>
            <w:pPr>
              <w:jc w:val="right"/>
              <w:spacing w:after="0"/>
              <w:rPr>
                <w:sz w:val="20"/>
                <w:szCs w:val="20"/>
                <w:color w:val="auto"/>
              </w:rPr>
            </w:pPr>
            <w:r>
              <w:rPr>
                <w:rFonts w:ascii="Arial" w:cs="Arial" w:eastAsia="Arial" w:hAnsi="Arial"/>
                <w:sz w:val="18"/>
                <w:szCs w:val="18"/>
                <w:color w:val="auto"/>
              </w:rPr>
              <w:t>S-20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PROSPECTUS SUMMARY</w:t>
            </w:r>
          </w:p>
        </w:tc>
        <w:tc>
          <w:tcPr>
            <w:tcW w:w="2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UNITS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prospectus supplement and the accompanying prospectus form part of a registration statement on Form S-3 (File No. 333-232281) that we filed with the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together with all documents incorporated by reference.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this prospectus supplement, the terms “Arcturus Therapeutics,” “we,” “us,” “our” and the “Company” refer to Arcturus Therapeutics Holdings Inc. and its predecessors and consolidated subsidiaries unless otherwise stated or the context otherwise requires.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prospectus supplement, and the information incorporated herein by reference, may add, update or change information in the accompanying prospectus and in any free writing prospectuses we may provide to you in connection with this offering. You should read both this prospectus supplement and the accompanying prospectus together with additional information described under the headings “Where You Can Find More Information” and “Incorporation of Certain Information by Reference.” If there is any inconsistency between the information in this prospectus supplement and the accompanying prospectus, you should rely on the information in this prospectus supplement.</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You may rely only the information contained in or incorporated by reference in this prospectus supplement and the accompanying prospectus. Neither we nor the sales agent has authorized anyone to provide information different from that contained in this prospectus supplement, the accompanying prospectus and the documents incorporated by reference herein and therein. If anyone provides you with different or inconsistent information, you should not rely on it. The information in this prospectus supplement, the accompanying prospectus and in any free writing prospectuses we may provide to you in connection with this offering is accurate only as of their respective dates, regardless of time of delivery. Our business, financial condition, results of operations and prospects may have changed since those dates.</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offering to sell, and seeking offers to buy, our securities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in this prospectus to our consolidated financial statements include, unless the context indicates otherwise, the related notes.</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Arcturus logo and other trademarks of Arcturus are some of our trademarks and registered marks used in this prospectus supplement and the documents incorporated by reference herein. This prospectus supplement and the documents incorporated by reference herein also include trademarks,</w:t>
      </w:r>
    </w:p>
    <w:p>
      <w:pPr>
        <w:spacing w:after="0" w:line="207" w:lineRule="auto"/>
        <w:rPr>
          <w:sz w:val="20"/>
          <w:szCs w:val="20"/>
          <w:color w:val="auto"/>
        </w:rPr>
      </w:pPr>
      <w:r>
        <w:rPr>
          <w:rFonts w:ascii="Arial" w:cs="Arial" w:eastAsia="Arial" w:hAnsi="Arial"/>
          <w:sz w:val="16"/>
          <w:szCs w:val="16"/>
          <w:color w:val="auto"/>
        </w:rPr>
        <w:t xml:space="preserve">tradenames and service marks that are the property of other organizations. Solely for convenience, our trademarks and tradenames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w:t>
      </w:r>
    </w:p>
    <w:p>
      <w:pPr>
        <w:spacing w:after="0" w:line="25" w:lineRule="exact"/>
        <w:rPr>
          <w:sz w:val="20"/>
          <w:szCs w:val="20"/>
          <w:color w:val="auto"/>
        </w:rPr>
      </w:pPr>
    </w:p>
    <w:p>
      <w:pPr>
        <w:ind w:right="140" w:firstLine="8"/>
        <w:spacing w:after="0" w:line="216" w:lineRule="auto"/>
        <w:tabs>
          <w:tab w:leader="none" w:pos="192"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auto"/>
        </w:rPr>
        <w:t>symbol, but those references are not intended to indicate, in any way, that we will not assert, to the fullest extent under applicable law, our rights, or the right of the applicable licensor to these trademarks and tradenames.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Unless otherwise indicated, information in this in this prospectus supplement, the accompanying prospectus and the documents we incorporate by reference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prospectus supplement, the accompanying prospectus and the documents we incorporate by reference.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660" w:right="5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future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proceeds from this offering; and</w:t>
      </w:r>
    </w:p>
    <w:p>
      <w:pPr>
        <w:spacing w:after="0" w:line="225"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other risks and uncertainties described in “Risk Factors” beginning on page S-6 of this prospectus supplement and in Part I, Item 1A, Risk Factors of our Annual Report on Form 10-K for the fiscal year ended December 31, 2019 and in Part II, Item 1A, Risk Factors of any subsequently filed Quarterly Reports on Form 10-Q, which are incorporated by reference in this prospectus supplement and the accompanying prospectus.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spacing w:after="0" w:line="296"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41" w:right="5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summary highlights selected information contained elsewhere in or incorporated by reference in this prospectus supplement and the accompanying prospectus. The summary may not contain all of the information that is important to you or that you should consider before making an investment decision. You should carefully read this entire prospectus supplement and the accompanying prospectus, as well as the information to which we refer you, before deciding whether to invest in our common stock. You should pay special attention to the “Risk Factors” section of this prospectus supplement to determine whether an investment in our common stock is appropriate for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We are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7" w:lineRule="exact"/>
        <w:rPr>
          <w:sz w:val="20"/>
          <w:szCs w:val="20"/>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pipeline of seven drug candidates in late-stage discovery and early-stage development, two of which are wholly-owned and five of which involve partnered programs.</w:t>
      </w:r>
    </w:p>
    <w:p>
      <w:pPr>
        <w:spacing w:after="0" w:line="170"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developed the STARR technology platform which combines self-replicating RNA with LUNAR into a single solution for partners.</w:t>
      </w:r>
    </w:p>
    <w:p>
      <w:pPr>
        <w:spacing w:after="0" w:line="236"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182 patents and patent applications, issued in the United States, China, Europe, Japan and other countries.</w:t>
      </w:r>
    </w:p>
    <w:p>
      <w:pPr>
        <w:spacing w:after="0" w:line="17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 knockdown of genes overexpressed in disease; and (3) CRISPR, TALEN, zinc finger proteins, megaTALs and meganucleases - 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 Information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Redomiciliation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offered by 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680" w:right="400"/>
        <w:spacing w:after="0" w:line="277" w:lineRule="auto"/>
        <w:rPr>
          <w:sz w:val="20"/>
          <w:szCs w:val="20"/>
          <w:color w:val="auto"/>
        </w:rPr>
      </w:pPr>
      <w:r>
        <w:rPr>
          <w:rFonts w:ascii="Arial" w:cs="Arial" w:eastAsia="Arial" w:hAnsi="Arial"/>
          <w:sz w:val="18"/>
          <w:szCs w:val="18"/>
          <w:color w:val="auto"/>
        </w:rPr>
        <w:t>Shares of our common stock having an aggregate offering price of up to $40.0 million.</w:t>
      </w:r>
    </w:p>
    <w:p>
      <w:pPr>
        <w:spacing w:after="0" w:line="170" w:lineRule="exact"/>
        <w:rPr>
          <w:sz w:val="20"/>
          <w:szCs w:val="20"/>
          <w:color w:val="auto"/>
        </w:rPr>
      </w:pPr>
    </w:p>
    <w:p>
      <w:pPr>
        <w:ind w:left="680" w:right="120"/>
        <w:spacing w:after="0" w:line="301" w:lineRule="auto"/>
        <w:rPr>
          <w:sz w:val="20"/>
          <w:szCs w:val="20"/>
          <w:color w:val="auto"/>
        </w:rPr>
      </w:pPr>
      <w:r>
        <w:rPr>
          <w:rFonts w:ascii="Arial" w:cs="Arial" w:eastAsia="Arial" w:hAnsi="Arial"/>
          <w:sz w:val="16"/>
          <w:szCs w:val="16"/>
          <w:color w:val="auto"/>
        </w:rPr>
        <w:t>“At the market offering,” as defined in Rule 415(a)(4) of the Securities Act, that may be made from time to time by Stifel. See “Plan of Distribution” on page S-10 of this prospectus supplement. Stifel may also sell our common stock in negotiated transactions with our prior approval.</w:t>
      </w:r>
    </w:p>
    <w:p>
      <w:pPr>
        <w:spacing w:after="0" w:line="157" w:lineRule="exact"/>
        <w:rPr>
          <w:sz w:val="20"/>
          <w:szCs w:val="20"/>
          <w:color w:val="auto"/>
        </w:rPr>
      </w:pPr>
    </w:p>
    <w:p>
      <w:pPr>
        <w:ind w:left="680" w:right="80"/>
        <w:spacing w:after="0" w:line="263" w:lineRule="auto"/>
        <w:rPr>
          <w:sz w:val="20"/>
          <w:szCs w:val="20"/>
          <w:color w:val="auto"/>
        </w:rPr>
      </w:pPr>
      <w:r>
        <w:rPr>
          <w:rFonts w:ascii="Arial" w:cs="Arial" w:eastAsia="Arial" w:hAnsi="Arial"/>
          <w:sz w:val="18"/>
          <w:szCs w:val="18"/>
          <w:color w:val="auto"/>
        </w:rPr>
        <w:t>We intend to use the net proceeds from this offering to develop RNA medicines and for general corporate and working capital purposes. See “Use of Proceeds” on page S-8 for additional information.</w:t>
      </w:r>
    </w:p>
    <w:p>
      <w:pPr>
        <w:spacing w:after="0" w:line="184" w:lineRule="exact"/>
        <w:rPr>
          <w:sz w:val="20"/>
          <w:szCs w:val="20"/>
          <w:color w:val="auto"/>
        </w:rPr>
      </w:pPr>
    </w:p>
    <w:p>
      <w:pPr>
        <w:ind w:left="680" w:right="40"/>
        <w:spacing w:after="0" w:line="257" w:lineRule="auto"/>
        <w:rPr>
          <w:sz w:val="20"/>
          <w:szCs w:val="20"/>
          <w:color w:val="auto"/>
        </w:rPr>
      </w:pPr>
      <w:r>
        <w:rPr>
          <w:rFonts w:ascii="Arial" w:cs="Arial" w:eastAsia="Arial" w:hAnsi="Arial"/>
          <w:sz w:val="18"/>
          <w:szCs w:val="18"/>
          <w:color w:val="auto"/>
        </w:rPr>
        <w:t>See the section entitled “Risk Factors” beginning on page S-6 and the other information included or incorporated by reference in this prospectus supplement and the accompanying prospectus for a discussion of factors you should carefully consider before deciding to invest in shares of our common stock.</w:t>
      </w:r>
    </w:p>
    <w:p>
      <w:pPr>
        <w:spacing w:after="0" w:line="188"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Our common stock is currently listed on the Nasdaq Global Market under the symbol “ARCT.”</w:t>
      </w:r>
    </w:p>
    <w:p>
      <w:pPr>
        <w:spacing w:after="0" w:line="29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220" w:space="720"/>
            <w:col w:w="6260"/>
          </w:cols>
          <w:pgMar w:left="320" w:top="337"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You should carefully consider the following risk factors and the risk factors discussed under “Item 1A—Risk Factors” contained in our Annual Report on Form 10-K for the fiscal year ended December 31, 2019 and in Part II, Item 1A, Risk Factors of any subsequently filed Annual Reports on Form 10-K and Quarterly Reports on Form 10-Q, which are incorporated by reference in this prospectus supplement in their entirety, together with all of the other information contained in this prospectus supplement and the accompanying prospectus or incorporated by reference in this prospectus supplement and the accompanying prospectus. The risks described in any document incorporated by reference are not the only ones we have, but are considered to be the most material. Additional risks of which we are not presently aware or that we currently believe are immaterial may also harm our business and results of operations. If any of these risks actually occur, our business, financial condition and results of operations would likely suffer. In that case, the market price of the common stock could decline, and you may lose part or all of your investment in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of our common stock in this offering, or the perception that such sales may occur, could cause the market price of our common stock to fall.</w:t>
      </w:r>
    </w:p>
    <w:p>
      <w:pPr>
        <w:spacing w:after="0" w:line="23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may issue and sell shares of our common stock for aggregate gross proceeds of up to $40.0 million from time to time in connection with this offering. The issuance and sale from time to time of these new shares of common stock, or our ability to issue these new shares of common stock in this offering, could have the effect of depressing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will suffer immediate dilution in the net tangible book value per share of the common stock that you purchase in this offering.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public offering price of our common stock is substantially higher than the as-adjusted net tangible book value per share of our common stock. Therefore, investors purchasing shares of our common stock in this offering will pay a price per share that substantially exceeds the as-adjusted net tangible book value per share after this offering. Assuming that an aggregate of 2,623,000 shares of our common stock are sold at a public offering price of $15.25per share, the last reported sale price of our common stock on the Nasdaq Global Market on March 26, 2020, for aggregate gross proceeds of $40.0 million, and after deducting commissions and estimated offering expenses payable by us, new investors in this offering will experience immediate dilution of $11.63 per share, representing the difference between the assumed public offering price and our as adjusted net tangible book value per share after giving effect to this offering. For more information, see “Dilution.”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will require additional capital funding, the receipt of which may impair the value of our common stock</w:t>
      </w:r>
      <w:r>
        <w:rPr>
          <w:rFonts w:ascii="Arial" w:cs="Arial" w:eastAsia="Arial" w:hAnsi="Arial"/>
          <w:sz w:val="18"/>
          <w:szCs w:val="18"/>
          <w:color w:val="auto"/>
        </w:rPr>
        <w: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future capital requirements depend on many factors, including our research, development, sales and marketing activities. We will need to raise additional capital through public or private equity or debt offerings or through arrangements with strategic partners or other sources in order to continue to develop our drug candidates. There can be no assurance that additional capital will be available when needed or on terms satisfactory to us, if at all. To the extent we raise additional capital by issuing equity securities, our stockholders may experience substantial dilution and the new equity securities may have greater rights, preferences or privileges than our existing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management will have broad discretion in the use of the net proceeds from this offering and may not use them effectively.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our stockholders will not have the opportunity as part of their investment decisions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in our investment of these net proceeds. You will not have the opportunity to influence our decisions on how to use our net proceeds from this offering.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right="140"/>
        <w:spacing w:after="0" w:line="263" w:lineRule="auto"/>
        <w:rPr>
          <w:sz w:val="20"/>
          <w:szCs w:val="20"/>
          <w:color w:val="auto"/>
        </w:rPr>
      </w:pPr>
      <w:r>
        <w:rPr>
          <w:rFonts w:ascii="Arial" w:cs="Arial" w:eastAsia="Arial" w:hAnsi="Arial"/>
          <w:sz w:val="18"/>
          <w:szCs w:val="18"/>
          <w:i w:val="1"/>
          <w:iCs w:val="1"/>
          <w:color w:val="auto"/>
        </w:rPr>
        <w:t>The novel coronavirus (COVID-19) pandemic has resulted in significant financial market volatility, and its impact on the global economy and our operations remains uncertain. A continuation or worsening of the pandemic could have a material adverse impact on our business, results of operations and financial condition and on the market price of our common stock.</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March 12, 2020, the World Health Organization declared COVID-19 to be a pandemic. In an effort to contain and mitigate the spread of COVID-19, many countries, including the United States, Canada and China, have imposed unprecedented restrictions on travel, and there have been business closures and a substantial reduction in economic activity in countries that have had significant outbreaks of COVID-19. Although our operations have not been materially affected at this point, significant uncertainty remains as to the potential impact of the COVID-19 pandemic on our operations and on the global economy as a whole. It is currently not possible to predict how long the pandemic will last or the time that it will take for economic activity to return to prior levels. The COVID-19 pandemic has resulted in significant financial market volatility and uncertainty in recent weeks. A continuation or worsening of the levels of market disruption and volatility seen in the recent past could have an adverse effect on our ability to access capital, on our business, results of operations and financial condition, and on the market price of our common stock.</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issue and sell shares of our common stock having aggregate gross proceeds of up to $40.0 million from time to time. Because there is no minimum offering amount required as a condition to close this offering, the actual total public offering amount, commissions paid to Stifel and proceeds to us, if any, are not determinable at this time. We estimate that the net proceeds from the sale of the shares of common stock that we are offering may be up to approximately $38.6 million, after deducting commissions payable to Stifel and estimated offering expenses payable by us.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intend to use the net proceeds from this offering to support clinical studies to develop RNA medicines and for general corporate and working capital purposes, including ongoing research and development activities for our drug candidates and our LUNAR and STARR technology platforms. The amounts and timing of our actual use of the net proceeds from this offering will vary depending on numerous factors, including the factors described under “Risk Factors” located elsewhere in this prospectus supplement, the accompanying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1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Pending application of the net proceeds as discussed above, we plan to invest any remaining proceeds from this offering in a variety of capital preservation instruments, including short-term, interest-bearing obligations, investment-grade instruments, or direct or guaranteed obligations of the U.S. government.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not declared or paid any cash dividends on our capital stock. We currently intend to retain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purchase shares of common stock in this offering, you will experience dilution to the extent of the difference between the public offering price per share in this offering and our as adjusted net tangible book value per share after this offering.</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Net tangible book value per share represents total tangible assets less total liabilities, divided by the number of shares of common stock outstanding. Our historical net tangible book value as of December 31, 2019 was $25.8 million, or $1.70 per share of common stock. After giving effect to our sale of common stock in the aggregate amount of $40.0 million at an assumed public offering price of $15.25per share, the last reported sale price of our common stock on the Nasdaq Global Market on March 26, 2020, and after deducting commissions and estimated offering expenses payable by us, our as adjusted net tangible book value as of December 31, 2019 would have been approximately $64.3 million, or approximately $3.62 per share. This represents an immediate increase in net tangible book value of approximately $1.92 per share to existing stockholders and an immediate dilution in as adjusted net tangible book value of approximately $11.63 per share to new investors in this offering.</w:t>
      </w:r>
    </w:p>
    <w:p>
      <w:pPr>
        <w:spacing w:after="0" w:line="17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following table illustrates this dilution on a per share basis. The as adjusted information is illustrative only and will adjust based on the actual public offering price, the actual number of shares sold and other terms of the offering determined at the time shares of our common stock are sold pursuant to this prospectus supplement. The as adjusted information assumes that all of our common stock in the aggregate amount of $40.0 million is sold at the assumed public offering price of $15.25 per share. The shares sold in this offering, if any, will be sold from time to time at various prices.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7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tangible book value per share as of December 31, 2019</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30"/>
              <w:spacing w:after="0"/>
              <w:rPr>
                <w:sz w:val="20"/>
                <w:szCs w:val="20"/>
                <w:color w:val="auto"/>
              </w:rPr>
            </w:pPr>
            <w:r>
              <w:rPr>
                <w:rFonts w:ascii="Arial" w:cs="Arial" w:eastAsia="Arial" w:hAnsi="Arial"/>
                <w:sz w:val="18"/>
                <w:szCs w:val="18"/>
                <w:color w:val="auto"/>
              </w:rPr>
              <w:t>1.70</w:t>
            </w:r>
          </w:p>
        </w:tc>
        <w:tc>
          <w:tcPr>
            <w:tcW w:w="9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1.92</w:t>
            </w:r>
          </w:p>
        </w:tc>
        <w:tc>
          <w:tcPr>
            <w:tcW w:w="9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1740" w:type="dxa"/>
            <w:vAlign w:val="bottom"/>
          </w:tcPr>
          <w:p>
            <w:pPr>
              <w:spacing w:after="0"/>
              <w:rPr>
                <w:sz w:val="18"/>
                <w:szCs w:val="18"/>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7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above discussion and tables are based on 15,137,964 shares of common stock outstanding as of December 31, 2019 and excludes the following:</w:t>
      </w:r>
    </w:p>
    <w:p>
      <w:pPr>
        <w:spacing w:after="0" w:line="24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1,649,076 shares of our common stock reserved for issuance under stock option agreements issued pursuant to our 2019 Omnibus Equity Incentive Plan at a weighted average exercise price of $7.54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2,576,533 shares of our common stock reserved for future issuance under our 2019 Omnibus Equity Incentive Plan;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600,000 shares of our common stock reserved for future issuance pursuant to an option granted to Ultragenyx Pharmaceutical Inc. at an exercise price of $16.00 per share.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entered into the Sales Agreement, dated March 27, 2020 with Stifel under which we may offer and sell shares of our common stock having an aggregate gross sales price of up to $40.0 million from time to time through Stifel. The Sales Agreement has been filed as an exhibit to a Current Report on Form 8-K filed under the Exchange Act and is incorporated by reference in this prospectus supplement.</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Upon delivery of a placement notice and subject to the terms and conditions of the Sales Agreement, Stifel may sell our common stock by any method permitted by law deemed to be an “at the market offering” as defined in Rule 415 promulgated under the Securities Act. Stifel may also sell our common stock in negotiated transactions with our prior approval, which may include block trades. We may instruct Stifel not to sell common stock if the sales cannot be effected at or above the price designated by us from time to time. We or Stifel may suspend the offering of common stock upon notice and subject to other conditions.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will pay Stifel commissions, in cash, for its services in acting as agent in the sale of our common stock. Stifel will be entitled to compensation at a commission rate equal to up to 3.0% of the aggregate gross proceeds from each sale of our common stock. Because there is no minimum offering amount required as a condition to close this offering, the actual total public offering amount, commissions paid to Stifel and proceeds to us, if any, are not determinable at this time. We estimate that the total expenses for the offering, excluding compensation payable to Stifel under the terms of the Sales Agreement, will be approximately $200,000.</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Settlement for sales of common stock will occur on the second business day, or such earlier day as is industry practice for regular-way trading, following the date on which any sales are made, or on some other date that is agreed upon by us and Stifel in connection with a particular transaction, in return for payment of the net proceeds to us. Sales of our common stock as contemplated in this prospectus supplement and the accompanying prospectus will be settled through the facilities of The Depository Trust Company or by such other means as we and Stifel may agree upon. There is no arrangement for funds to be received in an escrow, trust or similar arrangement.</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Subject to the terms and conditions of the Sales Agreement, Stifel will use its commercially reasonable efforts consistent with its normal trading and sales practices to sell on our behalf any shares to be offered by us under the Sales Agreement. In connection with the sale of the common stock on our behalf, Stifel will be deemed to be an “underwriter” within the meaning of the Securities Act and the compensation of Stifel will be deemed to be underwriting commissions or discounts. We have agreed to provide indemnification and contribution to Stifel against certain civil liabilities, including liabilities under the Securities Act.</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offering of our common stock pursuant to the Sales Agreement will terminate upon the earlier of (i) the sale of all of our common stock subject to the Sales Agreement or (ii) the termination of the Sales Agreement as permitted therein. We and Stifel may each terminate the Sales Agreement at any time upon written notice.</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Stifel and its affiliates may in the future provide various investment banking, commercial banking and other financial services for us and our affiliates, for which services they may in the future receive customary fees. To the extent required by Regulation M, Stifel will not engage in any market making activities involving our common stock while the offering is ongoing under this prospectus supplement and accompanying prospectus.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Dentons US LLP, New York, New York, will pass upon the validity of the shares of common stock offered by this prospectus supplement. Stifel is being represented in connection with this offering by Goodwin Procter LLP, New York, New York.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We file annual reports, quarterly reports, current reports, proxy statements and other information with the SEC. Our SEC filings are and will become available to the public over the Internet at the SEC’s website at www.sec.gov. You can also find our public filings on our website at www.cuebiopharma.com. Our website and the information contained therein or connected thereto are not part of this prospectus supplement or the accompanying prospectus.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ind w:right="60"/>
        <w:spacing w:after="0" w:line="254" w:lineRule="auto"/>
        <w:rPr>
          <w:sz w:val="20"/>
          <w:szCs w:val="20"/>
          <w:color w:val="auto"/>
        </w:rPr>
      </w:pPr>
      <w:r>
        <w:rPr>
          <w:rFonts w:ascii="Arial" w:cs="Arial" w:eastAsia="Arial" w:hAnsi="Arial"/>
          <w:sz w:val="18"/>
          <w:szCs w:val="18"/>
          <w:color w:val="auto"/>
        </w:rPr>
        <w:t>We have filed with the SEC a registration statement on Form S-3 under the Securities Act with respect to the shares of common stock being offered by this prospectus supplement. This prospectus supplement and the accompanying prospectus are a part of that registration statement but do not contain all of the information set forth in the registration statement or the exhibits to the registration statement. For further information with respect to us and the shares we are offering pursuant to this prospectus supplement, you should refer to the registration statement and its exhibits. Statements contained in this prospectus supplement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website referred to above.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by reference the information or documents listed below that we have filed with the SEC:</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March 16,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4, 2020; and</w:t>
      </w:r>
    </w:p>
    <w:p>
      <w:pPr>
        <w:spacing w:after="0" w:line="225"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registration statement on Form 8-A registering our common stock under Section 12 of the Exchange Act, which was filed with the SEC on May 17, 2013, including any amendments or reports filed for purposes of updating such description, including the Form 8-K12B filed on June 14, 2019.</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authorized no one to provide you with any information that differs from that contained in this prospectus supplement, the accompanying prospectus or incorporated by reference herein or therein. Accordingly, you should not rely on any information that is not contained in this prospectus supplement or the accompanying prospectus or incorporated by reference herein or therein. You should not assume that the information in this prospectus supplement is accurate as of any date other than the date of the front cover of this prospectus supplement.</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or any other subsequently filed document that is deemed to be incorporated by reference into this prospectus supplement modifies, supersedes or replaces such statement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154305</wp:posOffset>
            </wp:positionV>
            <wp:extent cx="2074545" cy="711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7454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“Risk Factors” on page 3 of this prospectus and contained in our filings made with the Securities and Exchange Commission and the applicable prospectus supplement.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7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PROSPECTUS SUMMARY</w:t>
            </w:r>
          </w:p>
        </w:tc>
        <w:tc>
          <w:tcPr>
            <w:tcW w:w="2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UNITS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29"/>
          <w:szCs w:val="29"/>
          <w:color w:val="auto"/>
          <w:vertAlign w:val="superscript"/>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202" w:lineRule="exact"/>
        <w:rPr>
          <w:sz w:val="20"/>
          <w:szCs w:val="20"/>
          <w:color w:val="auto"/>
        </w:rPr>
      </w:pPr>
    </w:p>
    <w:p>
      <w:pPr>
        <w:ind w:left="1140" w:right="460" w:hanging="565"/>
        <w:spacing w:after="0" w:line="258"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1" w:lineRule="exact"/>
        <w:rPr>
          <w:rFonts w:ascii="Arial" w:cs="Arial" w:eastAsia="Arial" w:hAnsi="Arial"/>
          <w:sz w:val="18"/>
          <w:szCs w:val="18"/>
          <w:color w:val="auto"/>
        </w:rPr>
      </w:pPr>
    </w:p>
    <w:p>
      <w:pPr>
        <w:ind w:left="1140" w:right="120" w:hanging="565"/>
        <w:spacing w:after="0" w:line="182" w:lineRule="auto"/>
        <w:tabs>
          <w:tab w:leader="none" w:pos="114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1" w:lineRule="exact"/>
        <w:rPr>
          <w:rFonts w:ascii="Arial" w:cs="Arial" w:eastAsia="Arial" w:hAnsi="Arial"/>
          <w:sz w:val="36"/>
          <w:szCs w:val="36"/>
          <w:color w:val="auto"/>
          <w:vertAlign w:val="superscript"/>
        </w:rPr>
      </w:pPr>
    </w:p>
    <w:p>
      <w:pPr>
        <w:ind w:left="1140" w:right="40" w:hanging="565"/>
        <w:spacing w:after="0" w:line="182" w:lineRule="auto"/>
        <w:tabs>
          <w:tab w:leader="none" w:pos="114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Our wholly-owned,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2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1140" w:right="20" w:hanging="565"/>
        <w:spacing w:after="0" w:line="25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 w:lineRule="exact"/>
        <w:rPr>
          <w:rFonts w:ascii="Arial" w:cs="Arial" w:eastAsia="Arial" w:hAnsi="Arial"/>
          <w:sz w:val="18"/>
          <w:szCs w:val="18"/>
          <w:color w:val="auto"/>
        </w:rPr>
      </w:pPr>
    </w:p>
    <w:p>
      <w:pPr>
        <w:ind w:left="1140" w:hanging="565"/>
        <w:spacing w:after="0" w:line="25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1140" w:right="520" w:hanging="565"/>
        <w:spacing w:after="0" w:line="25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June 21, 2019, there were no shares of preferred stock issued and outstanding.</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24" w:lineRule="exact"/>
        <w:rPr>
          <w:sz w:val="20"/>
          <w:szCs w:val="20"/>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of preferred stock offered, the liquidation preference per share and the offering price of the shares of preferred stock;</w:t>
      </w:r>
    </w:p>
    <w:p>
      <w:pPr>
        <w:spacing w:after="0" w:line="32" w:lineRule="exact"/>
        <w:rPr>
          <w:rFonts w:ascii="Arial" w:cs="Arial" w:eastAsia="Arial" w:hAnsi="Arial"/>
          <w:sz w:val="16"/>
          <w:szCs w:val="16"/>
          <w:color w:val="auto"/>
        </w:rPr>
      </w:pPr>
    </w:p>
    <w:p>
      <w:pPr>
        <w:ind w:left="1140" w:hanging="565"/>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dividend rate(s), period(s) and/or payment date(s) or method(s) of calculation thereof applicable to the shares of preferred stock;</w:t>
      </w:r>
    </w:p>
    <w:p>
      <w:pPr>
        <w:spacing w:after="0" w:line="20" w:lineRule="exact"/>
        <w:rPr>
          <w:rFonts w:ascii="Arial" w:cs="Arial" w:eastAsia="Arial" w:hAnsi="Arial"/>
          <w:sz w:val="17"/>
          <w:szCs w:val="17"/>
          <w:color w:val="auto"/>
        </w:rPr>
      </w:pPr>
    </w:p>
    <w:p>
      <w:pPr>
        <w:ind w:left="1140" w:right="300" w:hanging="565"/>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9" w:lineRule="exact"/>
        <w:rPr>
          <w:rFonts w:ascii="Arial" w:cs="Arial" w:eastAsia="Arial" w:hAnsi="Arial"/>
          <w:sz w:val="18"/>
          <w:szCs w:val="18"/>
          <w:color w:val="auto"/>
        </w:rPr>
      </w:pPr>
    </w:p>
    <w:p>
      <w:pPr>
        <w:ind w:left="1140" w:right="240" w:hanging="565"/>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9" w:lineRule="exact"/>
        <w:rPr>
          <w:rFonts w:ascii="Arial" w:cs="Arial" w:eastAsia="Arial" w:hAnsi="Arial"/>
          <w:sz w:val="18"/>
          <w:szCs w:val="18"/>
          <w:color w:val="auto"/>
        </w:rPr>
      </w:pPr>
    </w:p>
    <w:p>
      <w:pPr>
        <w:ind w:left="1140" w:right="360" w:hanging="565"/>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9" w:lineRule="exact"/>
        <w:rPr>
          <w:rFonts w:ascii="Arial" w:cs="Arial" w:eastAsia="Arial" w:hAnsi="Arial"/>
          <w:sz w:val="18"/>
          <w:szCs w:val="18"/>
          <w:color w:val="auto"/>
        </w:rPr>
      </w:pPr>
    </w:p>
    <w:p>
      <w:pPr>
        <w:ind w:left="1140" w:hanging="565"/>
        <w:spacing w:after="0" w:line="25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ind w:left="1140" w:right="300" w:hanging="565"/>
        <w:spacing w:after="0" w:line="265"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12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7" w:lineRule="exact"/>
        <w:rPr>
          <w:sz w:val="20"/>
          <w:szCs w:val="20"/>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9" w:lineRule="exact"/>
        <w:rPr>
          <w:rFonts w:ascii="Arial" w:cs="Arial" w:eastAsia="Arial" w:hAnsi="Arial"/>
          <w:sz w:val="18"/>
          <w:szCs w:val="18"/>
          <w:color w:val="auto"/>
        </w:rPr>
      </w:pPr>
    </w:p>
    <w:p>
      <w:pPr>
        <w:ind w:left="1140" w:right="320" w:hanging="565"/>
        <w:spacing w:after="0" w:line="265" w:lineRule="auto"/>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ind w:left="1140" w:hanging="565"/>
        <w:spacing w:after="0" w:line="281"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 w:lineRule="exact"/>
        <w:rPr>
          <w:rFonts w:ascii="Arial" w:cs="Arial" w:eastAsia="Arial" w:hAnsi="Arial"/>
          <w:sz w:val="16"/>
          <w:szCs w:val="16"/>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jc w:val="both"/>
        <w:ind w:left="1140" w:right="200" w:hanging="565"/>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ind w:left="1140" w:hanging="565"/>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46" w:lineRule="exact"/>
        <w:rPr>
          <w:rFonts w:ascii="Arial" w:cs="Arial" w:eastAsia="Arial" w:hAnsi="Arial"/>
          <w:sz w:val="16"/>
          <w:szCs w:val="16"/>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9" w:lineRule="exact"/>
        <w:rPr>
          <w:rFonts w:ascii="Arial" w:cs="Arial" w:eastAsia="Arial" w:hAnsi="Arial"/>
          <w:sz w:val="18"/>
          <w:szCs w:val="18"/>
          <w:color w:val="auto"/>
        </w:rPr>
      </w:pPr>
    </w:p>
    <w:p>
      <w:pPr>
        <w:ind w:left="1140" w:right="20" w:hanging="565"/>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ind w:left="1140" w:right="380" w:hanging="565"/>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ind w:left="1140" w:right="120" w:hanging="565"/>
        <w:spacing w:after="0" w:line="250"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ind w:left="1140" w:right="200" w:hanging="565"/>
        <w:spacing w:after="0" w:line="255"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70" w:lineRule="exact"/>
        <w:rPr>
          <w:sz w:val="20"/>
          <w:szCs w:val="20"/>
          <w:color w:val="auto"/>
        </w:rPr>
      </w:pPr>
    </w:p>
    <w:p>
      <w:pPr>
        <w:ind w:left="1140" w:hanging="565"/>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34" w:lineRule="exact"/>
        <w:rPr>
          <w:rFonts w:ascii="Arial" w:cs="Arial" w:eastAsia="Arial" w:hAnsi="Arial"/>
          <w:sz w:val="17"/>
          <w:szCs w:val="17"/>
          <w:color w:val="auto"/>
        </w:rPr>
      </w:pPr>
    </w:p>
    <w:p>
      <w:pPr>
        <w:ind w:left="1140" w:right="460" w:hanging="565"/>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and the time for payment has not been extended;</w:t>
      </w:r>
    </w:p>
    <w:p>
      <w:pPr>
        <w:ind w:left="1140" w:right="340" w:hanging="565"/>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2" w:lineRule="exact"/>
        <w:rPr>
          <w:sz w:val="20"/>
          <w:szCs w:val="20"/>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23" w:lineRule="exact"/>
        <w:rPr>
          <w:rFonts w:ascii="Arial" w:cs="Arial" w:eastAsia="Arial" w:hAnsi="Arial"/>
          <w:sz w:val="18"/>
          <w:szCs w:val="18"/>
          <w:color w:val="auto"/>
        </w:rPr>
      </w:pPr>
    </w:p>
    <w:p>
      <w:pPr>
        <w:ind w:left="1140" w:right="60" w:hanging="565"/>
        <w:spacing w:after="0" w:line="26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ind w:right="2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170" w:lineRule="exact"/>
        <w:rPr>
          <w:sz w:val="20"/>
          <w:szCs w:val="20"/>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 w:lineRule="exact"/>
        <w:rPr>
          <w:rFonts w:ascii="Arial" w:cs="Arial" w:eastAsia="Arial" w:hAnsi="Arial"/>
          <w:sz w:val="18"/>
          <w:szCs w:val="18"/>
          <w:color w:val="auto"/>
        </w:rPr>
      </w:pPr>
    </w:p>
    <w:p>
      <w:pPr>
        <w:ind w:left="1140" w:right="500" w:hanging="565"/>
        <w:spacing w:after="0" w:line="290"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70" w:lineRule="exact"/>
        <w:rPr>
          <w:sz w:val="20"/>
          <w:szCs w:val="20"/>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0" w:lineRule="exact"/>
        <w:rPr>
          <w:rFonts w:ascii="Arial" w:cs="Arial" w:eastAsia="Arial" w:hAnsi="Arial"/>
          <w:sz w:val="17"/>
          <w:szCs w:val="17"/>
          <w:color w:val="auto"/>
        </w:rPr>
      </w:pPr>
    </w:p>
    <w:p>
      <w:pPr>
        <w:ind w:left="1140" w:right="88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jc w:val="both"/>
        <w:ind w:left="1140" w:right="34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9" w:lineRule="exact"/>
        <w:rPr>
          <w:rFonts w:ascii="Arial" w:cs="Arial" w:eastAsia="Arial" w:hAnsi="Arial"/>
          <w:sz w:val="18"/>
          <w:szCs w:val="18"/>
          <w:color w:val="auto"/>
        </w:rPr>
      </w:pPr>
    </w:p>
    <w:p>
      <w:pPr>
        <w:ind w:left="1140" w:right="12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ind w:left="114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 w:lineRule="exact"/>
        <w:rPr>
          <w:rFonts w:ascii="Arial" w:cs="Arial" w:eastAsia="Arial" w:hAnsi="Arial"/>
          <w:sz w:val="18"/>
          <w:szCs w:val="18"/>
          <w:color w:val="auto"/>
        </w:rPr>
      </w:pPr>
    </w:p>
    <w:p>
      <w:pPr>
        <w:ind w:left="1140" w:right="120" w:hanging="565"/>
        <w:spacing w:after="0" w:line="292"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7" w:lineRule="exact"/>
        <w:rPr>
          <w:sz w:val="20"/>
          <w:szCs w:val="20"/>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1140" w:right="2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ind w:left="1140" w:right="34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reducing the amount of principal of an original issue discount security or any other note payable upon acceleration of the maturity thereof;</w:t>
      </w:r>
    </w:p>
    <w:p>
      <w:pPr>
        <w:spacing w:after="0" w:line="32" w:lineRule="exact"/>
        <w:rPr>
          <w:rFonts w:ascii="Arial" w:cs="Arial" w:eastAsia="Arial" w:hAnsi="Arial"/>
          <w:sz w:val="16"/>
          <w:szCs w:val="16"/>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9" w:lineRule="exact"/>
        <w:rPr>
          <w:rFonts w:ascii="Arial" w:cs="Arial" w:eastAsia="Arial" w:hAnsi="Arial"/>
          <w:sz w:val="18"/>
          <w:szCs w:val="18"/>
          <w:color w:val="auto"/>
        </w:rPr>
      </w:pPr>
    </w:p>
    <w:p>
      <w:pPr>
        <w:ind w:left="1140" w:right="26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ind w:left="1140" w:right="28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ind w:left="114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changing any of our obligations to maintain an office or agency in the places and for the purposes required by the indentures; or</w:t>
      </w:r>
    </w:p>
    <w:p>
      <w:pPr>
        <w:spacing w:after="0" w:line="20" w:lineRule="exact"/>
        <w:rPr>
          <w:rFonts w:ascii="Arial" w:cs="Arial" w:eastAsia="Arial" w:hAnsi="Arial"/>
          <w:sz w:val="17"/>
          <w:szCs w:val="17"/>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1140" w:right="300" w:hanging="565"/>
        <w:spacing w:after="0" w:line="255"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1140" w:hanging="565"/>
        <w:spacing w:after="0" w:line="260"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8" w:name="page29"/>
    <w:bookmarkEnd w:id="28"/>
    <w:p>
      <w:pPr>
        <w:ind w:right="3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84"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20" w:lineRule="exact"/>
        <w:rPr>
          <w:rFonts w:ascii="Arial" w:cs="Arial" w:eastAsia="Arial" w:hAnsi="Arial"/>
          <w:sz w:val="17"/>
          <w:szCs w:val="17"/>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2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46" w:lineRule="exact"/>
        <w:rPr>
          <w:sz w:val="20"/>
          <w:szCs w:val="20"/>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9" w:lineRule="exact"/>
        <w:rPr>
          <w:rFonts w:ascii="Arial" w:cs="Arial" w:eastAsia="Arial" w:hAnsi="Arial"/>
          <w:sz w:val="18"/>
          <w:szCs w:val="18"/>
          <w:color w:val="auto"/>
        </w:rPr>
      </w:pPr>
    </w:p>
    <w:p>
      <w:pPr>
        <w:ind w:left="1140" w:right="62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ind w:left="1140" w:right="6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9" w:lineRule="exact"/>
        <w:rPr>
          <w:rFonts w:ascii="Arial" w:cs="Arial" w:eastAsia="Arial" w:hAnsi="Arial"/>
          <w:sz w:val="18"/>
          <w:szCs w:val="18"/>
          <w:color w:val="auto"/>
        </w:rPr>
      </w:pPr>
    </w:p>
    <w:p>
      <w:pPr>
        <w:ind w:left="1140" w:right="20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 WE MAY OFFER</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1140" w:right="360" w:hanging="565"/>
        <w:spacing w:after="0" w:line="258"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225" w:lineRule="exact"/>
        <w:rPr>
          <w:sz w:val="20"/>
          <w:szCs w:val="20"/>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170" w:lineRule="exact"/>
        <w:rPr>
          <w:sz w:val="20"/>
          <w:szCs w:val="20"/>
          <w:color w:val="auto"/>
        </w:rPr>
      </w:pPr>
    </w:p>
    <w:p>
      <w:pPr>
        <w:ind w:left="1140" w:hanging="565"/>
        <w:spacing w:after="0" w:line="258"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1" w:lineRule="exact"/>
        <w:rPr>
          <w:rFonts w:ascii="Arial" w:cs="Arial" w:eastAsia="Arial" w:hAnsi="Arial"/>
          <w:sz w:val="18"/>
          <w:szCs w:val="18"/>
          <w:color w:val="auto"/>
        </w:rPr>
      </w:pPr>
    </w:p>
    <w:p>
      <w:pPr>
        <w:ind w:left="1140" w:right="380" w:hanging="565"/>
        <w:spacing w:after="0" w:line="25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ind w:left="1140" w:hanging="56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225" w:lineRule="exact"/>
        <w:rPr>
          <w:sz w:val="20"/>
          <w:szCs w:val="20"/>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49" w:lineRule="exact"/>
        <w:rPr>
          <w:sz w:val="20"/>
          <w:szCs w:val="20"/>
          <w:color w:val="auto"/>
        </w:rPr>
      </w:pPr>
    </w:p>
    <w:p>
      <w:pPr>
        <w:ind w:left="1140" w:right="160" w:hanging="565"/>
        <w:spacing w:after="0" w:line="258"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2018, as filed with the SEC on March 18, 2019 and as amended on April 10, 2019;</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2019, as filed with the SEC on May 13, 2019;</w:t>
      </w:r>
    </w:p>
    <w:p>
      <w:pPr>
        <w:spacing w:after="0" w:line="9" w:lineRule="exact"/>
        <w:rPr>
          <w:rFonts w:ascii="Arial" w:cs="Arial" w:eastAsia="Arial" w:hAnsi="Arial"/>
          <w:sz w:val="18"/>
          <w:szCs w:val="18"/>
          <w:color w:val="auto"/>
        </w:rPr>
      </w:pPr>
    </w:p>
    <w:p>
      <w:pPr>
        <w:ind w:left="1140" w:right="180" w:hanging="565"/>
        <w:spacing w:after="0" w:line="265" w:lineRule="auto"/>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Current Reports on Form 8-K, as filed with the SEC on March 19, 2019, May 13, 2019, May 20, 2019, June 14, 2019, June 19, 2019 and June 20, 2019 (in each case, except for information contained therein which is furnished rather than filed); and</w:t>
      </w:r>
    </w:p>
    <w:p>
      <w:pPr>
        <w:ind w:left="1140" w:right="120" w:hanging="565"/>
        <w:spacing w:after="0" w:line="255"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registration statement on Form 8-A registering our common stock under Section 12 of the Exchange Act, which was filed with the SEC on May 17, 2013, including any amendments or reports filed for purposes of updating such description, including the Form 8-K12B filed on June 14, 2019.</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 w:name="page37"/>
    <w:bookmarkEnd w:id="3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226060</wp:posOffset>
            </wp:positionV>
            <wp:extent cx="2074545" cy="711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074545" cy="7112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$40,000,000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154305</wp:posOffset>
            </wp:positionV>
            <wp:extent cx="977265"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77265" cy="3175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lvl w:ilvl="1">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2020-03-27T16:21:17Z</dcterms:created>
  <dcterms:modified xsi:type="dcterms:W3CDTF">2020-03-27T16:21:17Z</dcterms:modified>
</cp:coreProperties>
</file>