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month of: May 2017 (Report No. 3)</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May 30, 2017, announcing its financial results for the first quarter ended March 31, 2017.</w:t>
      </w:r>
    </w:p>
    <w:p>
      <w:pPr>
        <w:spacing w:after="0" w:line="170" w:lineRule="exact"/>
        <w:rPr>
          <w:sz w:val="24"/>
          <w:szCs w:val="24"/>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The second, third and fourth bullet points under the heading “First Quarter and Recent Corporate Updates” and the GAAP financial statements in this Form 6-K of the registrant are incorporated by reference into the Registration Statements on Form F-3 (File No. 333-209960)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May 30, 2017, announcing its financial results for the first quarter ended 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Tomer Berkovitz</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Dr. Tomer Berkovitz</w:t>
            </w:r>
          </w:p>
        </w:tc>
      </w:tr>
    </w:tbl>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FIRST QUARTER 2017 FINANCIAL RESULTS AND PROVIDES CORPORATE UPDATE</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Tel Aviv, Israel – May 30, 2017 </w:t>
      </w:r>
      <w:r>
        <w:rPr>
          <w:rFonts w:ascii="Arial" w:cs="Arial" w:eastAsia="Arial" w:hAnsi="Arial"/>
          <w:sz w:val="18"/>
          <w:szCs w:val="18"/>
          <w:color w:val="auto"/>
        </w:rPr>
        <w:t>– Alcobra Ltd. (NasdaqGM: ADHD) today announced financial results for the three months ended March 31, 2017,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 corporate update.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Corporate Updates:</w:t>
      </w:r>
    </w:p>
    <w:p>
      <w:pPr>
        <w:spacing w:after="0" w:line="27" w:lineRule="exact"/>
        <w:rPr>
          <w:sz w:val="20"/>
          <w:szCs w:val="20"/>
          <w:color w:val="auto"/>
        </w:rPr>
      </w:pPr>
    </w:p>
    <w:p>
      <w:pPr>
        <w:ind w:left="340" w:right="1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recently announced that Dr. Yaron Daniely will step down as Chief Executive Officer and President, and will be appointed the Chairman of the Board of Directors, effective June 1, 2017. David Baker, the Company’s Chief Commercial Officer for the last three years, will be appointed Interim Chief Executive Officer.</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continues to advance the development of its proprietary Abuse-Deterrent, Amphetamine Immediate Release (ADAIR) product candidate for the treatment of Attention Deficit Hyperactivity Disorder (ADHD). An Investigational New Drug (IND) application is expected to be filed with the U.S. Food and Drug Administration (FDA) in the third quarter of this year.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Alcobra, together with its financial advisors, continues to evaluate strategic opportunities to expand its pipeline and enhance value for all its shareholders.</w:t>
      </w:r>
    </w:p>
    <w:p>
      <w:pPr>
        <w:spacing w:after="0" w:line="32" w:lineRule="exact"/>
        <w:rPr>
          <w:rFonts w:ascii="Arial" w:cs="Arial" w:eastAsia="Arial" w:hAnsi="Arial"/>
          <w:sz w:val="16"/>
          <w:szCs w:val="16"/>
          <w:color w:val="auto"/>
        </w:rPr>
      </w:pPr>
    </w:p>
    <w:p>
      <w:pPr>
        <w:ind w:left="340" w:right="2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is currently in the process of aligning its resources with the corporate strategy, including a significant reduction in force. Management expects these adjustments to result in an approximately 40% reduction in ongoing fixed costs (excluding any one-time charges), expected to be completed, absent any change in overall corporate strategy, by the end of the second quarter of this year. Management will continue to evaluate needed resources on an ongoing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Ended March 31, 2017 Financial Results:</w:t>
      </w:r>
    </w:p>
    <w:p>
      <w:pPr>
        <w:spacing w:after="0" w:line="27" w:lineRule="exact"/>
        <w:rPr>
          <w:sz w:val="20"/>
          <w:szCs w:val="20"/>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marketable securities, and deposits totaled $45.3 million at March 31, 2017 and compared with $50.2 million at December 31, 2016 and $65.2 million at March 31, 2016.</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in the first quarter 2017 were $3.6 million, compared with $5.2 million in the first quarter 2016.</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operating expenses, excluding non-cash stock based compensation of $0.5 million in the first quarter 2017 were $3.1 million, compared with $4.5 million in the first quarter 2016.</w:t>
      </w:r>
    </w:p>
    <w:p>
      <w:pPr>
        <w:ind w:left="340" w:right="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development (R&amp;D) expenses in the first quarter 2017 were $2.1 million, compared with $3.4 million in the first quarter 2016. The decline in R&amp;D expenses is mainly driven by the termination of the MEASURE study.</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(G&amp;A) expenses in the first quarter 2017 were $1.2 million, compared with $1.5 million in the first quarter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3" w:lineRule="exact"/>
        <w:rPr>
          <w:sz w:val="20"/>
          <w:szCs w:val="20"/>
          <w:color w:val="auto"/>
        </w:rPr>
      </w:pPr>
    </w:p>
    <w:p>
      <w:pPr>
        <w:ind w:right="860"/>
        <w:spacing w:after="0" w:line="323"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new medications. For more information, please visit the Company's website, www.alcobra-pharma.com, the content of which is not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timing of filing an IND and then NDA for ADAIR, if filed at all, evaluating strategic opportunities to expand the Company's pipeline and enhance shareholder value, aligning resources with corporate strategy, reduction in force and in ongoing fixed costs, and the timing thereof. In addition, historic results of scientific research do not guarantee that the conclusions of future research would suggest similar conclusions or that historic results referred to in this press release would be interpreted similarly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2016,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8"/>
                <w:szCs w:val="18"/>
                <w:color w:val="auto"/>
              </w:rPr>
              <w:t>Three Months Ended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5"/>
          </w:tcPr>
          <w:p>
            <w:pPr>
              <w:jc w:val="right"/>
              <w:ind w:right="77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Taxes on income</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0" w:type="dxa"/>
            <w:vAlign w:val="bottom"/>
            <w:vMerge w:val="continue"/>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0" w:type="dxa"/>
            <w:vAlign w:val="bottom"/>
            <w:vMerge w:val="restart"/>
          </w:tcPr>
          <w:p>
            <w:pPr>
              <w:spacing w:after="0"/>
              <w:rPr>
                <w:sz w:val="17"/>
                <w:szCs w:val="17"/>
                <w:color w:val="auto"/>
              </w:rPr>
            </w:pPr>
          </w:p>
        </w:tc>
        <w:tc>
          <w:tcPr>
            <w:tcW w:w="7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Unrealized gain on available-for-sale marketable securities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0" w:type="dxa"/>
            <w:vAlign w:val="bottom"/>
            <w:vMerge w:val="continue"/>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0" w:type="dxa"/>
            <w:vAlign w:val="bottom"/>
            <w:vMerge w:val="restart"/>
          </w:tcPr>
          <w:p>
            <w:pPr>
              <w:spacing w:after="0"/>
              <w:rPr>
                <w:sz w:val="17"/>
                <w:szCs w:val="17"/>
                <w:color w:val="auto"/>
              </w:rPr>
            </w:pPr>
          </w:p>
        </w:tc>
        <w:tc>
          <w:tcPr>
            <w:tcW w:w="7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 w:type="dxa"/>
            <w:vAlign w:val="bottom"/>
            <w:vMerge w:val="continue"/>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0" w:type="dxa"/>
            <w:vAlign w:val="bottom"/>
            <w:vMerge w:val="restart"/>
          </w:tcPr>
          <w:p>
            <w:pPr>
              <w:spacing w:after="0"/>
              <w:rPr>
                <w:sz w:val="17"/>
                <w:szCs w:val="17"/>
                <w:color w:val="auto"/>
              </w:rPr>
            </w:pPr>
          </w:p>
        </w:tc>
        <w:tc>
          <w:tcPr>
            <w:tcW w:w="7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w w:val="92"/>
              </w:rPr>
              <w:t>Weighted average number of Ordinary shares used in computing basic and diluted net loss per share</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27,562,795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27,562,239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9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40" w:type="dxa"/>
            <w:vAlign w:val="bottom"/>
            <w:tcBorders>
              <w:bottom w:val="single" w:sz="8" w:color="auto"/>
            </w:tcBorders>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660" w:type="dxa"/>
            <w:vAlign w:val="bottom"/>
            <w:gridSpan w:val="2"/>
          </w:tcPr>
          <w:p>
            <w:pPr>
              <w:jc w:val="right"/>
              <w:ind w:right="2720"/>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Trade payables</w:t>
            </w:r>
          </w:p>
        </w:tc>
        <w:tc>
          <w:tcPr>
            <w:tcW w:w="4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488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Ordinary shares</w:t>
            </w: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143,299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(99,140)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44,229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46,419</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Arial" w:cs="Arial" w:eastAsia="Arial" w:hAnsi="Arial"/>
                <w:sz w:val="18"/>
                <w:szCs w:val="18"/>
                <w:color w:val="auto"/>
              </w:rPr>
              <w:t>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w w:val="97"/>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5"/>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 from operating activities:</w:t>
            </w:r>
          </w:p>
        </w:tc>
        <w:tc>
          <w:tcPr>
            <w:tcW w:w="3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loss</w:t>
            </w:r>
          </w:p>
        </w:tc>
        <w:tc>
          <w:tcPr>
            <w:tcW w:w="28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(3,520)</w:t>
            </w:r>
          </w:p>
        </w:tc>
        <w:tc>
          <w:tcPr>
            <w:tcW w:w="2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premium on marketable securities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Stock based compensation</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80"/>
              <w:spacing w:after="0"/>
              <w:rPr>
                <w:sz w:val="20"/>
                <w:szCs w:val="20"/>
                <w:color w:val="auto"/>
              </w:rPr>
            </w:pPr>
            <w:r>
              <w:rPr>
                <w:rFonts w:ascii="Arial" w:cs="Arial" w:eastAsia="Arial" w:hAnsi="Arial"/>
                <w:sz w:val="18"/>
                <w:szCs w:val="18"/>
                <w:color w:val="auto"/>
              </w:rPr>
              <w:t>Prepaid expenses and other receivables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Other long-term assets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80"/>
              <w:spacing w:after="0"/>
              <w:rPr>
                <w:sz w:val="20"/>
                <w:szCs w:val="20"/>
                <w:color w:val="auto"/>
              </w:rPr>
            </w:pPr>
            <w:r>
              <w:rPr>
                <w:rFonts w:ascii="Arial" w:cs="Arial" w:eastAsia="Arial" w:hAnsi="Arial"/>
                <w:sz w:val="18"/>
                <w:szCs w:val="18"/>
                <w:color w:val="auto"/>
              </w:rPr>
              <w:t>Trade payables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Accrued expenses and other liabilities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3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4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Purchase of property and equipment, net</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(investment in) marketable securities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Proceeds from (investment in) bank deposits, net</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Net cash provided (used in) by investing activities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4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Exercise of options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3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13,487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273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2019-12-07T19:37:53Z</dcterms:created>
  <dcterms:modified xsi:type="dcterms:W3CDTF">2019-12-07T19:37:53Z</dcterms:modified>
</cp:coreProperties>
</file>