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April 16, 2020</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S-3</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980" w:type="dxa"/>
        <w:tblCellMar>
          <w:top w:w="0" w:type="dxa"/>
          <w:left w:w="0" w:type="dxa"/>
          <w:bottom w:w="0" w:type="dxa"/>
          <w:right w:w="0" w:type="dxa"/>
        </w:tblCellMar>
      </w:tblPr>
      <w:tr>
        <w:trPr>
          <w:trHeight w:val="216"/>
        </w:trPr>
        <w:tc>
          <w:tcPr>
            <w:tcW w:w="414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414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(State or other jurisdiction of</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4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incorporation or organization)</w:t>
            </w:r>
          </w:p>
        </w:tc>
        <w:tc>
          <w:tcPr>
            <w:tcW w:w="360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900-2660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Jeffrey A. Baumel,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Greg Carney,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10020-1089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(212) 768-6700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color w:val="auto"/>
        </w:rPr>
        <w:t xml:space="preserve"> File No. 333-232281</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2800" w:val="left"/>
          <w:tab w:leader="none" w:pos="6180" w:val="left"/>
          <w:tab w:leader="none" w:pos="90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00"/>
          </w:cols>
          <w:pgMar w:left="320" w:top="472" w:right="37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0"/>
          <w:szCs w:val="20"/>
          <w:color w:val="auto"/>
        </w:rPr>
      </w:pPr>
    </w:p>
    <w:p>
      <w:pPr>
        <w:sectPr>
          <w:pgSz w:w="11900" w:h="16838" w:orient="portrait"/>
          <w:cols w:equalWidth="0" w:num="4">
            <w:col w:w="2100" w:space="720"/>
            <w:col w:w="2660" w:space="720"/>
            <w:col w:w="2100" w:space="720"/>
            <w:col w:w="2220"/>
          </w:cols>
          <w:pgMar w:left="320" w:top="91" w:right="339" w:bottom="1440" w:gutter="0" w:footer="0" w:header="0"/>
        </w:sectPr>
      </w:pPr>
    </w:p>
    <w:p>
      <w:pPr>
        <w:spacing w:after="0" w:line="61"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2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Borders>
              <w:top w:val="single" w:sz="8" w:color="auto"/>
            </w:tcBorders>
          </w:tcPr>
          <w:p>
            <w:pPr>
              <w:spacing w:after="0"/>
              <w:rPr>
                <w:sz w:val="18"/>
                <w:szCs w:val="18"/>
                <w:color w:val="auto"/>
              </w:rPr>
            </w:pPr>
          </w:p>
        </w:tc>
      </w:tr>
      <w:tr>
        <w:trPr>
          <w:trHeight w:val="216"/>
        </w:trPr>
        <w:tc>
          <w:tcPr>
            <w:tcW w:w="8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40" w:type="dxa"/>
            <w:vAlign w:val="bottom"/>
          </w:tcPr>
          <w:p>
            <w:pPr>
              <w:spacing w:after="0"/>
              <w:rPr>
                <w:sz w:val="18"/>
                <w:szCs w:val="18"/>
                <w:color w:val="auto"/>
              </w:rPr>
            </w:pPr>
          </w:p>
        </w:tc>
      </w:tr>
      <w:tr>
        <w:trPr>
          <w:trHeight w:val="216"/>
        </w:trPr>
        <w:tc>
          <w:tcPr>
            <w:tcW w:w="8120" w:type="dxa"/>
            <w:vAlign w:val="bottom"/>
            <w:tcBorders>
              <w:right w:val="single" w:sz="8" w:color="auto"/>
            </w:tcBorders>
          </w:tcPr>
          <w:p>
            <w:pPr>
              <w:ind w:left="3240"/>
              <w:spacing w:after="0"/>
              <w:rPr>
                <w:sz w:val="20"/>
                <w:szCs w:val="20"/>
                <w:color w:val="auto"/>
              </w:rPr>
            </w:pPr>
            <w:r>
              <w:rPr>
                <w:rFonts w:ascii="Arial" w:cs="Arial" w:eastAsia="Arial" w:hAnsi="Arial"/>
                <w:sz w:val="18"/>
                <w:szCs w:val="18"/>
                <w:b w:val="1"/>
                <w:bCs w:val="1"/>
                <w:color w:val="auto"/>
              </w:rPr>
              <w:t>Title of Each Class of</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8120" w:type="dxa"/>
            <w:vAlign w:val="bottom"/>
            <w:tcBorders>
              <w:bottom w:val="single" w:sz="8" w:color="auto"/>
              <w:right w:val="single" w:sz="8" w:color="auto"/>
            </w:tcBorders>
          </w:tcPr>
          <w:p>
            <w:pPr>
              <w:ind w:left="2940"/>
              <w:spacing w:after="0"/>
              <w:rPr>
                <w:sz w:val="20"/>
                <w:szCs w:val="20"/>
                <w:color w:val="auto"/>
              </w:rPr>
            </w:pPr>
            <w:r>
              <w:rPr>
                <w:rFonts w:ascii="Arial" w:cs="Arial" w:eastAsia="Arial" w:hAnsi="Arial"/>
                <w:sz w:val="18"/>
                <w:szCs w:val="18"/>
                <w:b w:val="1"/>
                <w:bCs w:val="1"/>
                <w:color w:val="auto"/>
              </w:rPr>
              <w:t>Securities to be Registered(1)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0"/>
        </w:trPr>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spacing w:after="0"/>
              <w:rPr>
                <w:sz w:val="18"/>
                <w:szCs w:val="18"/>
                <w:color w:val="auto"/>
              </w:rPr>
            </w:pPr>
          </w:p>
        </w:tc>
      </w:tr>
      <w:tr>
        <w:trPr>
          <w:trHeight w:val="209"/>
        </w:trPr>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spacing w:after="0"/>
              <w:rPr>
                <w:sz w:val="18"/>
                <w:szCs w:val="18"/>
                <w:color w:val="auto"/>
              </w:rPr>
            </w:pPr>
          </w:p>
        </w:tc>
      </w:tr>
      <w:tr>
        <w:trPr>
          <w:trHeight w:val="209"/>
        </w:trPr>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spacing w:after="0"/>
              <w:rPr>
                <w:sz w:val="18"/>
                <w:szCs w:val="18"/>
                <w:color w:val="auto"/>
              </w:rPr>
            </w:pPr>
          </w:p>
        </w:tc>
      </w:tr>
      <w:tr>
        <w:trPr>
          <w:trHeight w:val="210"/>
        </w:trPr>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spacing w:after="0"/>
              <w:rPr>
                <w:sz w:val="18"/>
                <w:szCs w:val="18"/>
                <w:color w:val="auto"/>
              </w:rPr>
            </w:pPr>
          </w:p>
        </w:tc>
      </w:tr>
      <w:tr>
        <w:trPr>
          <w:trHeight w:val="209"/>
        </w:trPr>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spacing w:after="0"/>
              <w:rPr>
                <w:sz w:val="18"/>
                <w:szCs w:val="18"/>
                <w:color w:val="auto"/>
              </w:rPr>
            </w:pPr>
          </w:p>
        </w:tc>
      </w:tr>
      <w:tr>
        <w:trPr>
          <w:trHeight w:val="209"/>
        </w:trPr>
        <w:tc>
          <w:tcPr>
            <w:tcW w:w="8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Total(2):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$519.20(3)</w:t>
            </w:r>
          </w:p>
        </w:tc>
      </w:tr>
    </w:tbl>
    <w:p>
      <w:pPr>
        <w:spacing w:after="0" w:line="229" w:lineRule="exact"/>
        <w:rPr>
          <w:sz w:val="20"/>
          <w:szCs w:val="20"/>
          <w:color w:val="auto"/>
        </w:rPr>
      </w:pPr>
    </w:p>
    <w:p>
      <w:pPr>
        <w:ind w:left="460" w:right="40" w:hanging="452"/>
        <w:spacing w:after="0" w:line="28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securities, including common stock, preferred stock, debt securities, warrants and units comprised of same, with an aggregate offering price of $100,000,000 on a Registration Statement on Form S-3 (File No. 333-232281) filed by the Registrant on June 21, 2019, as amended on June 26, 2019 and declared effective by the Securities and Exchange Commission on July 29, 2019 (the “Registration Statement”). In accordance with Rule 462(b) under the Securities Act, an additional amount of securities, including common stock, preferred stock, warrants, debt securities and units comprised of same having a proposed maximum aggregate offering price of $4,000,000.00 is hereby registered, representing no more than 20% of the maximum aggregate offering price of securities available for issuance under the Registration Statement. In no event will the maximum aggregate offering price of all securities issued pursuant to this Registration Statement exceed that registered under such registration statements.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w:t>
      </w:r>
    </w:p>
    <w:p>
      <w:pPr>
        <w:spacing w:after="0" w:line="4"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Consisting of some or all of the securities listed above, in any combination, including common stock, preferred stock, debt securities, warrants and units.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in accordance with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 AND INCORPORATION BY REFERENCE</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This registration statement is being filed to register an additional $4,000,000.00 of securities, including common stock, preferred stock, debt securities, warrants and units comprised of same, of Arcturus Therapeutics Holdings Inc., a Delaware corporation, pursuant to Rule 462(b) under the Securities Act of 1933, as amended and General Instruction IV of Form S-3 (the “Prior Registration Statement”). This registration statement incorporates by reference the contents of the registrant’s registration statement on Form S-3 (File No. 333-232281), which was declared effective by the Commission on July 29, 2019, including all amendments and exhibits thereto and all information incorporated by reference therein, other than the exhibits filed herewith. The Company is filing this Registration Statement for the sole purpose of increasing the maximum aggregate offering amount of securities registered under the Prior Registration Statement by $4,000,000.00.</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 is listed on an Exhibit Index attached hereto and filed herewith.</w:t>
      </w:r>
    </w:p>
    <w:p>
      <w:pPr>
        <w:spacing w:after="0" w:line="225" w:lineRule="exact"/>
        <w:rPr>
          <w:sz w:val="20"/>
          <w:szCs w:val="20"/>
          <w:color w:val="auto"/>
        </w:rPr>
      </w:pPr>
    </w:p>
    <w:p>
      <w:pPr>
        <w:ind w:right="80" w:firstLine="441"/>
        <w:spacing w:after="0" w:line="311" w:lineRule="auto"/>
        <w:rPr>
          <w:sz w:val="20"/>
          <w:szCs w:val="20"/>
          <w:color w:val="auto"/>
        </w:rPr>
      </w:pPr>
      <w:r>
        <w:rPr>
          <w:rFonts w:ascii="Arial" w:cs="Arial" w:eastAsia="Arial" w:hAnsi="Arial"/>
          <w:sz w:val="16"/>
          <w:szCs w:val="16"/>
          <w:color w:val="auto"/>
        </w:rPr>
        <w:t>The registrant hereby certifies to the Commission that (i) it has instructed its bank to pay the Commission the filing fee set forth in the cover page of this registration statement by wire transfer of such amount to the Commission’s account as soon as practicable (but no later than the close of business on April 16, 2020); (ii) it will not revoke such instruction; and (iii) it has sufficient funds in the relevant account to cover the amount of such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2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320" w:type="dxa"/>
            <w:vAlign w:val="bottom"/>
          </w:tcPr>
          <w:p>
            <w:pPr>
              <w:ind w:left="468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6"/>
                <w:szCs w:val="16"/>
                <w:color w:val="auto"/>
              </w:rPr>
            </w:pPr>
          </w:p>
        </w:tc>
        <w:tc>
          <w:tcPr>
            <w:tcW w:w="1032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Dentons US LLP</w:t>
              </w:r>
            </w:hyperlink>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3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Independent Registered Public Accounting Firm</w:t>
              </w:r>
            </w:hyperlink>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03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Dentons US LLP (included in Exhibit 5.1 hereto).</w:t>
              </w:r>
            </w:hyperlink>
          </w:p>
        </w:tc>
      </w:tr>
      <w:tr>
        <w:trPr>
          <w:trHeight w:val="227"/>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0320" w:type="dxa"/>
            <w:vAlign w:val="bottom"/>
          </w:tcPr>
          <w:p>
            <w:pPr>
              <w:spacing w:after="0"/>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Power of Attorney.</w:t>
              </w:r>
            </w:hyperlink>
          </w:p>
        </w:tc>
      </w:tr>
    </w:tbl>
    <w:p>
      <w:pP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City of San Diego, State of California on the 16th day of April,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10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E. Payne</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Joseph E. Payne</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Padmanabh Chivukula*</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Scientific Officer, Chief Operating Officer and Secretary</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Dr. Padmanabh Chivukula</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/s/Peter Farrell*</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Peter Farrell</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Andrew Sassine*</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Andrew Sassine</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Magda Marquet*</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Magda Marquet</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Barlow*</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James Barlow</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Edward Holmes</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Karah Parschauer*</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Karah Parschauer</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Keith Kummerfeld*</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Vice President of Finance and Corporate Controller</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24"/>
        </w:trPr>
        <w:tc>
          <w:tcPr>
            <w:tcW w:w="3980" w:type="dxa"/>
            <w:vAlign w:val="bottom"/>
            <w:gridSpan w:val="3"/>
          </w:tcPr>
          <w:p>
            <w:pPr>
              <w:spacing w:after="0"/>
              <w:rPr>
                <w:sz w:val="20"/>
                <w:szCs w:val="20"/>
                <w:color w:val="auto"/>
              </w:rPr>
            </w:pPr>
            <w:r>
              <w:rPr>
                <w:rFonts w:ascii="Arial" w:cs="Arial" w:eastAsia="Arial" w:hAnsi="Arial"/>
                <w:sz w:val="18"/>
                <w:szCs w:val="18"/>
                <w:color w:val="auto"/>
              </w:rPr>
              <w:t>/s/ Keith Kummerfeld*</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45"/>
        </w:trPr>
        <w:tc>
          <w:tcPr>
            <w:tcW w:w="3980" w:type="dxa"/>
            <w:vAlign w:val="bottom"/>
            <w:gridSpan w:val="3"/>
          </w:tcPr>
          <w:p>
            <w:pPr>
              <w:spacing w:after="0"/>
              <w:rPr>
                <w:sz w:val="20"/>
                <w:szCs w:val="20"/>
                <w:color w:val="auto"/>
              </w:rPr>
            </w:pPr>
            <w:r>
              <w:rPr>
                <w:rFonts w:ascii="Arial" w:cs="Arial" w:eastAsia="Arial" w:hAnsi="Arial"/>
                <w:sz w:val="18"/>
                <w:szCs w:val="18"/>
                <w:color w:val="auto"/>
              </w:rPr>
              <w:t>*By:  /s/ Joseph E. Payne</w:t>
            </w:r>
          </w:p>
        </w:tc>
        <w:tc>
          <w:tcPr>
            <w:tcW w:w="5540" w:type="dxa"/>
            <w:vAlign w:val="bottom"/>
            <w:gridSpan w:val="3"/>
          </w:tcPr>
          <w:p>
            <w:pPr>
              <w:ind w:left="200"/>
              <w:spacing w:after="0"/>
              <w:rPr>
                <w:sz w:val="20"/>
                <w:szCs w:val="20"/>
                <w:color w:val="auto"/>
              </w:rPr>
            </w:pPr>
            <w:r>
              <w:rPr>
                <w:rFonts w:ascii="Arial" w:cs="Arial" w:eastAsia="Arial" w:hAnsi="Arial"/>
                <w:sz w:val="18"/>
                <w:szCs w:val="18"/>
                <w:color w:val="auto"/>
              </w:rPr>
              <w:t>Attorney-in-Fact</w:t>
            </w: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April 16, 2020</w:t>
            </w:r>
          </w:p>
        </w:tc>
      </w:tr>
      <w:tr>
        <w:trPr>
          <w:trHeight w:val="20"/>
        </w:trPr>
        <w:tc>
          <w:tcPr>
            <w:tcW w:w="56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1240"/>
          </w:cols>
          <w:pgMar w:left="320" w:top="36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8300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83005" cy="24828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Salans FMC SNR Denton McKenna Long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Arcturus Therapeutics Holdings Inc.,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acted as counsel to Arcturus Therapeutics Holdings Inc., a Delaware corporation (the “Company”), in connection with the preparation and filing of a Registration Statement on Form S-3 (as amended or supplemented, the “Earlier Registration Statement”) and the Registration Statement filed pursuant to Rule 462(b) of the Securities Act of 1933, as amended (the “Securities Act”) relating to such Earlier Registration Statement (the “462(b) Registration Statement,” and together with the Earlier Registration Statement, the “Registration Statement”), with the Securities and Exchange Commission (the “Commission”) under the Securities Act, relating to the registration under the Securities Act and the proposed issuance and sale from time to time by the Company of up to an aggregate initial offering amount of $4,000,000 of the following securities (each a “Company Security” and collectively, or in any combination, the “Company Securities”):</w:t>
      </w:r>
    </w:p>
    <w:p>
      <w:pPr>
        <w:spacing w:after="0" w:line="195" w:lineRule="exact"/>
        <w:rPr>
          <w:sz w:val="20"/>
          <w:szCs w:val="20"/>
          <w:color w:val="auto"/>
        </w:rPr>
      </w:pPr>
    </w:p>
    <w:p>
      <w:pPr>
        <w:ind w:left="880" w:hanging="22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the Company’s common stock, no par value per share (the “Common Stock”);</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one or more classes or series of shares of the Company’s preferred stock, no par value per share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one or more series of debt securities, which may be senior or subordinated debt or senior or subordinated convertible debt (the “Debt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representing the rights to purchase shares of Common Stock, Preferred Stock, or Debt Securities (the “Warrants”);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comprised of one or more of the Company Securities in one or more series and in any combination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This opinion letter is being furnished to the Company in accordance with the requirements of Item 601(b)(5) of Regulation S-K.</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“Base Prospectus”) and any supplements to the Prospectus (each, together with the Base Prospectus, a “Prospectus”). This opinion letter is limited to the laws, including the rules and regulations, as in effect on the date hereof. We are basing this opinion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connection with rendering this opinion, we have examined originals, certified copies or copies otherwise identified as being true copies of the following:</w:t>
      </w:r>
    </w:p>
    <w:p>
      <w:pPr>
        <w:spacing w:after="0" w:line="170"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Certificate of Incorporation of the Company (the “Certificate of Incorporation”);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Bylaws of the Company, as amended to date (the “Bylaws”);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proceedings of the Company relating to its proposed issuance of the Company Securities;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other instruments and documents as we have deemed relevant or necessary in connection with our opinions set forth herein.</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otherwise provided in any Prospectus relating to a particular series of Debt Securities, the Debt Securities will be issued pursuant to an indenture (the “Indenture”) between the Company and a trustee to be named in the applicable supplement to the Prospectus (the “Trustee”).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“Warrant Agreement”). The Units will be issued under one or more unit purchase agreements (each a “Unit Purchase Agreement”).</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t>Based on and subject to the assumptions, qualifications and limitations set forth herein, we are of the opinion that:</w:t>
      </w:r>
    </w:p>
    <w:p>
      <w:pPr>
        <w:spacing w:after="0" w:line="225" w:lineRule="exact"/>
        <w:rPr>
          <w:sz w:val="20"/>
          <w:szCs w:val="20"/>
          <w:color w:val="auto"/>
        </w:rPr>
      </w:pPr>
    </w:p>
    <w:p>
      <w:pPr>
        <w:ind w:left="-656" w:firstLine="656"/>
        <w:spacing w:after="0" w:line="269" w:lineRule="auto"/>
        <w:tabs>
          <w:tab w:leader="none" w:pos="247" w:val="left"/>
        </w:tabs>
        <w:numPr>
          <w:ilvl w:val="0"/>
          <w:numId w:val="4"/>
        </w:numPr>
        <w:rPr>
          <w:rFonts w:ascii="Arial" w:cs="Arial" w:eastAsia="Arial" w:hAnsi="Arial"/>
          <w:sz w:val="17"/>
          <w:szCs w:val="17"/>
          <w:color w:val="auto"/>
        </w:rPr>
      </w:pPr>
      <w:r>
        <w:rPr>
          <w:rFonts w:ascii="Arial" w:cs="Arial" w:eastAsia="Arial" w:hAnsi="Arial"/>
          <w:sz w:val="17"/>
          <w:szCs w:val="17"/>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“Board of Directors”),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185" w:lineRule="exact"/>
        <w:rPr>
          <w:rFonts w:ascii="Arial" w:cs="Arial" w:eastAsia="Arial" w:hAnsi="Arial"/>
          <w:sz w:val="17"/>
          <w:szCs w:val="17"/>
          <w:color w:val="auto"/>
        </w:rPr>
      </w:pPr>
    </w:p>
    <w:p>
      <w:pPr>
        <w:ind w:left="-656" w:firstLine="656"/>
        <w:spacing w:after="0" w:line="287" w:lineRule="auto"/>
        <w:tabs>
          <w:tab w:leader="none" w:pos="247" w:val="left"/>
        </w:tabs>
        <w:numPr>
          <w:ilvl w:val="0"/>
          <w:numId w:val="4"/>
        </w:numPr>
        <w:rPr>
          <w:rFonts w:ascii="Arial" w:cs="Arial" w:eastAsia="Arial" w:hAnsi="Arial"/>
          <w:sz w:val="16"/>
          <w:szCs w:val="16"/>
          <w:color w:val="auto"/>
        </w:rPr>
      </w:pPr>
      <w:r>
        <w:rPr>
          <w:rFonts w:ascii="Arial" w:cs="Arial" w:eastAsia="Arial" w:hAnsi="Arial"/>
          <w:sz w:val="16"/>
          <w:szCs w:val="16"/>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Certificate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184150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8" w:name="page9"/>
    <w:bookmarkEnd w:id="8"/>
    <w:p>
      <w:pPr>
        <w:ind w:right="60" w:firstLine="656"/>
        <w:spacing w:after="0" w:line="254"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“TIA”),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191" w:lineRule="exact"/>
        <w:rPr>
          <w:rFonts w:ascii="Arial" w:cs="Arial" w:eastAsia="Arial" w:hAnsi="Arial"/>
          <w:sz w:val="18"/>
          <w:szCs w:val="18"/>
          <w:color w:val="auto"/>
        </w:rPr>
      </w:pPr>
    </w:p>
    <w:p>
      <w:pPr>
        <w:ind w:right="100" w:firstLine="656"/>
        <w:spacing w:after="0" w:line="273" w:lineRule="auto"/>
        <w:tabs>
          <w:tab w:leader="none" w:pos="903"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177" w:lineRule="exact"/>
        <w:rPr>
          <w:rFonts w:ascii="Arial" w:cs="Arial" w:eastAsia="Arial" w:hAnsi="Arial"/>
          <w:sz w:val="17"/>
          <w:szCs w:val="17"/>
          <w:color w:val="auto"/>
        </w:rPr>
      </w:pPr>
    </w:p>
    <w:p>
      <w:pPr>
        <w:ind w:right="80" w:firstLine="656"/>
        <w:spacing w:after="0" w:line="254"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of the Company,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ind w:right="320" w:firstLine="648"/>
        <w:spacing w:after="0" w:line="263" w:lineRule="auto"/>
        <w:rPr>
          <w:sz w:val="20"/>
          <w:szCs w:val="20"/>
          <w:color w:val="auto"/>
        </w:rPr>
      </w:pPr>
      <w:r>
        <w:rPr>
          <w:rFonts w:ascii="Arial" w:cs="Arial" w:eastAsia="Arial" w:hAnsi="Arial"/>
          <w:sz w:val="18"/>
          <w:szCs w:val="18"/>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informed us that it intends to issue Company Securities from time to time on a delayed or continuous basis. The opinions set forth above are limited to applicable laws as in effect on the date hereof. Prior to issuing any Company Securities pursuant to the Registration Statement (i) the Company will advise us in writing of the terms thereof, and (ii) the Company will afford us an opportunity to review the documents pursuant to which such Company Securities are to be issued or sold (including the applicable offering documents), and the Company will file such supplement or amendment to this opinion (if any) as we may reasonably consider necessary or appropriate.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w:t>
      </w:r>
    </w:p>
    <w:p>
      <w:pPr>
        <w:spacing w:after="0" w:line="18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hereby consent to the use of our opinion as herein set forth as an exhibit to the Registration Statement and to the use of our name under the caption “Legal Matters” in the prospectus forming a part of the Registration Statement. We do not, by giving such consent, admit that we are within the category of persons whose consent is required under Section 7 of the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Dentons US LLP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220"/>
          </w:cols>
          <w:pgMar w:left="320" w:top="341"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S-3 filed pursuant to Rule 462(b) of the Securities Act of 1933 of the reference to our firm under the caption “Experts” and to the incorporation by reference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8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2020</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7" Type="http://schemas.openxmlformats.org/officeDocument/2006/relationships/hyperlink" Target="http://www.sec.gov/Archives/edgar/data/1768224/000156459019023504/arct-s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2020-04-16T05:12:13Z</dcterms:created>
  <dcterms:modified xsi:type="dcterms:W3CDTF">2020-04-16T05:12:13Z</dcterms:modified>
</cp:coreProperties>
</file>