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74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4472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3760" w:type="dxa"/>
            <w:vAlign w:val="bottom"/>
            <w:gridSpan w:val="3"/>
          </w:tcPr>
          <w:p>
            <w:pPr>
              <w:ind w:left="1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SASSINE ANDY</w:t>
              </w:r>
            </w:hyperlink>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0" w:type="dxa"/>
            <w:vAlign w:val="bottom"/>
            <w:gridSpan w:val="2"/>
          </w:tcPr>
          <w:p>
            <w:pPr>
              <w:spacing w:after="0" w:line="179" w:lineRule="exact"/>
              <w:rPr>
                <w:rFonts w:ascii="Arial" w:cs="Arial" w:eastAsia="Arial" w:hAnsi="Arial"/>
                <w:sz w:val="20"/>
                <w:szCs w:val="20"/>
                <w:color w:val="0000EE"/>
                <w:w w:val="94"/>
              </w:rPr>
            </w:pPr>
            <w:hyperlink r:id="rId13">
              <w:r>
                <w:rPr>
                  <w:rFonts w:ascii="Arial" w:cs="Arial" w:eastAsia="Arial" w:hAnsi="Arial"/>
                  <w:sz w:val="20"/>
                  <w:szCs w:val="20"/>
                  <w:color w:val="0000EE"/>
                  <w:w w:val="94"/>
                </w:rPr>
                <w:t xml:space="preserve">Arcturus Therapeutics Holdings Inc. </w:t>
              </w:r>
            </w:hyperlink>
            <w:r>
              <w:rPr>
                <w:rFonts w:ascii="Arial" w:cs="Arial" w:eastAsia="Arial" w:hAnsi="Arial"/>
                <w:sz w:val="20"/>
                <w:szCs w:val="20"/>
                <w:color w:val="000000"/>
                <w:w w:val="94"/>
              </w:rPr>
              <w:t>[</w:t>
            </w:r>
            <w:r>
              <w:rPr>
                <w:rFonts w:ascii="Arial" w:cs="Arial" w:eastAsia="Arial" w:hAnsi="Arial"/>
                <w:sz w:val="20"/>
                <w:szCs w:val="20"/>
                <w:color w:val="0000EE"/>
                <w:w w:val="94"/>
              </w:rPr>
              <w:t xml:space="preserve"> </w:t>
            </w:r>
            <w:r>
              <w:rPr>
                <w:rFonts w:ascii="Arial" w:cs="Arial" w:eastAsia="Arial" w:hAnsi="Arial"/>
                <w:sz w:val="16"/>
                <w:szCs w:val="16"/>
                <w:color w:val="0000FF"/>
                <w:w w:val="94"/>
              </w:rPr>
              <w:t>ARCT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2980" w:type="dxa"/>
            <w:vAlign w:val="bottom"/>
            <w:tcBorders>
              <w:top w:val="single" w:sz="8" w:color="0000EE"/>
            </w:tcBorders>
            <w:vMerge w:val="restart"/>
          </w:tcPr>
          <w:p>
            <w:pPr>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980" w:type="dxa"/>
            <w:vAlign w:val="bottom"/>
            <w:tcBorders>
              <w:top w:val="single" w:sz="8" w:color="0000EE"/>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4960" w:type="dxa"/>
            <w:vAlign w:val="bottom"/>
            <w:gridSpan w:val="4"/>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3"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2">
            <w:col w:w="7500" w:space="227"/>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gridSpan w:val="5"/>
            <w:vMerge w:val="restart"/>
          </w:tcPr>
          <w:p>
            <w:pPr>
              <w:ind w:left="20"/>
              <w:spacing w:after="0"/>
              <w:rPr>
                <w:sz w:val="20"/>
                <w:szCs w:val="20"/>
                <w:color w:val="auto"/>
              </w:rPr>
            </w:pPr>
            <w:r>
              <w:rPr>
                <w:rFonts w:ascii="Arial" w:cs="Arial" w:eastAsia="Arial" w:hAnsi="Arial"/>
                <w:sz w:val="17"/>
                <w:szCs w:val="17"/>
                <w:color w:val="0000FF"/>
                <w:w w:val="96"/>
              </w:rPr>
              <w:t>C/O ARCTURUS THERAPEUTICS HOLDINGS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16"/>
                <w:szCs w:val="16"/>
                <w:color w:val="auto"/>
              </w:rPr>
            </w:pPr>
          </w:p>
        </w:tc>
        <w:tc>
          <w:tcPr>
            <w:tcW w:w="180" w:type="dxa"/>
            <w:vAlign w:val="bottom"/>
            <w:tcBorders>
              <w:top w:val="single" w:sz="8" w:color="2C2C2C"/>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4"/>
          </w:tcPr>
          <w:p>
            <w:pPr>
              <w:ind w:left="440"/>
              <w:spacing w:after="0" w:line="188" w:lineRule="exact"/>
              <w:rPr>
                <w:sz w:val="20"/>
                <w:szCs w:val="20"/>
                <w:color w:val="auto"/>
              </w:rPr>
            </w:pPr>
            <w:r>
              <w:rPr>
                <w:rFonts w:ascii="Arial" w:cs="Arial" w:eastAsia="Arial" w:hAnsi="Arial"/>
                <w:sz w:val="17"/>
                <w:szCs w:val="17"/>
                <w:color w:val="0000FF"/>
              </w:rPr>
              <w:t>Chief Financial Officer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1480" w:type="dxa"/>
            <w:vAlign w:val="bottom"/>
            <w:gridSpan w:val="4"/>
            <w:vMerge w:val="restart"/>
          </w:tcPr>
          <w:p>
            <w:pPr>
              <w:ind w:left="300"/>
              <w:spacing w:after="0"/>
              <w:rPr>
                <w:sz w:val="20"/>
                <w:szCs w:val="20"/>
                <w:color w:val="auto"/>
              </w:rPr>
            </w:pPr>
            <w:r>
              <w:rPr>
                <w:rFonts w:ascii="Arial" w:cs="Arial" w:eastAsia="Arial" w:hAnsi="Arial"/>
                <w:sz w:val="17"/>
                <w:szCs w:val="17"/>
                <w:color w:val="0000FF"/>
              </w:rPr>
              <w:t>06/21/2022</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INC.</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5"/>
            <w:vMerge w:val="restart"/>
          </w:tcPr>
          <w:p>
            <w:pPr>
              <w:ind w:left="20"/>
              <w:spacing w:after="0"/>
              <w:rPr>
                <w:sz w:val="20"/>
                <w:szCs w:val="20"/>
                <w:color w:val="auto"/>
              </w:rPr>
            </w:pPr>
            <w:r>
              <w:rPr>
                <w:rFonts w:ascii="Arial" w:cs="Arial" w:eastAsia="Arial" w:hAnsi="Arial"/>
                <w:sz w:val="17"/>
                <w:szCs w:val="17"/>
                <w:color w:val="0000FF"/>
                <w:w w:val="98"/>
              </w:rPr>
              <w:t>10628 SCIENCE CENTER DRIVE, SUITE 250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7"/>
            <w:vMerge w:val="continue"/>
          </w:tcPr>
          <w:p>
            <w:pPr>
              <w:spacing w:after="0"/>
              <w:rPr>
                <w:sz w:val="10"/>
                <w:szCs w:val="10"/>
                <w:color w:val="auto"/>
              </w:rPr>
            </w:pPr>
          </w:p>
        </w:tc>
        <w:tc>
          <w:tcPr>
            <w:tcW w:w="180" w:type="dxa"/>
            <w:vAlign w:val="bottom"/>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92121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ind w:left="260"/>
              <w:spacing w:after="0" w:line="179" w:lineRule="exact"/>
              <w:rPr>
                <w:sz w:val="20"/>
                <w:szCs w:val="20"/>
                <w:color w:val="auto"/>
              </w:rPr>
            </w:pPr>
            <w:r>
              <w:rPr>
                <w:rFonts w:ascii="Arial" w:cs="Arial" w:eastAsia="Arial" w:hAnsi="Arial"/>
                <w:sz w:val="17"/>
                <w:szCs w:val="17"/>
                <w:color w:val="0000FF"/>
              </w:rPr>
              <w:t>X</w:t>
            </w:r>
          </w:p>
        </w:tc>
        <w:tc>
          <w:tcPr>
            <w:tcW w:w="40" w:type="dxa"/>
            <w:vAlign w:val="bottom"/>
          </w:tcPr>
          <w:p>
            <w:pPr>
              <w:spacing w:after="0"/>
              <w:rPr>
                <w:sz w:val="15"/>
                <w:szCs w:val="15"/>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SAN DIEGO</w:t>
            </w: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160"/>
              <w:spacing w:after="0" w:line="95"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7"/>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85,000</w:t>
            </w:r>
            <w:r>
              <w:rPr>
                <w:rFonts w:ascii="Arial" w:cs="Arial" w:eastAsia="Arial" w:hAnsi="Arial"/>
                <w:sz w:val="21"/>
                <w:szCs w:val="21"/>
                <w:color w:val="008000"/>
                <w:vertAlign w:val="superscript"/>
              </w:rPr>
              <w:t>(1)</w:t>
            </w:r>
          </w:p>
        </w:tc>
        <w:tc>
          <w:tcPr>
            <w:tcW w:w="2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85,000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34.57</w:t>
            </w:r>
          </w:p>
        </w:tc>
        <w:tc>
          <w:tcPr>
            <w:tcW w:w="140" w:type="dxa"/>
            <w:vAlign w:val="bottom"/>
          </w:tcPr>
          <w:p>
            <w:pPr>
              <w:spacing w:after="0"/>
              <w:rPr>
                <w:sz w:val="11"/>
                <w:szCs w:val="11"/>
                <w:color w:val="auto"/>
              </w:rPr>
            </w:pPr>
          </w:p>
        </w:tc>
        <w:tc>
          <w:tcPr>
            <w:tcW w:w="1060" w:type="dxa"/>
            <w:vAlign w:val="bottom"/>
          </w:tcPr>
          <w:p>
            <w:pPr>
              <w:ind w:left="260"/>
              <w:spacing w:after="0" w:line="136" w:lineRule="exact"/>
              <w:rPr>
                <w:sz w:val="20"/>
                <w:szCs w:val="20"/>
                <w:color w:val="auto"/>
              </w:rPr>
            </w:pPr>
            <w:r>
              <w:rPr>
                <w:rFonts w:ascii="Arial" w:cs="Arial" w:eastAsia="Arial" w:hAnsi="Arial"/>
                <w:sz w:val="13"/>
                <w:szCs w:val="13"/>
                <w:color w:val="0000FF"/>
              </w:rPr>
              <w:t>06/21/2022</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ind w:left="40"/>
              <w:spacing w:after="0" w:line="136"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3"/>
                <w:szCs w:val="13"/>
                <w:color w:val="0000FF"/>
                <w:w w:val="95"/>
              </w:rPr>
              <w:t>12/10/2031</w:t>
            </w:r>
          </w:p>
        </w:tc>
        <w:tc>
          <w:tcPr>
            <w:tcW w:w="6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4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40"/>
              <w:spacing w:after="0" w:line="136" w:lineRule="exact"/>
              <w:rPr>
                <w:sz w:val="20"/>
                <w:szCs w:val="20"/>
                <w:color w:val="auto"/>
              </w:rPr>
            </w:pPr>
            <w:r>
              <w:rPr>
                <w:rFonts w:ascii="Arial" w:cs="Arial" w:eastAsia="Arial" w:hAnsi="Arial"/>
                <w:sz w:val="13"/>
                <w:szCs w:val="13"/>
                <w:color w:val="0000FF"/>
              </w:rPr>
              <w:t>85,000</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options to purchase shares of common stock conditionally approved by the Board of Directors on December 10, 2021, subject to approval of an amendment to the Company's Amended and Restated 2019 Omnibus Equity Incentive Plan by the Company's stockholders, which approval was obtained at the Company's 2022 Annual Meeting of Stockholders held on June 21, 2022.</w:t>
      </w:r>
    </w:p>
    <w:p>
      <w:pPr>
        <w:spacing w:after="0" w:line="4" w:lineRule="exact"/>
        <w:rPr>
          <w:rFonts w:ascii="Arial" w:cs="Arial" w:eastAsia="Arial" w:hAnsi="Arial"/>
          <w:sz w:val="12"/>
          <w:szCs w:val="12"/>
          <w:color w:val="008000"/>
        </w:rPr>
      </w:pPr>
    </w:p>
    <w:p>
      <w:pPr>
        <w:ind w:left="40" w:right="26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this option vest 25% on December 10, 2022, the first anniversary of the date this award was conditionally approved by the Board of Directors, and the remainder vest in equal increments on each successive one-month anniversary thereafter for the next thirty-six months.</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Ilan Katz, attorney-in-fact</w:t>
            </w:r>
          </w:p>
        </w:tc>
        <w:tc>
          <w:tcPr>
            <w:tcW w:w="2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06/23/2022</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322"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2022-06-23T15:20:43Z</dcterms:created>
  <dcterms:modified xsi:type="dcterms:W3CDTF">2022-06-23T15:20:43Z</dcterms:modified>
</cp:coreProperties>
</file>