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August 2014 (Report No.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12g3-2(b):____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August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ind w:right="40" w:firstLine="648"/>
        <w:spacing w:after="0" w:line="257" w:lineRule="auto"/>
        <w:rPr>
          <w:sz w:val="20"/>
          <w:szCs w:val="20"/>
          <w:color w:val="auto"/>
        </w:rPr>
      </w:pPr>
      <w:r>
        <w:rPr>
          <w:rFonts w:ascii="Arial" w:cs="Arial" w:eastAsia="Arial" w:hAnsi="Arial"/>
          <w:sz w:val="18"/>
          <w:szCs w:val="18"/>
          <w:i w:val="1"/>
          <w:iCs w:val="1"/>
          <w:color w:val="auto"/>
        </w:rPr>
        <w:t>The GAAP financial statements in this Form 6-K of ALCOBRA LTD. as well as the first sentence in each of the three first bullet points and the last bullet point under the heading ‘Second Quarter and Recent Corporate Updates’ in the press release herein are incorporated by reference into the Registration Statements on Form F-3 (File No. 333-197411) and Form S-8 (File No. 333-194875) of the Company, filed with the Securities and Exchange Commission, to be a part thereof from the date on which this report is submitted, to the extent not superseded by documents or reports subsequently filed or furnished.</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4200" w:type="dxa"/>
            <w:vAlign w:val="bottom"/>
          </w:tcPr>
          <w:p>
            <w:pPr>
              <w:ind w:left="1140"/>
              <w:spacing w:after="0"/>
              <w:rPr>
                <w:sz w:val="20"/>
                <w:szCs w:val="20"/>
                <w:color w:val="auto"/>
              </w:rPr>
            </w:pPr>
            <w:r>
              <w:rPr>
                <w:rFonts w:ascii="Arial" w:cs="Arial" w:eastAsia="Arial" w:hAnsi="Arial"/>
                <w:sz w:val="18"/>
                <w:szCs w:val="18"/>
                <w:b w:val="1"/>
                <w:bCs w:val="1"/>
                <w:color w:val="auto"/>
              </w:rPr>
              <w:t>Media Inquiries</w:t>
            </w:r>
          </w:p>
        </w:tc>
        <w:tc>
          <w:tcPr>
            <w:tcW w:w="3180" w:type="dxa"/>
            <w:vAlign w:val="bottom"/>
          </w:tcPr>
          <w:p>
            <w:pPr>
              <w:ind w:left="104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LifeSci Advisors, LLC</w:t>
            </w:r>
          </w:p>
        </w:tc>
        <w:tc>
          <w:tcPr>
            <w:tcW w:w="4200" w:type="dxa"/>
            <w:vAlign w:val="bottom"/>
          </w:tcPr>
          <w:p>
            <w:pPr>
              <w:ind w:left="1140"/>
              <w:spacing w:after="0"/>
              <w:rPr>
                <w:sz w:val="20"/>
                <w:szCs w:val="20"/>
                <w:color w:val="auto"/>
              </w:rPr>
            </w:pPr>
            <w:r>
              <w:rPr>
                <w:rFonts w:ascii="Arial" w:cs="Arial" w:eastAsia="Arial" w:hAnsi="Arial"/>
                <w:sz w:val="18"/>
                <w:szCs w:val="18"/>
                <w:color w:val="auto"/>
              </w:rPr>
              <w:t>Sam Brown, Inc.</w:t>
            </w:r>
          </w:p>
        </w:tc>
        <w:tc>
          <w:tcPr>
            <w:tcW w:w="3180" w:type="dxa"/>
            <w:vAlign w:val="bottom"/>
          </w:tcPr>
          <w:p>
            <w:pPr>
              <w:ind w:left="1040"/>
              <w:spacing w:after="0"/>
              <w:rPr>
                <w:sz w:val="20"/>
                <w:szCs w:val="20"/>
                <w:color w:val="auto"/>
              </w:rPr>
            </w:pPr>
            <w:r>
              <w:rPr>
                <w:rFonts w:ascii="Arial" w:cs="Arial" w:eastAsia="Arial" w:hAnsi="Arial"/>
                <w:sz w:val="18"/>
                <w:szCs w:val="18"/>
                <w:color w:val="auto"/>
              </w:rPr>
              <w:t>Alcobra Investor Relations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Michael Rice</w:t>
            </w:r>
          </w:p>
        </w:tc>
        <w:tc>
          <w:tcPr>
            <w:tcW w:w="4200" w:type="dxa"/>
            <w:vAlign w:val="bottom"/>
          </w:tcPr>
          <w:p>
            <w:pPr>
              <w:ind w:left="1140"/>
              <w:spacing w:after="0"/>
              <w:rPr>
                <w:sz w:val="20"/>
                <w:szCs w:val="20"/>
                <w:color w:val="auto"/>
              </w:rPr>
            </w:pPr>
            <w:r>
              <w:rPr>
                <w:rFonts w:ascii="Arial" w:cs="Arial" w:eastAsia="Arial" w:hAnsi="Arial"/>
                <w:sz w:val="18"/>
                <w:szCs w:val="18"/>
                <w:color w:val="auto"/>
              </w:rPr>
              <w:t>Mike Beyer</w:t>
            </w:r>
          </w:p>
        </w:tc>
        <w:tc>
          <w:tcPr>
            <w:tcW w:w="3180" w:type="dxa"/>
            <w:vAlign w:val="bottom"/>
          </w:tcPr>
          <w:p>
            <w:pPr>
              <w:ind w:left="1040"/>
              <w:spacing w:after="0"/>
              <w:rPr>
                <w:sz w:val="20"/>
                <w:szCs w:val="20"/>
                <w:color w:val="auto"/>
              </w:rPr>
            </w:pPr>
            <w:r>
              <w:rPr>
                <w:rFonts w:ascii="Arial" w:cs="Arial" w:eastAsia="Arial" w:hAnsi="Arial"/>
                <w:sz w:val="18"/>
                <w:szCs w:val="18"/>
                <w:color w:val="auto"/>
              </w:rPr>
              <w:t>Debbie Kaye</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646-597-6979</w:t>
            </w:r>
          </w:p>
        </w:tc>
        <w:tc>
          <w:tcPr>
            <w:tcW w:w="4200" w:type="dxa"/>
            <w:vAlign w:val="bottom"/>
          </w:tcPr>
          <w:p>
            <w:pPr>
              <w:ind w:left="1140"/>
              <w:spacing w:after="0"/>
              <w:rPr>
                <w:sz w:val="20"/>
                <w:szCs w:val="20"/>
                <w:color w:val="auto"/>
              </w:rPr>
            </w:pPr>
            <w:r>
              <w:rPr>
                <w:rFonts w:ascii="Arial" w:cs="Arial" w:eastAsia="Arial" w:hAnsi="Arial"/>
                <w:sz w:val="18"/>
                <w:szCs w:val="18"/>
                <w:color w:val="auto"/>
              </w:rPr>
              <w:t>773-463-4211</w:t>
            </w:r>
          </w:p>
        </w:tc>
        <w:tc>
          <w:tcPr>
            <w:tcW w:w="3180" w:type="dxa"/>
            <w:vAlign w:val="bottom"/>
          </w:tcPr>
          <w:p>
            <w:pPr>
              <w:ind w:left="1040"/>
              <w:spacing w:after="0"/>
              <w:rPr>
                <w:sz w:val="20"/>
                <w:szCs w:val="20"/>
                <w:color w:val="auto"/>
              </w:rPr>
            </w:pPr>
            <w:r>
              <w:rPr>
                <w:rFonts w:ascii="Arial" w:cs="Arial" w:eastAsia="Arial" w:hAnsi="Arial"/>
                <w:sz w:val="18"/>
                <w:szCs w:val="18"/>
                <w:color w:val="auto"/>
              </w:rPr>
              <w:t>+972-72 2204661</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4200" w:type="dxa"/>
            <w:vAlign w:val="bottom"/>
          </w:tcPr>
          <w:p>
            <w:pPr>
              <w:ind w:left="1140"/>
              <w:spacing w:after="0"/>
              <w:rPr>
                <w:sz w:val="20"/>
                <w:szCs w:val="20"/>
                <w:color w:val="auto"/>
              </w:rPr>
            </w:pPr>
            <w:r>
              <w:rPr>
                <w:rFonts w:ascii="Arial" w:cs="Arial" w:eastAsia="Arial" w:hAnsi="Arial"/>
                <w:sz w:val="18"/>
                <w:szCs w:val="18"/>
                <w:color w:val="0000FF"/>
              </w:rPr>
              <w:t>mikebeyer@sambrown.com</w:t>
            </w:r>
          </w:p>
        </w:tc>
        <w:tc>
          <w:tcPr>
            <w:tcW w:w="3180" w:type="dxa"/>
            <w:vAlign w:val="bottom"/>
          </w:tcPr>
          <w:p>
            <w:pPr>
              <w:ind w:left="104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ALCOBRA ANNOUNCES SECOND QUARTER FINANCIAL RESULTS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PROVIDES CORPORATE UPDATE</w:t>
      </w:r>
    </w:p>
    <w:p>
      <w:pPr>
        <w:spacing w:after="0" w:line="21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Company Describes New Brain Imaging Data Supporting Use of MDX in ADHD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Company Reviews Patients Demographics in Phase III study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&amp; Webcast at 8:30 a.m. Eastern Time/5:30 a.m. Pacific Time</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Tel Aviv, Israel – August 11, 2014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today announced financial results for the second quarter ended June 30, 2014 and provided a business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Ended June 30, 2014 Financial Results: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operating expenses were $7.8 million, compared with $7.8 million in the first quarter of 2014 and $1.2 million in the second quarter of 2013.</w:t>
      </w:r>
    </w:p>
    <w:p>
      <w:pPr>
        <w:spacing w:after="0" w:line="20" w:lineRule="exact"/>
        <w:rPr>
          <w:rFonts w:ascii="Arial" w:cs="Arial" w:eastAsia="Arial" w:hAnsi="Arial"/>
          <w:sz w:val="17"/>
          <w:szCs w:val="17"/>
          <w:color w:val="auto"/>
        </w:rPr>
      </w:pPr>
    </w:p>
    <w:p>
      <w:pPr>
        <w:ind w:left="340" w:right="2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expenses, excluding non-cash stock based compensation, were $6.9 million, compared with $6.5 million in the first quarter of 2014 and $0.5 million in the second quarter of 2013.</w:t>
      </w:r>
    </w:p>
    <w:p>
      <w:pPr>
        <w:ind w:left="340" w:right="28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Research and development (R&amp;D) expenses were $5.9 million, compared with $5.5 million in the first quarter of 2014 and $0.3 million in the second quarter of 2013. R&amp;D expenses consist primarily of costs associated with the preclinical and clinical development of product candidates.</w:t>
      </w:r>
    </w:p>
    <w:p>
      <w:pPr>
        <w:spacing w:after="0" w:line="1" w:lineRule="exact"/>
        <w:rPr>
          <w:rFonts w:ascii="Arial" w:cs="Arial" w:eastAsia="Arial" w:hAnsi="Arial"/>
          <w:sz w:val="16"/>
          <w:szCs w:val="16"/>
          <w:color w:val="auto"/>
        </w:rPr>
      </w:pPr>
    </w:p>
    <w:p>
      <w:pPr>
        <w:ind w:left="340" w:right="40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Pre-commercialization expenses were $0.6 million, compared with $0.5 million in the first quarter of 2014. Pre-commercialization expenses consist primarily of costs associated with market research and analysis as well as business development.</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cash equivalents and short-term deposits totaled $38.9 million at June 30, 2014 compared with $50.1 million at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Corporate Updates:</w:t>
      </w:r>
    </w:p>
    <w:p>
      <w:pPr>
        <w:spacing w:after="0" w:line="27" w:lineRule="exact"/>
        <w:rPr>
          <w:sz w:val="20"/>
          <w:szCs w:val="20"/>
          <w:color w:val="auto"/>
        </w:rPr>
      </w:pPr>
    </w:p>
    <w:p>
      <w:pPr>
        <w:ind w:left="340" w:right="1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in mid-July the completion of patient enrollment in the Phase III clinical trial of Metadoxine Extended Release (MDX) in adult ADHD patients. The trial enrolled 300 patients, 116 of which were Predominantly Inattentive ADHD (39%). Patients' baseline demographics appear similar to previous trials conducted with MDX.</w:t>
      </w:r>
    </w:p>
    <w:p>
      <w:pPr>
        <w:spacing w:after="0" w:line="1" w:lineRule="exact"/>
        <w:rPr>
          <w:rFonts w:ascii="Arial" w:cs="Arial" w:eastAsia="Arial" w:hAnsi="Arial"/>
          <w:sz w:val="18"/>
          <w:szCs w:val="18"/>
          <w:color w:val="auto"/>
        </w:rPr>
      </w:pPr>
    </w:p>
    <w:p>
      <w:pPr>
        <w:ind w:left="340" w:right="4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patient screening in the Phase IIb study of MDX in adolescents and adults with Fragile X Syndrome. The study remains on track to be completed in the fourth quarter and report top-line data before the end of the year.</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patient screening in the Phase IIb trial of pediatric ADHD. Expect to fully enroll the trial and provide top-line data readout before the end of the year.</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new neuroimaging data using a pharmacological MRI animal study.</w:t>
      </w:r>
    </w:p>
    <w:p>
      <w:pPr>
        <w:spacing w:after="0" w:line="9" w:lineRule="exact"/>
        <w:rPr>
          <w:rFonts w:ascii="Arial" w:cs="Arial" w:eastAsia="Arial" w:hAnsi="Arial"/>
          <w:sz w:val="18"/>
          <w:szCs w:val="18"/>
          <w:color w:val="auto"/>
        </w:rPr>
      </w:pPr>
    </w:p>
    <w:p>
      <w:pPr>
        <w:ind w:left="980" w:right="380" w:hanging="324"/>
        <w:spacing w:after="0" w:line="180" w:lineRule="auto"/>
        <w:tabs>
          <w:tab w:leader="none" w:pos="980" w:val="left"/>
        </w:tabs>
        <w:numPr>
          <w:ilvl w:val="1"/>
          <w:numId w:val="3"/>
        </w:numPr>
        <w:rPr>
          <w:rFonts w:ascii="Arial" w:cs="Arial" w:eastAsia="Arial" w:hAnsi="Arial"/>
          <w:sz w:val="35"/>
          <w:szCs w:val="35"/>
          <w:color w:val="auto"/>
          <w:vertAlign w:val="subscript"/>
        </w:rPr>
      </w:pPr>
      <w:r>
        <w:rPr>
          <w:rFonts w:ascii="Arial" w:cs="Arial" w:eastAsia="Arial" w:hAnsi="Arial"/>
          <w:sz w:val="15"/>
          <w:szCs w:val="15"/>
          <w:color w:val="auto"/>
        </w:rPr>
        <w:t>MDX showed significant effects in brain areas related to executive function, learning and memory, motivation, information integration and processing, attention and cognition, which are dysregulated in various cognitive impairments and disorders, including ADHD.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603250</wp:posOffset>
            </wp:positionV>
            <wp:extent cx="122618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980" w:right="300" w:hanging="324"/>
        <w:spacing w:after="0" w:line="182" w:lineRule="auto"/>
        <w:tabs>
          <w:tab w:leader="none" w:pos="980" w:val="left"/>
        </w:tabs>
        <w:numPr>
          <w:ilvl w:val="1"/>
          <w:numId w:val="4"/>
        </w:numPr>
        <w:rPr>
          <w:rFonts w:ascii="Arial" w:cs="Arial" w:eastAsia="Arial" w:hAnsi="Arial"/>
          <w:sz w:val="36"/>
          <w:szCs w:val="36"/>
          <w:color w:val="auto"/>
          <w:vertAlign w:val="subscript"/>
        </w:rPr>
      </w:pPr>
      <w:r>
        <w:rPr>
          <w:rFonts w:ascii="Arial" w:cs="Arial" w:eastAsia="Arial" w:hAnsi="Arial"/>
          <w:sz w:val="15"/>
          <w:szCs w:val="15"/>
          <w:color w:val="auto"/>
        </w:rPr>
        <w:t>MDX had no effect on any of the mesolimbic dopamine system brain regions (such as the nucleus accumbens), known to be involved in the reinforcing effects of scheduled drugs.</w:t>
      </w:r>
    </w:p>
    <w:p>
      <w:pPr>
        <w:spacing w:after="0" w:line="1" w:lineRule="exact"/>
        <w:rPr>
          <w:rFonts w:ascii="Arial" w:cs="Arial" w:eastAsia="Arial" w:hAnsi="Arial"/>
          <w:sz w:val="36"/>
          <w:szCs w:val="36"/>
          <w:color w:val="auto"/>
          <w:vertAlign w:val="subscript"/>
        </w:rPr>
      </w:pPr>
    </w:p>
    <w:p>
      <w:pPr>
        <w:ind w:left="340" w:right="5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positive results from Phase IIb study of MDX in adults with predominantly inattentive ADHD (PI-ADHD) at the American Psychiatric Association (APA) annual meeting.</w:t>
      </w:r>
    </w:p>
    <w:p>
      <w:pPr>
        <w:ind w:left="980" w:hanging="324"/>
        <w:spacing w:after="0" w:line="180" w:lineRule="auto"/>
        <w:tabs>
          <w:tab w:leader="none" w:pos="980" w:val="left"/>
        </w:tabs>
        <w:numPr>
          <w:ilvl w:val="1"/>
          <w:numId w:val="4"/>
        </w:numPr>
        <w:rPr>
          <w:rFonts w:ascii="Arial" w:cs="Arial" w:eastAsia="Arial" w:hAnsi="Arial"/>
          <w:sz w:val="25"/>
          <w:szCs w:val="25"/>
          <w:color w:val="auto"/>
          <w:vertAlign w:val="subscript"/>
        </w:rPr>
      </w:pPr>
      <w:r>
        <w:rPr>
          <w:rFonts w:ascii="Arial" w:cs="Arial" w:eastAsia="Arial" w:hAnsi="Arial"/>
          <w:sz w:val="14"/>
          <w:szCs w:val="14"/>
          <w:color w:val="auto"/>
        </w:rPr>
        <w:t>MDX produced a statistically significant improvement (p &lt; 0.01) on the primary endpoint compared to placebo.</w:t>
      </w:r>
    </w:p>
    <w:p>
      <w:pPr>
        <w:spacing w:after="0" w:line="83" w:lineRule="exact"/>
        <w:rPr>
          <w:rFonts w:ascii="Arial" w:cs="Arial" w:eastAsia="Arial" w:hAnsi="Arial"/>
          <w:sz w:val="25"/>
          <w:szCs w:val="25"/>
          <w:color w:val="auto"/>
          <w:vertAlign w:val="subscript"/>
        </w:rPr>
      </w:pPr>
    </w:p>
    <w:p>
      <w:pPr>
        <w:ind w:left="980" w:hanging="324"/>
        <w:spacing w:after="0" w:line="186" w:lineRule="auto"/>
        <w:tabs>
          <w:tab w:leader="none" w:pos="980" w:val="left"/>
        </w:tabs>
        <w:numPr>
          <w:ilvl w:val="1"/>
          <w:numId w:val="4"/>
        </w:numPr>
        <w:rPr>
          <w:rFonts w:ascii="Arial" w:cs="Arial" w:eastAsia="Arial" w:hAnsi="Arial"/>
          <w:sz w:val="24"/>
          <w:szCs w:val="24"/>
          <w:color w:val="auto"/>
          <w:vertAlign w:val="subscript"/>
        </w:rPr>
      </w:pPr>
      <w:r>
        <w:rPr>
          <w:rFonts w:ascii="Arial" w:cs="Arial" w:eastAsia="Arial" w:hAnsi="Arial"/>
          <w:sz w:val="13"/>
          <w:szCs w:val="13"/>
          <w:color w:val="auto"/>
        </w:rPr>
        <w:t>MDX was superior to placebo after a single dose while demonstrating tolerability profile comparable to placebo.</w:t>
      </w:r>
    </w:p>
    <w:p>
      <w:pPr>
        <w:spacing w:after="0" w:line="83" w:lineRule="exact"/>
        <w:rPr>
          <w:rFonts w:ascii="Arial" w:cs="Arial" w:eastAsia="Arial" w:hAnsi="Arial"/>
          <w:sz w:val="24"/>
          <w:szCs w:val="24"/>
          <w:color w:val="auto"/>
          <w:vertAlign w:val="subscript"/>
        </w:rPr>
      </w:pPr>
    </w:p>
    <w:p>
      <w:pPr>
        <w:ind w:left="340" w:right="400" w:hanging="332"/>
        <w:spacing w:after="0" w:line="24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additional evidence of novel mechanism of action for MDX in cognitive disorders at the Society of Biological Psychiatry (SOBP) annual meeting.</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a new U.S. patent covering MDX's use in the treatment of Cognitive Disorders (US Patent #8,710,067).</w:t>
      </w:r>
    </w:p>
    <w:p>
      <w:pPr>
        <w:spacing w:after="0" w:line="9" w:lineRule="exact"/>
        <w:rPr>
          <w:rFonts w:ascii="Arial" w:cs="Arial" w:eastAsia="Arial" w:hAnsi="Arial"/>
          <w:sz w:val="18"/>
          <w:szCs w:val="18"/>
          <w:color w:val="auto"/>
        </w:rPr>
      </w:pPr>
    </w:p>
    <w:p>
      <w:pPr>
        <w:ind w:left="340" w:right="3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Initial Public Offering of Bio Blast Pharma on the NASDAQ, Dr. Dalia Megiddo, Bio Blast’s Chief Executive Officer, announced her resignation from Alcobra’s Board of Directors.</w:t>
      </w:r>
    </w:p>
    <w:p>
      <w:pPr>
        <w:spacing w:after="0" w:line="18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had a very productive second quarter, as we advanced clinical development in all of our target indications supporting the use of MDX as a novel and effective compound that delivers rapid cognitive effects in combination with a favorable tolerability profile,” said Dr. Yaron Daniely, President and Chief Executive Officer of Alcobra.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Monday, August 11 @ 8:30am Eastern Time/5:30am Pacific Time</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78699281</w:t>
      </w:r>
    </w:p>
    <w:p>
      <w:pPr>
        <w:spacing w:after="0" w:line="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www.alcobra-pharma.com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w:t>
      </w:r>
    </w:p>
    <w:p>
      <w:pPr>
        <w:spacing w:after="0" w:line="2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78699281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a proprietary drug candidate, MDX (MG01CI), to treat cognitive disorders including Attention Deficit Hyperactivity Disorder (ADHD) and Fragile X Syndrome. MDX has completed multiple Phase II studies in adults with ADHD and has completed enrollment in a Phase III study in adults with ADHD. The company has also begun separate Phase IIb trials in pediatric ADHD and in adolescents and adults with Fragile X Syndrome. Alcobra was founded in 2008 and is traded on the NASDAQ under "ADHD". For more information please visit the Company's website, www.alcobra-pharma.com, the content of which is not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expected enrollment and completion of clinical studies, as well as timing of providing data readouts. In addition, historic results of scientific research do not guarantee that the conclusions of future research would not suggest different conclusions or that historic results referred to in this press release would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2013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586105</wp:posOffset>
            </wp:positionV>
            <wp:extent cx="1226185"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w:t>
            </w:r>
          </w:p>
        </w:tc>
      </w:tr>
      <w:tr>
        <w:trPr>
          <w:trHeight w:val="210"/>
        </w:trPr>
        <w:tc>
          <w:tcPr>
            <w:tcW w:w="5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June 30,</w:t>
            </w:r>
          </w:p>
        </w:tc>
        <w:tc>
          <w:tcPr>
            <w:tcW w:w="10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24"/>
        </w:trPr>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9"/>
                <w:szCs w:val="19"/>
                <w:color w:val="auto"/>
              </w:rPr>
            </w:pPr>
          </w:p>
        </w:tc>
      </w:tr>
      <w:tr>
        <w:trPr>
          <w:trHeight w:val="202"/>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Pre commercialization expenses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r>
      <w:tr>
        <w:trPr>
          <w:trHeight w:val="210"/>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0"/>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expenses (income), net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0"/>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before taxes on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r>
      <w:tr>
        <w:trPr>
          <w:trHeight w:val="230"/>
        </w:trPr>
        <w:tc>
          <w:tcPr>
            <w:tcW w:w="5620" w:type="dxa"/>
            <w:vAlign w:val="bottom"/>
          </w:tcPr>
          <w:p>
            <w:pPr>
              <w:ind w:left="100"/>
              <w:spacing w:after="0"/>
              <w:rPr>
                <w:sz w:val="20"/>
                <w:szCs w:val="20"/>
                <w:color w:val="auto"/>
              </w:rPr>
            </w:pPr>
            <w:r>
              <w:rPr>
                <w:rFonts w:ascii="Arial" w:cs="Arial" w:eastAsia="Arial" w:hAnsi="Arial"/>
                <w:sz w:val="18"/>
                <w:szCs w:val="18"/>
                <w:color w:val="auto"/>
              </w:rPr>
              <w:t>Taxes on income</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620" w:type="dxa"/>
            <w:vAlign w:val="bottom"/>
          </w:tcPr>
          <w:p>
            <w:pPr>
              <w:ind w:left="100"/>
              <w:spacing w:after="0"/>
              <w:rPr>
                <w:sz w:val="20"/>
                <w:szCs w:val="20"/>
                <w:color w:val="auto"/>
              </w:rPr>
            </w:pPr>
            <w:r>
              <w:rPr>
                <w:rFonts w:ascii="Arial" w:cs="Arial" w:eastAsia="Arial" w:hAnsi="Arial"/>
                <w:sz w:val="18"/>
                <w:szCs w:val="18"/>
                <w:color w:val="auto"/>
              </w:rPr>
              <w:t>Net loss attributable to holders of Ordinary shares</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15,546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1,716</w:t>
            </w:r>
          </w:p>
        </w:tc>
      </w:tr>
      <w:tr>
        <w:trPr>
          <w:trHeight w:val="197"/>
        </w:trPr>
        <w:tc>
          <w:tcPr>
            <w:tcW w:w="5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620" w:type="dxa"/>
            <w:vAlign w:val="bottom"/>
          </w:tcPr>
          <w:p>
            <w:pPr>
              <w:ind w:left="100"/>
              <w:spacing w:after="0"/>
              <w:rPr>
                <w:sz w:val="20"/>
                <w:szCs w:val="20"/>
                <w:color w:val="auto"/>
              </w:rPr>
            </w:pPr>
            <w:r>
              <w:rPr>
                <w:rFonts w:ascii="Arial" w:cs="Arial" w:eastAsia="Arial" w:hAnsi="Arial"/>
                <w:sz w:val="18"/>
                <w:szCs w:val="18"/>
                <w:color w:val="auto"/>
              </w:rPr>
              <w:t>Net basic and diluted loss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155"/>
        </w:trPr>
        <w:tc>
          <w:tcPr>
            <w:tcW w:w="5620" w:type="dxa"/>
            <w:vAlign w:val="bottom"/>
            <w:tcBorders>
              <w:top w:val="single" w:sz="8" w:color="CCEEFF"/>
            </w:tcBorders>
            <w:shd w:val="clear" w:color="auto" w:fill="CCEEFF"/>
          </w:tcPr>
          <w:p>
            <w:pPr>
              <w:ind w:left="100"/>
              <w:spacing w:after="0" w:line="156" w:lineRule="exact"/>
              <w:rPr>
                <w:sz w:val="20"/>
                <w:szCs w:val="20"/>
                <w:color w:val="auto"/>
              </w:rPr>
            </w:pPr>
            <w:r>
              <w:rPr>
                <w:rFonts w:ascii="Arial" w:cs="Arial" w:eastAsia="Arial" w:hAnsi="Arial"/>
                <w:sz w:val="18"/>
                <w:szCs w:val="18"/>
                <w:color w:val="auto"/>
                <w:w w:val="91"/>
              </w:rPr>
              <w:t>Weighted average number of Ordinary shares used in computing basic and</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57"/>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loss per share</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13,662,146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9,016,628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13,649,427</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8,397,070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586105</wp:posOffset>
            </wp:positionV>
            <wp:extent cx="1226185"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50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ASSETS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7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5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bank deposits</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Receivables and prepaid expenses</w:t>
            </w:r>
          </w:p>
        </w:tc>
        <w:tc>
          <w:tcPr>
            <w:tcW w:w="4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39,959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50,218</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assets:</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assets</w:t>
            </w:r>
          </w:p>
        </w:tc>
        <w:tc>
          <w:tcPr>
            <w:tcW w:w="4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5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center"/>
              <w:ind w:right="810"/>
              <w:spacing w:after="0"/>
              <w:rPr>
                <w:sz w:val="20"/>
                <w:szCs w:val="20"/>
                <w:color w:val="auto"/>
              </w:rPr>
            </w:pPr>
            <w:r>
              <w:rPr>
                <w:rFonts w:ascii="Arial" w:cs="Arial" w:eastAsia="Arial" w:hAnsi="Arial"/>
                <w:sz w:val="18"/>
                <w:szCs w:val="18"/>
                <w:b w:val="1"/>
                <w:bCs w:val="1"/>
                <w:color w:val="auto"/>
              </w:rPr>
              <w:t>LIABILITIES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40" w:type="dxa"/>
            <w:vAlign w:val="bottom"/>
          </w:tcPr>
          <w:p>
            <w:pPr>
              <w:spacing w:after="0"/>
              <w:rPr>
                <w:sz w:val="15"/>
                <w:szCs w:val="15"/>
                <w:color w:val="auto"/>
              </w:rPr>
            </w:pPr>
          </w:p>
        </w:tc>
        <w:tc>
          <w:tcPr>
            <w:tcW w:w="4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500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Trade payables</w:t>
            </w:r>
          </w:p>
        </w:tc>
        <w:tc>
          <w:tcPr>
            <w:tcW w:w="5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1,457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48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7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4,753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Ordinary shares</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7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69,659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4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(34,280)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5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Alcobra Pharma Ltd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center"/>
              <w:ind w:left="830"/>
              <w:spacing w:after="0"/>
              <w:rPr>
                <w:sz w:val="20"/>
                <w:szCs w:val="20"/>
                <w:color w:val="auto"/>
              </w:rPr>
            </w:pPr>
            <w:r>
              <w:rPr>
                <w:rFonts w:ascii="Arial" w:cs="Arial" w:eastAsia="Arial" w:hAnsi="Arial"/>
                <w:sz w:val="18"/>
                <w:szCs w:val="18"/>
                <w:color w:val="auto"/>
                <w:w w:val="86"/>
              </w:rPr>
              <w:t>June 30,</w:t>
            </w:r>
          </w:p>
        </w:tc>
        <w:tc>
          <w:tcPr>
            <w:tcW w:w="10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center"/>
              <w:ind w:left="810"/>
              <w:spacing w:after="0"/>
              <w:rPr>
                <w:sz w:val="20"/>
                <w:szCs w:val="20"/>
                <w:color w:val="auto"/>
              </w:rPr>
            </w:pPr>
            <w:r>
              <w:rPr>
                <w:rFonts w:ascii="Arial" w:cs="Arial" w:eastAsia="Arial" w:hAnsi="Arial"/>
                <w:sz w:val="18"/>
                <w:szCs w:val="18"/>
                <w:color w:val="auto"/>
                <w:w w:val="86"/>
              </w:rPr>
              <w:t>June 30,</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gridSpan w:val="5"/>
            <w:vMerge w:val="restart"/>
          </w:tcPr>
          <w:p>
            <w:pPr>
              <w:spacing w:after="0"/>
              <w:rPr>
                <w:sz w:val="20"/>
                <w:szCs w:val="20"/>
                <w:color w:val="auto"/>
              </w:rPr>
            </w:pPr>
            <w:r>
              <w:rPr>
                <w:rFonts w:ascii="Arial" w:cs="Arial" w:eastAsia="Arial" w:hAnsi="Arial"/>
                <w:sz w:val="18"/>
                <w:szCs w:val="18"/>
                <w:color w:val="auto"/>
              </w:rPr>
              <w:t>Cash flow from operating activities:</w:t>
            </w:r>
          </w:p>
        </w:tc>
        <w:tc>
          <w:tcPr>
            <w:tcW w:w="1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6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(15,546)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4"/>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Interest on convertible notes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Gain from sale of property, plant and equipment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ind w:left="100"/>
              <w:spacing w:after="0"/>
              <w:rPr>
                <w:sz w:val="20"/>
                <w:szCs w:val="20"/>
                <w:color w:val="auto"/>
              </w:rPr>
            </w:pPr>
            <w:r>
              <w:rPr>
                <w:rFonts w:ascii="Arial" w:cs="Arial" w:eastAsia="Arial" w:hAnsi="Arial"/>
                <w:sz w:val="18"/>
                <w:szCs w:val="18"/>
                <w:color w:val="auto"/>
              </w:rPr>
              <w:t>Receivables and prepaid expenses</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ind w:left="80"/>
              <w:spacing w:after="0"/>
              <w:rPr>
                <w:sz w:val="20"/>
                <w:szCs w:val="20"/>
                <w:color w:val="auto"/>
              </w:rPr>
            </w:pPr>
            <w:r>
              <w:rPr>
                <w:rFonts w:ascii="Arial" w:cs="Arial" w:eastAsia="Arial" w:hAnsi="Arial"/>
                <w:sz w:val="18"/>
                <w:szCs w:val="18"/>
                <w:color w:val="auto"/>
              </w:rPr>
              <w:t>Trade payables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(11,096)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gridSpan w:val="4"/>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Decrease (increase) in long-term deposit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(proceeds from) short-term bank deposit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Investment in (proceeds from) restricted bank deposit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shd w:val="clear" w:color="auto" w:fill="CCEEFF"/>
          </w:tcPr>
          <w:p>
            <w:pPr>
              <w:spacing w:after="0"/>
              <w:rPr>
                <w:sz w:val="24"/>
                <w:szCs w:val="24"/>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(4,087)</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Issuance of share capital upon initial public offering</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21,920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21,920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17,562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(15,183)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17,496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22,095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17,593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6,912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gridSpan w:val="4"/>
          </w:tcPr>
          <w:p>
            <w:pPr>
              <w:spacing w:after="0" w:line="176" w:lineRule="exact"/>
              <w:rPr>
                <w:sz w:val="20"/>
                <w:szCs w:val="20"/>
                <w:color w:val="auto"/>
              </w:rPr>
            </w:pPr>
            <w:r>
              <w:rPr>
                <w:rFonts w:ascii="Arial" w:cs="Arial" w:eastAsia="Arial" w:hAnsi="Arial"/>
                <w:sz w:val="18"/>
                <w:szCs w:val="18"/>
                <w:color w:val="auto"/>
              </w:rPr>
              <w:t>Supplemental disclosure of non-cash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ordinary shares upon conversion of convertible notes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2019-12-08T06:55:05Z</dcterms:created>
  <dcterms:modified xsi:type="dcterms:W3CDTF">2019-12-08T06:55:05Z</dcterms:modified>
</cp:coreProperties>
</file>