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State of Israel</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Not Applicable</w:t>
            </w:r>
          </w:p>
        </w:tc>
      </w:tr>
      <w:tr>
        <w:trPr>
          <w:trHeight w:val="230"/>
        </w:trPr>
        <w:tc>
          <w:tcPr>
            <w:tcW w:w="2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3"/>
        </w:trPr>
        <w:tc>
          <w:tcPr>
            <w:tcW w:w="20" w:type="dxa"/>
            <w:vAlign w:val="bottom"/>
          </w:tcPr>
          <w:p>
            <w:pPr>
              <w:spacing w:after="0"/>
              <w:rPr>
                <w:sz w:val="24"/>
                <w:szCs w:val="24"/>
                <w:color w:val="auto"/>
              </w:rPr>
            </w:pPr>
          </w:p>
        </w:tc>
        <w:tc>
          <w:tcPr>
            <w:tcW w:w="580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3"/>
              </w:rPr>
              <w:t>35 Ehad Ha-Am Street</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53"/>
        </w:trPr>
        <w:tc>
          <w:tcPr>
            <w:tcW w:w="20" w:type="dxa"/>
            <w:vAlign w:val="bottom"/>
          </w:tcPr>
          <w:p>
            <w:pPr>
              <w:spacing w:after="0"/>
              <w:rPr>
                <w:sz w:val="21"/>
                <w:szCs w:val="21"/>
                <w:color w:val="auto"/>
              </w:rPr>
            </w:pPr>
          </w:p>
        </w:tc>
        <w:tc>
          <w:tcPr>
            <w:tcW w:w="5800" w:type="dxa"/>
            <w:vAlign w:val="bottom"/>
            <w:gridSpan w:val="2"/>
          </w:tcPr>
          <w:p>
            <w:pPr>
              <w:jc w:val="center"/>
              <w:ind w:left="1630"/>
              <w:spacing w:after="0" w:line="253" w:lineRule="exact"/>
              <w:rPr>
                <w:sz w:val="20"/>
                <w:szCs w:val="20"/>
                <w:color w:val="auto"/>
              </w:rPr>
            </w:pPr>
            <w:r>
              <w:rPr>
                <w:rFonts w:ascii="Arial" w:cs="Arial" w:eastAsia="Arial" w:hAnsi="Arial"/>
                <w:sz w:val="18"/>
                <w:szCs w:val="18"/>
                <w:b w:val="1"/>
                <w:bCs w:val="1"/>
                <w:color w:val="auto"/>
                <w:w w:val="86"/>
              </w:rPr>
              <w:t>4</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40" w:type="dxa"/>
            <w:vAlign w:val="bottom"/>
          </w:tcPr>
          <w:p>
            <w:pPr>
              <w:spacing w:after="0"/>
              <w:rPr>
                <w:sz w:val="21"/>
                <w:szCs w:val="21"/>
                <w:color w:val="auto"/>
              </w:rPr>
            </w:pPr>
          </w:p>
        </w:tc>
      </w:tr>
      <w:tr>
        <w:trPr>
          <w:trHeight w:val="241"/>
        </w:trPr>
        <w:tc>
          <w:tcPr>
            <w:tcW w:w="20" w:type="dxa"/>
            <w:vAlign w:val="bottom"/>
          </w:tcPr>
          <w:p>
            <w:pPr>
              <w:spacing w:after="0"/>
              <w:rPr>
                <w:sz w:val="20"/>
                <w:szCs w:val="20"/>
                <w:color w:val="auto"/>
              </w:rPr>
            </w:pPr>
          </w:p>
        </w:tc>
        <w:tc>
          <w:tcPr>
            <w:tcW w:w="580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1"/>
              </w:rPr>
              <w:t>Tel-Aviv, Israel</w:t>
            </w:r>
          </w:p>
        </w:tc>
        <w:tc>
          <w:tcPr>
            <w:tcW w:w="5600" w:type="dxa"/>
            <w:vAlign w:val="bottom"/>
            <w:gridSpan w:val="3"/>
          </w:tcPr>
          <w:p>
            <w:pPr>
              <w:jc w:val="right"/>
              <w:ind w:right="1510"/>
              <w:spacing w:after="0"/>
              <w:rPr>
                <w:sz w:val="20"/>
                <w:szCs w:val="20"/>
                <w:color w:val="auto"/>
              </w:rPr>
            </w:pPr>
            <w:r>
              <w:rPr>
                <w:rFonts w:ascii="Arial" w:cs="Arial" w:eastAsia="Arial" w:hAnsi="Arial"/>
                <w:sz w:val="18"/>
                <w:szCs w:val="18"/>
                <w:b w:val="1"/>
                <w:bCs w:val="1"/>
                <w:color w:val="auto"/>
              </w:rPr>
              <w:t>65202</w:t>
            </w:r>
          </w:p>
        </w:tc>
      </w:tr>
      <w:tr>
        <w:trPr>
          <w:trHeight w:val="230"/>
        </w:trPr>
        <w:tc>
          <w:tcPr>
            <w:tcW w:w="20" w:type="dxa"/>
            <w:vAlign w:val="bottom"/>
          </w:tcPr>
          <w:p>
            <w:pPr>
              <w:spacing w:after="0"/>
              <w:rPr>
                <w:sz w:val="20"/>
                <w:szCs w:val="20"/>
                <w:color w:val="auto"/>
              </w:rPr>
            </w:pPr>
          </w:p>
        </w:tc>
        <w:tc>
          <w:tcPr>
            <w:tcW w:w="5800" w:type="dxa"/>
            <w:vAlign w:val="bottom"/>
            <w:tcBorders>
              <w:top w:val="single" w:sz="8" w:color="auto"/>
            </w:tcBorders>
            <w:gridSpan w:val="2"/>
          </w:tcPr>
          <w:p>
            <w:pPr>
              <w:jc w:val="center"/>
              <w:ind w:left="1610"/>
              <w:spacing w:after="0"/>
              <w:rPr>
                <w:sz w:val="20"/>
                <w:szCs w:val="20"/>
                <w:color w:val="auto"/>
              </w:rPr>
            </w:pPr>
            <w:r>
              <w:rPr>
                <w:rFonts w:ascii="Arial" w:cs="Arial" w:eastAsia="Arial" w:hAnsi="Arial"/>
                <w:sz w:val="18"/>
                <w:szCs w:val="18"/>
                <w:color w:val="auto"/>
                <w:w w:val="92"/>
              </w:rPr>
              <w:t>(Address of principal executive offices)</w:t>
            </w:r>
          </w:p>
        </w:tc>
        <w:tc>
          <w:tcPr>
            <w:tcW w:w="17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582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560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37"/>
        </w:trPr>
        <w:tc>
          <w:tcPr>
            <w:tcW w:w="2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to be so registered</w:t>
            </w:r>
          </w:p>
        </w:tc>
        <w:tc>
          <w:tcPr>
            <w:tcW w:w="2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2"/>
          </w:tcPr>
          <w:p>
            <w:pPr>
              <w:jc w:val="center"/>
              <w:ind w:right="1630"/>
              <w:spacing w:after="0"/>
              <w:rPr>
                <w:sz w:val="20"/>
                <w:szCs w:val="20"/>
                <w:color w:val="auto"/>
              </w:rPr>
            </w:pPr>
            <w:r>
              <w:rPr>
                <w:rFonts w:ascii="Arial" w:cs="Arial" w:eastAsia="Arial" w:hAnsi="Arial"/>
                <w:sz w:val="18"/>
                <w:szCs w:val="18"/>
                <w:color w:val="auto"/>
                <w:w w:val="87"/>
              </w:rPr>
              <w:t>each class is to be registered</w:t>
            </w:r>
          </w:p>
        </w:tc>
      </w:tr>
      <w:tr>
        <w:trPr>
          <w:trHeight w:val="432"/>
        </w:trPr>
        <w:tc>
          <w:tcPr>
            <w:tcW w:w="20" w:type="dxa"/>
            <w:vAlign w:val="bottom"/>
          </w:tcPr>
          <w:p>
            <w:pPr>
              <w:spacing w:after="0"/>
              <w:rPr>
                <w:sz w:val="24"/>
                <w:szCs w:val="24"/>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Ordinary shares, par value NIS 0.01 per share</w:t>
            </w:r>
          </w:p>
        </w:tc>
        <w:tc>
          <w:tcPr>
            <w:tcW w:w="5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333-186003</w:t>
      </w:r>
      <w:r>
        <w:rPr>
          <w:rFonts w:ascii="Arial" w:cs="Arial" w:eastAsia="Arial" w:hAnsi="Arial"/>
          <w:sz w:val="18"/>
          <w:szCs w:val="18"/>
          <w:color w:val="auto"/>
        </w:rPr>
        <w:t xml:space="preserve"> (If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description of the ordinary shares of the Registrant set forth under the caption “Description of Share Capital” in the prospectus forming a part of the Registrant’s Registration Statement on Form F-1 (File No. 333-186003) filed with the U.S.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January 14, 2013, as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be deemed to be incorporated by reference herein. In addition, any description of such securities contained in a form of prospectus relating to the Registration Statement subsequently filed by the Registrant with the Commission pursuant to Rule 424(b) under the Securities Act of 1933, as amended, shall be deemed to be incorporated by reference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no other securities of the Registrant are registered on The NASDAQ Capital Market, and the securities being registered by this Registration Statement on Form 8-A are not being registered pursuant to Section 12(g) of the Securities Exchange Act of 1934, as amended, no exhibits are required to be filed with this Registration Statement on Form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2013</w:t>
      </w:r>
    </w:p>
    <w:p>
      <w:pPr>
        <w:spacing w:after="0" w:line="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Dr. Yaron Daniely</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80"/>
      </w:cols>
      <w:pgMar w:left="240" w:top="87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2019-12-08T04:15:23Z</dcterms:created>
  <dcterms:modified xsi:type="dcterms:W3CDTF">2019-12-08T04:15:23Z</dcterms:modified>
</cp:coreProperties>
</file>