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No.__)*</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220980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83820</wp:posOffset>
            </wp:positionV>
            <wp:extent cx="551815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8150"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83820</wp:posOffset>
            </wp:positionV>
            <wp:extent cx="551815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18150" cy="2984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83820</wp:posOffset>
            </wp:positionV>
            <wp:extent cx="55181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18150" cy="21590"/>
                    </a:xfrm>
                    <a:prstGeom prst="rect">
                      <a:avLst/>
                    </a:prstGeom>
                    <a:noFill/>
                  </pic:spPr>
                </pic:pic>
              </a:graphicData>
            </a:graphic>
          </wp:anchor>
        </w:drawing>
      </w:r>
    </w:p>
    <w:p>
      <w:pPr>
        <w:spacing w:after="0" w:line="236"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220" w:hanging="719"/>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1220" w:hanging="719"/>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81"/>
        </w:trPr>
        <w:tc>
          <w:tcPr>
            <w:tcW w:w="38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74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r>
      <w:tr>
        <w:trPr>
          <w:trHeight w:val="122"/>
        </w:trPr>
        <w:tc>
          <w:tcPr>
            <w:tcW w:w="3860" w:type="dxa"/>
            <w:vAlign w:val="bottom"/>
            <w:tcBorders>
              <w:bottom w:val="single" w:sz="8" w:color="808080"/>
            </w:tcBorders>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340" w:hanging="819"/>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98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340" w:hanging="819"/>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60" w:hanging="628"/>
        <w:spacing w:after="0" w:line="207" w:lineRule="exact"/>
        <w:tabs>
          <w:tab w:leader="none" w:pos="19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1960" w:hanging="628"/>
        <w:spacing w:after="0" w:line="207" w:lineRule="exact"/>
        <w:tabs>
          <w:tab w:leader="none" w:pos="19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340" w:hanging="819"/>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-209550</wp:posOffset>
            </wp:positionV>
            <wp:extent cx="7198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90170</wp:posOffset>
            </wp:positionV>
            <wp:extent cx="7198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ind w:left="460"/>
              <w:spacing w:after="0"/>
              <w:rPr>
                <w:sz w:val="20"/>
                <w:szCs w:val="20"/>
                <w:color w:val="auto"/>
              </w:rPr>
            </w:pPr>
            <w:r>
              <w:rPr>
                <w:rFonts w:ascii="Arial" w:cs="Arial" w:eastAsia="Arial" w:hAnsi="Arial"/>
                <w:sz w:val="18"/>
                <w:szCs w:val="18"/>
                <w:color w:val="auto"/>
              </w:rPr>
              <w:t>4.</w:t>
            </w: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Massachusetts</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12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00" w:type="dxa"/>
            <w:vAlign w:val="bottom"/>
          </w:tcPr>
          <w:p>
            <w:pPr>
              <w:ind w:left="5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2"/>
        </w:trPr>
        <w:tc>
          <w:tcPr>
            <w:tcW w:w="1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1,660,594 shares</w:t>
            </w:r>
          </w:p>
        </w:tc>
        <w:tc>
          <w:tcPr>
            <w:tcW w:w="0" w:type="dxa"/>
            <w:vAlign w:val="bottom"/>
          </w:tcPr>
          <w:p>
            <w:pPr>
              <w:spacing w:after="0"/>
              <w:rPr>
                <w:sz w:val="1"/>
                <w:szCs w:val="1"/>
                <w:color w:val="auto"/>
              </w:rPr>
            </w:pPr>
          </w:p>
        </w:tc>
      </w:tr>
      <w:tr>
        <w:trPr>
          <w:trHeight w:val="109"/>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8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7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line="171" w:lineRule="exact"/>
              <w:rPr>
                <w:sz w:val="20"/>
                <w:szCs w:val="20"/>
                <w:color w:val="auto"/>
              </w:rPr>
            </w:pPr>
            <w:r>
              <w:rPr>
                <w:rFonts w:ascii="Arial" w:cs="Arial" w:eastAsia="Arial" w:hAnsi="Arial"/>
                <w:sz w:val="18"/>
                <w:szCs w:val="18"/>
                <w:color w:val="auto"/>
              </w:rPr>
              <w:t>Owned by</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7100" w:type="dxa"/>
            <w:vAlign w:val="bottom"/>
            <w:vMerge w:val="restart"/>
          </w:tcPr>
          <w:p>
            <w:pPr>
              <w:jc w:val="center"/>
              <w:ind w:right="535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2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2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60" w:type="dxa"/>
            <w:vAlign w:val="bottom"/>
            <w:tcBorders>
              <w:bottom w:val="single" w:sz="8" w:color="808080"/>
            </w:tcBorders>
          </w:tcPr>
          <w:p>
            <w:pPr>
              <w:spacing w:after="0"/>
              <w:rPr>
                <w:sz w:val="5"/>
                <w:szCs w:val="5"/>
                <w:color w:val="auto"/>
              </w:rPr>
            </w:pPr>
          </w:p>
        </w:tc>
        <w:tc>
          <w:tcPr>
            <w:tcW w:w="71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200" w:type="dxa"/>
            <w:vAlign w:val="bottom"/>
            <w:vMerge w:val="continue"/>
          </w:tcPr>
          <w:p>
            <w:pPr>
              <w:spacing w:after="0"/>
              <w:rPr>
                <w:sz w:val="12"/>
                <w:szCs w:val="12"/>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w w:val="92"/>
              </w:rPr>
              <w:t>Shared Dispositive Power</w:t>
            </w:r>
          </w:p>
        </w:tc>
        <w:tc>
          <w:tcPr>
            <w:tcW w:w="7100" w:type="dxa"/>
            <w:vAlign w:val="bottom"/>
            <w:vMerge w:val="restart"/>
          </w:tcPr>
          <w:p>
            <w:pPr>
              <w:jc w:val="center"/>
              <w:ind w:right="5330"/>
              <w:spacing w:after="0"/>
              <w:rPr>
                <w:sz w:val="20"/>
                <w:szCs w:val="20"/>
                <w:color w:val="auto"/>
              </w:rPr>
            </w:pPr>
            <w:r>
              <w:rPr>
                <w:rFonts w:ascii="Arial" w:cs="Arial" w:eastAsia="Arial" w:hAnsi="Arial"/>
                <w:sz w:val="18"/>
                <w:szCs w:val="18"/>
                <w:b w:val="1"/>
                <w:bCs w:val="1"/>
                <w:color w:val="auto"/>
                <w:w w:val="86"/>
              </w:rPr>
              <w:t>1,660,594 shares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-1118235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-1118235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-818515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-818515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-518160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-518160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-217805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-217805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 w:lineRule="exact"/>
        <w:rPr>
          <w:sz w:val="20"/>
          <w:szCs w:val="20"/>
          <w:color w:val="auto"/>
        </w:rPr>
      </w:pPr>
    </w:p>
    <w:p>
      <w:pPr>
        <w:ind w:left="1340" w:hanging="819"/>
        <w:spacing w:after="0"/>
        <w:tabs>
          <w:tab w:leader="none" w:pos="134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1,660,594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-356870</wp:posOffset>
            </wp:positionV>
            <wp:extent cx="71989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80010</wp:posOffset>
            </wp:positionV>
            <wp:extent cx="71989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197" w:lineRule="exact"/>
        <w:rPr>
          <w:sz w:val="20"/>
          <w:szCs w:val="20"/>
          <w:color w:val="auto"/>
        </w:rPr>
      </w:pPr>
    </w:p>
    <w:p>
      <w:pPr>
        <w:ind w:left="1340"/>
        <w:spacing w:after="0" w:line="207" w:lineRule="exact"/>
        <w:tabs>
          <w:tab w:leader="none" w:pos="7000" w:val="left"/>
        </w:tabs>
        <w:rPr>
          <w:sz w:val="20"/>
          <w:szCs w:val="20"/>
          <w:color w:val="auto"/>
        </w:rPr>
      </w:pPr>
      <w:r>
        <w:rPr>
          <w:rFonts w:ascii="Arial" w:cs="Arial" w:eastAsia="Arial" w:hAnsi="Arial"/>
          <w:sz w:val="18"/>
          <w:szCs w:val="18"/>
          <w:color w:val="auto"/>
        </w:rPr>
        <w:t>Check if the Aggregate Amount in Row (9) Excludes</w:t>
      </w:r>
      <w:r>
        <w:rPr>
          <w:sz w:val="20"/>
          <w:szCs w:val="20"/>
          <w:color w:val="auto"/>
        </w:rPr>
        <w:tab/>
      </w:r>
      <w:r>
        <w:rPr>
          <w:rFonts w:ascii="MS PGothic" w:cs="MS PGothic" w:eastAsia="MS PGothic" w:hAnsi="MS PGothic"/>
          <w:sz w:val="16"/>
          <w:szCs w:val="16"/>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6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6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60" w:type="dxa"/>
            <w:vAlign w:val="bottom"/>
          </w:tcPr>
          <w:p>
            <w:pPr>
              <w:ind w:left="300"/>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IA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-1504315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-1504315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-1066800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-1066800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-492760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-492760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81"/>
        </w:trPr>
        <w:tc>
          <w:tcPr>
            <w:tcW w:w="38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2460" w:type="dxa"/>
            <w:vAlign w:val="bottom"/>
          </w:tcPr>
          <w:p>
            <w:pPr>
              <w:ind w:left="2080"/>
              <w:spacing w:after="0"/>
              <w:rPr>
                <w:sz w:val="20"/>
                <w:szCs w:val="20"/>
                <w:color w:val="auto"/>
              </w:rPr>
            </w:pPr>
            <w:r>
              <w:rPr>
                <w:rFonts w:ascii="Arial" w:cs="Arial" w:eastAsia="Arial" w:hAnsi="Arial"/>
                <w:sz w:val="22"/>
                <w:szCs w:val="22"/>
                <w:b w:val="1"/>
                <w:bCs w:val="1"/>
                <w:color w:val="auto"/>
                <w:w w:val="86"/>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68580</wp:posOffset>
            </wp:positionV>
            <wp:extent cx="719899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12" w:lineRule="exact"/>
        <w:rPr>
          <w:sz w:val="20"/>
          <w:szCs w:val="20"/>
          <w:color w:val="auto"/>
        </w:rPr>
      </w:pPr>
    </w:p>
    <w:p>
      <w:pPr>
        <w:ind w:left="1340" w:hanging="819"/>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989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50" w:lineRule="exact"/>
        <w:rPr>
          <w:sz w:val="20"/>
          <w:szCs w:val="20"/>
          <w:color w:val="auto"/>
        </w:rPr>
      </w:pPr>
    </w:p>
    <w:p>
      <w:pPr>
        <w:ind w:left="1340" w:hanging="81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60" w:hanging="628"/>
        <w:spacing w:after="0" w:line="207" w:lineRule="exact"/>
        <w:tabs>
          <w:tab w:leader="none" w:pos="19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1960" w:hanging="628"/>
        <w:spacing w:after="0" w:line="207" w:lineRule="exact"/>
        <w:tabs>
          <w:tab w:leader="none" w:pos="19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340" w:hanging="81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-209550</wp:posOffset>
            </wp:positionV>
            <wp:extent cx="719899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90170</wp:posOffset>
            </wp:positionV>
            <wp:extent cx="71989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ind w:left="460"/>
              <w:spacing w:after="0"/>
              <w:rPr>
                <w:sz w:val="20"/>
                <w:szCs w:val="20"/>
                <w:color w:val="auto"/>
              </w:rPr>
            </w:pPr>
            <w:r>
              <w:rPr>
                <w:rFonts w:ascii="Arial" w:cs="Arial" w:eastAsia="Arial" w:hAnsi="Arial"/>
                <w:sz w:val="18"/>
                <w:szCs w:val="18"/>
                <w:color w:val="auto"/>
              </w:rPr>
              <w:t>4.</w:t>
            </w: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12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00" w:type="dxa"/>
            <w:vAlign w:val="bottom"/>
          </w:tcPr>
          <w:p>
            <w:pPr>
              <w:ind w:left="4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2"/>
        </w:trPr>
        <w:tc>
          <w:tcPr>
            <w:tcW w:w="1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00" w:type="dxa"/>
            <w:vAlign w:val="bottom"/>
            <w:vMerge w:val="restart"/>
          </w:tcPr>
          <w:p>
            <w:pPr>
              <w:jc w:val="center"/>
              <w:ind w:right="5310"/>
              <w:spacing w:after="0"/>
              <w:rPr>
                <w:sz w:val="20"/>
                <w:szCs w:val="20"/>
                <w:color w:val="auto"/>
              </w:rPr>
            </w:pPr>
            <w:r>
              <w:rPr>
                <w:rFonts w:ascii="Arial" w:cs="Arial" w:eastAsia="Arial" w:hAnsi="Arial"/>
                <w:sz w:val="18"/>
                <w:szCs w:val="18"/>
                <w:b w:val="1"/>
                <w:bCs w:val="1"/>
                <w:color w:val="auto"/>
                <w:w w:val="88"/>
              </w:rPr>
              <w:t>1,660,594 shares</w:t>
            </w:r>
          </w:p>
        </w:tc>
        <w:tc>
          <w:tcPr>
            <w:tcW w:w="0" w:type="dxa"/>
            <w:vAlign w:val="bottom"/>
          </w:tcPr>
          <w:p>
            <w:pPr>
              <w:spacing w:after="0"/>
              <w:rPr>
                <w:sz w:val="1"/>
                <w:szCs w:val="1"/>
                <w:color w:val="auto"/>
              </w:rPr>
            </w:pPr>
          </w:p>
        </w:tc>
      </w:tr>
      <w:tr>
        <w:trPr>
          <w:trHeight w:val="109"/>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8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7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line="171" w:lineRule="exact"/>
              <w:rPr>
                <w:sz w:val="20"/>
                <w:szCs w:val="20"/>
                <w:color w:val="auto"/>
              </w:rPr>
            </w:pPr>
            <w:r>
              <w:rPr>
                <w:rFonts w:ascii="Arial" w:cs="Arial" w:eastAsia="Arial" w:hAnsi="Arial"/>
                <w:sz w:val="18"/>
                <w:szCs w:val="18"/>
                <w:color w:val="auto"/>
              </w:rPr>
              <w:t>Owned by</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7100" w:type="dxa"/>
            <w:vAlign w:val="bottom"/>
            <w:vMerge w:val="restart"/>
          </w:tcPr>
          <w:p>
            <w:pPr>
              <w:jc w:val="center"/>
              <w:ind w:right="535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2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2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60" w:type="dxa"/>
            <w:vAlign w:val="bottom"/>
            <w:tcBorders>
              <w:bottom w:val="single" w:sz="8" w:color="808080"/>
            </w:tcBorders>
          </w:tcPr>
          <w:p>
            <w:pPr>
              <w:spacing w:after="0"/>
              <w:rPr>
                <w:sz w:val="5"/>
                <w:szCs w:val="5"/>
                <w:color w:val="auto"/>
              </w:rPr>
            </w:pPr>
          </w:p>
        </w:tc>
        <w:tc>
          <w:tcPr>
            <w:tcW w:w="71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200" w:type="dxa"/>
            <w:vAlign w:val="bottom"/>
            <w:vMerge w:val="continue"/>
          </w:tcPr>
          <w:p>
            <w:pPr>
              <w:spacing w:after="0"/>
              <w:rPr>
                <w:sz w:val="12"/>
                <w:szCs w:val="12"/>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w w:val="92"/>
              </w:rPr>
              <w:t>Shared Dispositive Power</w:t>
            </w:r>
          </w:p>
        </w:tc>
        <w:tc>
          <w:tcPr>
            <w:tcW w:w="7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1,660,594 shares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-1118235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-1118235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-818515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-818515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-518160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-518160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-217805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-217805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 w:lineRule="exact"/>
        <w:rPr>
          <w:sz w:val="20"/>
          <w:szCs w:val="20"/>
          <w:color w:val="auto"/>
        </w:rPr>
      </w:pPr>
    </w:p>
    <w:p>
      <w:pPr>
        <w:ind w:left="1340" w:hanging="819"/>
        <w:spacing w:after="0"/>
        <w:tabs>
          <w:tab w:leader="none" w:pos="134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1,660,594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-356870</wp:posOffset>
            </wp:positionV>
            <wp:extent cx="719899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80010</wp:posOffset>
            </wp:positionV>
            <wp:extent cx="719899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197" w:lineRule="exact"/>
        <w:rPr>
          <w:sz w:val="20"/>
          <w:szCs w:val="20"/>
          <w:color w:val="auto"/>
        </w:rPr>
      </w:pPr>
    </w:p>
    <w:p>
      <w:pPr>
        <w:ind w:left="1340"/>
        <w:spacing w:after="0" w:line="207" w:lineRule="exact"/>
        <w:tabs>
          <w:tab w:leader="none" w:pos="7000" w:val="left"/>
        </w:tabs>
        <w:rPr>
          <w:sz w:val="20"/>
          <w:szCs w:val="20"/>
          <w:color w:val="auto"/>
        </w:rPr>
      </w:pPr>
      <w:r>
        <w:rPr>
          <w:rFonts w:ascii="Arial" w:cs="Arial" w:eastAsia="Arial" w:hAnsi="Arial"/>
          <w:sz w:val="18"/>
          <w:szCs w:val="18"/>
          <w:color w:val="auto"/>
        </w:rPr>
        <w:t>Check if the Aggregate Amount in Row (9) Excludes</w:t>
      </w:r>
      <w:r>
        <w:rPr>
          <w:sz w:val="20"/>
          <w:szCs w:val="20"/>
          <w:color w:val="auto"/>
        </w:rPr>
        <w:tab/>
      </w:r>
      <w:r>
        <w:rPr>
          <w:rFonts w:ascii="MS PGothic" w:cs="MS PGothic" w:eastAsia="MS PGothic" w:hAnsi="MS PGothic"/>
          <w:sz w:val="16"/>
          <w:szCs w:val="16"/>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6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6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60" w:type="dxa"/>
            <w:vAlign w:val="bottom"/>
          </w:tcPr>
          <w:p>
            <w:pPr>
              <w:ind w:left="300"/>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-1367155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-1367155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-929640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-929640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-492760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-492760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81"/>
        </w:trPr>
        <w:tc>
          <w:tcPr>
            <w:tcW w:w="39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2420" w:type="dxa"/>
            <w:vAlign w:val="bottom"/>
          </w:tcPr>
          <w:p>
            <w:pPr>
              <w:ind w:left="2040"/>
              <w:spacing w:after="0"/>
              <w:rPr>
                <w:sz w:val="20"/>
                <w:szCs w:val="20"/>
                <w:color w:val="auto"/>
              </w:rPr>
            </w:pPr>
            <w:r>
              <w:rPr>
                <w:rFonts w:ascii="Arial" w:cs="Arial" w:eastAsia="Arial" w:hAnsi="Arial"/>
                <w:sz w:val="22"/>
                <w:szCs w:val="22"/>
                <w:b w:val="1"/>
                <w:bCs w:val="1"/>
                <w:color w:val="auto"/>
                <w:w w:val="86"/>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68580</wp:posOffset>
            </wp:positionV>
            <wp:extent cx="719899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12" w:lineRule="exact"/>
        <w:rPr>
          <w:sz w:val="20"/>
          <w:szCs w:val="20"/>
          <w:color w:val="auto"/>
        </w:rPr>
      </w:pPr>
    </w:p>
    <w:p>
      <w:pPr>
        <w:ind w:left="1340" w:hanging="819"/>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9899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50" w:lineRule="exact"/>
        <w:rPr>
          <w:sz w:val="20"/>
          <w:szCs w:val="20"/>
          <w:color w:val="auto"/>
        </w:rPr>
      </w:pPr>
    </w:p>
    <w:p>
      <w:pPr>
        <w:ind w:left="1340" w:hanging="819"/>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60" w:hanging="628"/>
        <w:spacing w:after="0" w:line="207" w:lineRule="exact"/>
        <w:tabs>
          <w:tab w:leader="none" w:pos="19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1960" w:hanging="628"/>
        <w:spacing w:after="0" w:line="207" w:lineRule="exact"/>
        <w:tabs>
          <w:tab w:leader="none" w:pos="19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340" w:hanging="819"/>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-209550</wp:posOffset>
            </wp:positionV>
            <wp:extent cx="719899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90170</wp:posOffset>
            </wp:positionV>
            <wp:extent cx="719899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ind w:left="460"/>
              <w:spacing w:after="0"/>
              <w:rPr>
                <w:sz w:val="20"/>
                <w:szCs w:val="20"/>
                <w:color w:val="auto"/>
              </w:rPr>
            </w:pPr>
            <w:r>
              <w:rPr>
                <w:rFonts w:ascii="Arial" w:cs="Arial" w:eastAsia="Arial" w:hAnsi="Arial"/>
                <w:sz w:val="18"/>
                <w:szCs w:val="18"/>
                <w:color w:val="auto"/>
              </w:rPr>
              <w:t>4.</w:t>
            </w: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12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00" w:type="dxa"/>
            <w:vAlign w:val="bottom"/>
          </w:tcPr>
          <w:p>
            <w:pPr>
              <w:ind w:left="4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2"/>
        </w:trPr>
        <w:tc>
          <w:tcPr>
            <w:tcW w:w="1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00" w:type="dxa"/>
            <w:vAlign w:val="bottom"/>
            <w:vMerge w:val="restart"/>
          </w:tcPr>
          <w:p>
            <w:pPr>
              <w:jc w:val="center"/>
              <w:ind w:right="5330"/>
              <w:spacing w:after="0"/>
              <w:rPr>
                <w:sz w:val="20"/>
                <w:szCs w:val="20"/>
                <w:color w:val="auto"/>
              </w:rPr>
            </w:pPr>
            <w:r>
              <w:rPr>
                <w:rFonts w:ascii="Arial" w:cs="Arial" w:eastAsia="Arial" w:hAnsi="Arial"/>
                <w:sz w:val="18"/>
                <w:szCs w:val="18"/>
                <w:b w:val="1"/>
                <w:bCs w:val="1"/>
                <w:color w:val="auto"/>
                <w:w w:val="86"/>
              </w:rPr>
              <w:t>1,368,116 shares</w:t>
            </w:r>
          </w:p>
        </w:tc>
        <w:tc>
          <w:tcPr>
            <w:tcW w:w="0" w:type="dxa"/>
            <w:vAlign w:val="bottom"/>
          </w:tcPr>
          <w:p>
            <w:pPr>
              <w:spacing w:after="0"/>
              <w:rPr>
                <w:sz w:val="1"/>
                <w:szCs w:val="1"/>
                <w:color w:val="auto"/>
              </w:rPr>
            </w:pPr>
          </w:p>
        </w:tc>
      </w:tr>
      <w:tr>
        <w:trPr>
          <w:trHeight w:val="109"/>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8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7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line="171" w:lineRule="exact"/>
              <w:rPr>
                <w:sz w:val="20"/>
                <w:szCs w:val="20"/>
                <w:color w:val="auto"/>
              </w:rPr>
            </w:pPr>
            <w:r>
              <w:rPr>
                <w:rFonts w:ascii="Arial" w:cs="Arial" w:eastAsia="Arial" w:hAnsi="Arial"/>
                <w:sz w:val="18"/>
                <w:szCs w:val="18"/>
                <w:color w:val="auto"/>
              </w:rPr>
              <w:t>Owned by</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7100" w:type="dxa"/>
            <w:vAlign w:val="bottom"/>
            <w:vMerge w:val="restart"/>
          </w:tcPr>
          <w:p>
            <w:pPr>
              <w:jc w:val="center"/>
              <w:ind w:right="535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2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2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60" w:type="dxa"/>
            <w:vAlign w:val="bottom"/>
            <w:tcBorders>
              <w:bottom w:val="single" w:sz="8" w:color="808080"/>
            </w:tcBorders>
          </w:tcPr>
          <w:p>
            <w:pPr>
              <w:spacing w:after="0"/>
              <w:rPr>
                <w:sz w:val="5"/>
                <w:szCs w:val="5"/>
                <w:color w:val="auto"/>
              </w:rPr>
            </w:pPr>
          </w:p>
        </w:tc>
        <w:tc>
          <w:tcPr>
            <w:tcW w:w="71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200" w:type="dxa"/>
            <w:vAlign w:val="bottom"/>
            <w:vMerge w:val="continue"/>
          </w:tcPr>
          <w:p>
            <w:pPr>
              <w:spacing w:after="0"/>
              <w:rPr>
                <w:sz w:val="12"/>
                <w:szCs w:val="12"/>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w w:val="92"/>
              </w:rPr>
              <w:t>Shared Dispositive Power</w:t>
            </w:r>
          </w:p>
        </w:tc>
        <w:tc>
          <w:tcPr>
            <w:tcW w:w="7100" w:type="dxa"/>
            <w:vAlign w:val="bottom"/>
            <w:vMerge w:val="restart"/>
          </w:tcPr>
          <w:p>
            <w:pPr>
              <w:jc w:val="center"/>
              <w:ind w:right="5330"/>
              <w:spacing w:after="0"/>
              <w:rPr>
                <w:sz w:val="20"/>
                <w:szCs w:val="20"/>
                <w:color w:val="auto"/>
              </w:rPr>
            </w:pPr>
            <w:r>
              <w:rPr>
                <w:rFonts w:ascii="Arial" w:cs="Arial" w:eastAsia="Arial" w:hAnsi="Arial"/>
                <w:sz w:val="18"/>
                <w:szCs w:val="18"/>
                <w:b w:val="1"/>
                <w:bCs w:val="1"/>
                <w:color w:val="auto"/>
                <w:w w:val="86"/>
              </w:rPr>
              <w:t>1,368,116 shares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-1118235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-1118235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-818515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-818515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-518160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-518160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-217805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-217805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 w:lineRule="exact"/>
        <w:rPr>
          <w:sz w:val="20"/>
          <w:szCs w:val="20"/>
          <w:color w:val="auto"/>
        </w:rPr>
      </w:pPr>
    </w:p>
    <w:p>
      <w:pPr>
        <w:ind w:left="1340" w:hanging="819"/>
        <w:spacing w:after="0"/>
        <w:tabs>
          <w:tab w:leader="none" w:pos="134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1,368,116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-356870</wp:posOffset>
            </wp:positionV>
            <wp:extent cx="719899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80010</wp:posOffset>
            </wp:positionV>
            <wp:extent cx="719899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197" w:lineRule="exact"/>
        <w:rPr>
          <w:sz w:val="20"/>
          <w:szCs w:val="20"/>
          <w:color w:val="auto"/>
        </w:rPr>
      </w:pPr>
    </w:p>
    <w:p>
      <w:pPr>
        <w:ind w:left="1340"/>
        <w:spacing w:after="0" w:line="207" w:lineRule="exact"/>
        <w:tabs>
          <w:tab w:leader="none" w:pos="7000" w:val="left"/>
        </w:tabs>
        <w:rPr>
          <w:sz w:val="20"/>
          <w:szCs w:val="20"/>
          <w:color w:val="auto"/>
        </w:rPr>
      </w:pPr>
      <w:r>
        <w:rPr>
          <w:rFonts w:ascii="Arial" w:cs="Arial" w:eastAsia="Arial" w:hAnsi="Arial"/>
          <w:sz w:val="18"/>
          <w:szCs w:val="18"/>
          <w:color w:val="auto"/>
        </w:rPr>
        <w:t>Check if the Aggregate Amount in Row (9) Excludes</w:t>
      </w:r>
      <w:r>
        <w:rPr>
          <w:sz w:val="20"/>
          <w:szCs w:val="20"/>
          <w:color w:val="auto"/>
        </w:rPr>
        <w:tab/>
      </w:r>
      <w:r>
        <w:rPr>
          <w:rFonts w:ascii="MS PGothic" w:cs="MS PGothic" w:eastAsia="MS PGothic" w:hAnsi="MS PGothic"/>
          <w:sz w:val="16"/>
          <w:szCs w:val="16"/>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6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6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60" w:type="dxa"/>
            <w:vAlign w:val="bottom"/>
          </w:tcPr>
          <w:p>
            <w:pPr>
              <w:ind w:left="300"/>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PN (Limited Partnership)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-1367155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-1367155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-929640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-929640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-492760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-492760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ALCOBRA LTD. (the “Issuer”).</w:t>
      </w:r>
    </w:p>
    <w:p>
      <w:pPr>
        <w:spacing w:after="0" w:line="23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Address of the Issuer’s Principal Executive Offices: </w:t>
      </w:r>
      <w:r>
        <w:rPr>
          <w:rFonts w:ascii="Arial" w:cs="Arial" w:eastAsia="Arial" w:hAnsi="Arial"/>
          <w:sz w:val="18"/>
          <w:szCs w:val="18"/>
          <w:color w:val="auto"/>
        </w:rPr>
        <w:t>Amot Investment Building, 2 Weizman Street, 9</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Tel Aviv 6423902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right="20" w:firstLine="8"/>
        <w:spacing w:after="0" w:line="313" w:lineRule="auto"/>
        <w:tabs>
          <w:tab w:leader="none" w:pos="258"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Name of Person Filing: </w:t>
      </w:r>
      <w:r>
        <w:rPr>
          <w:rFonts w:ascii="Arial" w:cs="Arial" w:eastAsia="Arial" w:hAnsi="Arial"/>
          <w:sz w:val="17"/>
          <w:szCs w:val="17"/>
          <w:color w:val="auto"/>
        </w:rPr>
        <w:t>This joint statement on Schedule 13G is being filed by Peter Kolchinsky, RA Capital Management, LLC (“Capital”), and RA</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Healthcare Fund, L.P. (the “Fund”). Mr. Kolchinsky, Capital and the Fund are collectively referred to herein as the “Reporting Persons.”</w:t>
      </w:r>
    </w:p>
    <w:p>
      <w:pPr>
        <w:spacing w:after="0" w:line="138" w:lineRule="exact"/>
        <w:rPr>
          <w:rFonts w:ascii="Arial" w:cs="Arial" w:eastAsia="Arial" w:hAnsi="Arial"/>
          <w:sz w:val="17"/>
          <w:szCs w:val="17"/>
          <w:color w:val="auto"/>
        </w:rPr>
      </w:pPr>
    </w:p>
    <w:p>
      <w:pPr>
        <w:ind w:firstLine="8"/>
        <w:spacing w:after="0" w:line="282"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RA Capital Management, LLC, 20 Park Plaza, Suite</w:t>
      </w:r>
      <w:r>
        <w:rPr>
          <w:rFonts w:ascii="Arial" w:cs="Arial" w:eastAsia="Arial" w:hAnsi="Arial"/>
          <w:sz w:val="18"/>
          <w:szCs w:val="18"/>
          <w:b w:val="1"/>
          <w:bCs w:val="1"/>
          <w:color w:val="auto"/>
        </w:rPr>
        <w:t xml:space="preserve"> </w:t>
      </w:r>
      <w:r>
        <w:rPr>
          <w:rFonts w:ascii="Arial" w:cs="Arial" w:eastAsia="Arial" w:hAnsi="Arial"/>
          <w:sz w:val="18"/>
          <w:szCs w:val="18"/>
          <w:color w:val="auto"/>
        </w:rPr>
        <w:t>1200, Boston, MA 02116.</w:t>
      </w:r>
    </w:p>
    <w:p>
      <w:pPr>
        <w:spacing w:after="0" w:line="161"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Capital is a Massachusetts limited liability company. The Fund is a Delaware limited partnership. Mr. Kolchinsky is a United States citizen.</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Ordinary Shares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M2239P109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RA Capital Management, LLC – 1,660,594 shares</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Peter Kolchinsky – 1,660,594 shares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RA Capital Healthcare Fund, L.P. – 1,368,116 shares</w:t>
      </w:r>
    </w:p>
    <w:p>
      <w:pPr>
        <w:spacing w:after="0" w:line="211" w:lineRule="exact"/>
        <w:rPr>
          <w:sz w:val="20"/>
          <w:szCs w:val="20"/>
          <w:color w:val="auto"/>
        </w:rPr>
      </w:pPr>
    </w:p>
    <w:p>
      <w:pPr>
        <w:ind w:left="700" w:hanging="69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RA Capital Management, LLC – 8.2%</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Peter Kolchinsky – 8.2%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RA Capital Healthcare Fund, L.P.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p>
      <w:pPr>
        <w:spacing w:after="0" w:line="200" w:lineRule="exact"/>
        <w:rPr>
          <w:sz w:val="20"/>
          <w:szCs w:val="20"/>
          <w:color w:val="auto"/>
        </w:rPr>
      </w:pPr>
    </w:p>
    <w:p>
      <w:pPr>
        <w:spacing w:after="0" w:line="245" w:lineRule="exact"/>
        <w:rPr>
          <w:sz w:val="20"/>
          <w:szCs w:val="20"/>
          <w:color w:val="auto"/>
        </w:rPr>
      </w:pPr>
    </w:p>
    <w:p>
      <w:pPr>
        <w:ind w:left="620" w:hanging="612"/>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440" w:hanging="830"/>
        <w:spacing w:after="0"/>
        <w:tabs>
          <w:tab w:leader="none" w:pos="1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Management, LLC - 0 shares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Peter Kolchinsky - 0 shares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Healthcare Fund, L.P. - 0 shares</w:t>
      </w:r>
    </w:p>
    <w:p>
      <w:pPr>
        <w:spacing w:after="0" w:line="211" w:lineRule="exact"/>
        <w:rPr>
          <w:sz w:val="20"/>
          <w:szCs w:val="20"/>
          <w:color w:val="auto"/>
        </w:rPr>
      </w:pPr>
    </w:p>
    <w:p>
      <w:pPr>
        <w:ind w:left="1440" w:hanging="830"/>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Management, LLC – 1,660,594 shares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Peter Kolchinsky – 1,660,594 shares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Healthcare Fund, L.P. – 1,368,116 shares</w:t>
      </w:r>
    </w:p>
    <w:p>
      <w:pPr>
        <w:spacing w:after="0" w:line="211" w:lineRule="exact"/>
        <w:rPr>
          <w:sz w:val="20"/>
          <w:szCs w:val="20"/>
          <w:color w:val="auto"/>
        </w:rPr>
      </w:pPr>
    </w:p>
    <w:p>
      <w:pPr>
        <w:ind w:left="1440" w:hanging="830"/>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Management, LLC - 0 shares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Peter Kolchinsky - 0 shares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Healthcare Fund, L.P. - 0 shares</w:t>
      </w:r>
    </w:p>
    <w:p>
      <w:pPr>
        <w:spacing w:after="0" w:line="211" w:lineRule="exact"/>
        <w:rPr>
          <w:sz w:val="20"/>
          <w:szCs w:val="20"/>
          <w:color w:val="auto"/>
        </w:rPr>
      </w:pPr>
    </w:p>
    <w:p>
      <w:pPr>
        <w:ind w:left="1440" w:hanging="830"/>
        <w:spacing w:after="0"/>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Management, LLC – 1,660,594 shares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Peter Kolchinsky – 1,660,594 shares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Healthcare Fund, L.P. – 1,368,116 shares</w:t>
      </w:r>
    </w:p>
    <w:p>
      <w:pPr>
        <w:spacing w:after="0" w:line="211" w:lineRule="exact"/>
        <w:rPr>
          <w:sz w:val="20"/>
          <w:szCs w:val="20"/>
          <w:color w:val="auto"/>
        </w:rPr>
      </w:pPr>
    </w:p>
    <w:p>
      <w:pPr>
        <w:ind w:firstLine="656"/>
        <w:spacing w:after="0" w:line="288" w:lineRule="auto"/>
        <w:tabs>
          <w:tab w:leader="none" w:pos="873"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 Capital Management, LLC (“Capital”) is the general partner of RA Capital Healthcare Fund, L.P. (the “Fund”) and serves as investment adviser for a separately managed account (the “Account”). Peter Kolchinsky is the manager of Capital. Mr. Kolchinsky, Capital and the Fund are referred to herein collectively as the “Reporting Persons.” As the investment adviser to the Fund and the Account, Capital may be deemed a beneficial owner, for purposes of Section 13(d) of the Securities Exchange Act of 1934 (the “Act”), of any securities of the Issuer owned by the Fund or the Account. As the manager of Capital, Mr. Kolchinsky may be deemed a beneficial owner, for purposes of Section 13(d) of the Act, of any securities of the Issuer beneficially owned by Capital. Capital is a registered investment adviser within the meaning of Rule 13d-1(b)(1)(ii)(E) and Rule 16a-1(a)(v), and Mr. Kolchinsky is a parent or control person of Capital within the meaning of Rule 13d-1(b)(1)(ii)(G) and Rule 16a-1(a)(1)(vii). Capital and Mr. Kolchinsky disclaim beneficial ownership of the securities reported in this Schedule 13G Statement (the “Statement”) and this Amendment other than for the purpose of determining their obligations under Section 13(d) of the Act, and neither the filing of the Statement nor the filing of this Amendment shall not be deemed an admission that either Capital or Mr. Kolchinsky is or was the beneficial owner of such securities for any other purpose.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688"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hereby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July 6, 2015</w:t>
      </w:r>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Peter Kolchinsky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Joint Filing Agreement, dated as of July 6, 2015, is by and among RA Capital Management, LLC, Peter Kolchinsky, and RA Capital Healthcare Fund, L.P. (the foregoing are collectively referred to herein as the “Filers”).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13G and/or 13D with respect to Ordinary Shares of ALCOBRA LTD. beneficially owned by them from time to time.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Peter Kolchinsky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lvl w:ilvl="1">
      <w:lvlJc w:val="left"/>
      <w:lvlText w:val="(%2)"/>
      <w:numFmt w:val="lowerLetter"/>
      <w:start w:val="1"/>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2"/>
    </w:lvl>
    <w:lvl w:ilvl="1">
      <w:lvlJc w:val="left"/>
      <w:lvlText w:val="(%2)"/>
      <w:numFmt w:val="lowerLetter"/>
      <w:start w:val="1"/>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2"/>
    </w:lvl>
    <w:lvl w:ilvl="1">
      <w:lvlJc w:val="left"/>
      <w:lvlText w:val="(%2)"/>
      <w:numFmt w:val="lowerLetter"/>
      <w:start w:val="1"/>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lowerLetter"/>
      <w:start w:val="3"/>
    </w:lvl>
    <w:lvl w:ilvl="1">
      <w:lvlJc w:val="left"/>
      <w:lvlText w:val="(%2)"/>
      <w:numFmt w:val="lowerLetter"/>
      <w:start w:val="9"/>
    </w:lvl>
  </w:abstractNum>
  <w:abstractNum w:abstractNumId="17">
    <w:nsid w:val="257130A3"/>
    <w:multiLevelType w:val="hybridMultilevel"/>
    <w:lvl w:ilvl="0">
      <w:lvlJc w:val="left"/>
      <w:lvlText w:val="(%1)"/>
      <w:numFmt w:val="lowerRoman"/>
      <w:start w:val="2"/>
    </w:lvl>
  </w:abstractNum>
  <w:abstractNum w:abstractNumId="18">
    <w:nsid w:val="62BBD95A"/>
    <w:multiLevelType w:val="hybridMultilevel"/>
    <w:lvl w:ilvl="0">
      <w:lvlJc w:val="left"/>
      <w:lvlText w:val="(%1)"/>
      <w:numFmt w:val="lowerRoman"/>
      <w:start w:val="3"/>
    </w:lvl>
  </w:abstractNum>
  <w:abstractNum w:abstractNumId="19">
    <w:nsid w:val="436C6125"/>
    <w:multiLevelType w:val="hybridMultilevel"/>
    <w:lvl w:ilvl="0">
      <w:lvlJc w:val="left"/>
      <w:lvlText w:val="(%1)"/>
      <w:numFmt w:val="lowerRoman"/>
      <w:start w:val="4"/>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2019-12-17T07:27:32Z</dcterms:created>
  <dcterms:modified xsi:type="dcterms:W3CDTF">2019-12-17T07:27:32Z</dcterms:modified>
</cp:coreProperties>
</file>