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April 25, 2013</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158115</wp:posOffset>
            </wp:positionV>
            <wp:extent cx="1815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jc w:val="center"/>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Alcobra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p>
      <w:pPr>
        <w:spacing w:after="0" w:line="200" w:lineRule="exact"/>
        <w:rPr>
          <w:sz w:val="24"/>
          <w:szCs w:val="24"/>
          <w:color w:val="auto"/>
        </w:rPr>
      </w:pPr>
    </w:p>
    <w:p>
      <w:pPr>
        <w:spacing w:after="0" w:line="295"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040" w:type="dxa"/>
            <w:vAlign w:val="bottom"/>
          </w:tcPr>
          <w:p>
            <w:pPr>
              <w:jc w:val="center"/>
              <w:ind w:right="980"/>
              <w:spacing w:after="0"/>
              <w:rPr>
                <w:sz w:val="20"/>
                <w:szCs w:val="20"/>
                <w:color w:val="auto"/>
              </w:rPr>
            </w:pPr>
            <w:r>
              <w:rPr>
                <w:rFonts w:ascii="Arial" w:cs="Arial" w:eastAsia="Arial" w:hAnsi="Arial"/>
                <w:sz w:val="16"/>
                <w:szCs w:val="16"/>
                <w:b w:val="1"/>
                <w:bCs w:val="1"/>
                <w:color w:val="auto"/>
                <w:w w:val="89"/>
              </w:rPr>
              <w:t>State of Israel</w:t>
            </w:r>
          </w:p>
        </w:tc>
        <w:tc>
          <w:tcPr>
            <w:tcW w:w="296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w:t>
            </w:r>
          </w:p>
        </w:tc>
      </w:tr>
      <w:tr>
        <w:trPr>
          <w:trHeight w:val="192"/>
        </w:trPr>
        <w:tc>
          <w:tcPr>
            <w:tcW w:w="3040" w:type="dxa"/>
            <w:vAlign w:val="bottom"/>
          </w:tcPr>
          <w:p>
            <w:pPr>
              <w:jc w:val="center"/>
              <w:ind w:right="960"/>
              <w:spacing w:after="0"/>
              <w:rPr>
                <w:sz w:val="20"/>
                <w:szCs w:val="20"/>
                <w:color w:val="auto"/>
              </w:rPr>
            </w:pPr>
            <w:r>
              <w:rPr>
                <w:rFonts w:ascii="Arial" w:cs="Arial" w:eastAsia="Arial" w:hAnsi="Arial"/>
                <w:sz w:val="16"/>
                <w:szCs w:val="16"/>
                <w:i w:val="1"/>
                <w:iCs w:val="1"/>
                <w:color w:val="auto"/>
                <w:w w:val="93"/>
              </w:rPr>
              <w:t>(State or other jurisdiction of</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4"/>
              </w:rPr>
              <w:t>(Primary Standard Industrial</w:t>
            </w:r>
          </w:p>
        </w:tc>
      </w:tr>
      <w:tr>
        <w:trPr>
          <w:trHeight w:val="205"/>
        </w:trPr>
        <w:tc>
          <w:tcPr>
            <w:tcW w:w="3040" w:type="dxa"/>
            <w:vAlign w:val="bottom"/>
          </w:tcPr>
          <w:p>
            <w:pPr>
              <w:jc w:val="center"/>
              <w:ind w:right="980"/>
              <w:spacing w:after="0"/>
              <w:rPr>
                <w:sz w:val="20"/>
                <w:szCs w:val="20"/>
                <w:color w:val="auto"/>
              </w:rPr>
            </w:pPr>
            <w:r>
              <w:rPr>
                <w:rFonts w:ascii="Arial" w:cs="Arial" w:eastAsia="Arial" w:hAnsi="Arial"/>
                <w:sz w:val="16"/>
                <w:szCs w:val="16"/>
                <w:i w:val="1"/>
                <w:iCs w:val="1"/>
                <w:color w:val="auto"/>
                <w:w w:val="95"/>
              </w:rPr>
              <w:t>incorporation or organization)</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2"/>
              </w:rPr>
              <w:t>Classification Code Number)</w:t>
            </w:r>
          </w:p>
        </w:tc>
      </w:tr>
    </w:tbl>
    <w:p>
      <w:pPr>
        <w:spacing w:after="0" w:line="17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Dr. Yaron Daniely</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Alcobra Ltd.</w:t>
      </w:r>
    </w:p>
    <w:p>
      <w:pPr>
        <w:spacing w:after="0" w:line="8"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35 Ehad Ha-Am Street</w:t>
      </w:r>
    </w:p>
    <w:p>
      <w:pPr>
        <w:jc w:val="center"/>
        <w:ind w:right="1040"/>
        <w:spacing w:after="0" w:line="191"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ind w:right="1000"/>
        <w:spacing w:after="0"/>
        <w:rPr>
          <w:sz w:val="20"/>
          <w:szCs w:val="20"/>
          <w:color w:val="auto"/>
        </w:rPr>
      </w:pPr>
      <w:r>
        <w:rPr>
          <w:rFonts w:ascii="Arial" w:cs="Arial" w:eastAsia="Arial" w:hAnsi="Arial"/>
          <w:sz w:val="16"/>
          <w:szCs w:val="16"/>
          <w:b w:val="1"/>
          <w:bCs w:val="1"/>
          <w:color w:val="auto"/>
        </w:rPr>
        <w:t>Tel-Aviv, Israel 65202</w:t>
      </w: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Tel: +972.72.220.4661</w:t>
      </w:r>
    </w:p>
    <w:p>
      <w:pPr>
        <w:spacing w:after="0" w:line="8" w:lineRule="exact"/>
        <w:rPr>
          <w:sz w:val="24"/>
          <w:szCs w:val="24"/>
          <w:color w:val="auto"/>
        </w:rPr>
      </w:pPr>
    </w:p>
    <w:p>
      <w:pPr>
        <w:ind w:left="1140" w:right="1560" w:firstLine="43"/>
        <w:spacing w:after="0" w:line="333" w:lineRule="auto"/>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-8255</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left="-93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left="-939"/>
        <w:spacing w:after="0"/>
        <w:rPr>
          <w:sz w:val="20"/>
          <w:szCs w:val="20"/>
          <w:color w:val="auto"/>
        </w:rPr>
      </w:pPr>
      <w:r>
        <w:rPr>
          <w:rFonts w:ascii="Arial" w:cs="Arial" w:eastAsia="Arial" w:hAnsi="Arial"/>
          <w:sz w:val="16"/>
          <w:szCs w:val="16"/>
          <w:i w:val="1"/>
          <w:iCs w:val="1"/>
          <w:color w:val="auto"/>
        </w:rPr>
        <w:t>(I.R.S. Employer</w:t>
      </w:r>
    </w:p>
    <w:p>
      <w:pPr>
        <w:spacing w:after="0" w:line="8" w:lineRule="exact"/>
        <w:rPr>
          <w:sz w:val="24"/>
          <w:szCs w:val="24"/>
          <w:color w:val="auto"/>
        </w:rPr>
      </w:pPr>
    </w:p>
    <w:p>
      <w:pPr>
        <w:jc w:val="center"/>
        <w:ind w:left="-939"/>
        <w:spacing w:after="0"/>
        <w:rPr>
          <w:sz w:val="20"/>
          <w:szCs w:val="20"/>
          <w:color w:val="auto"/>
        </w:rPr>
      </w:pPr>
      <w:r>
        <w:rPr>
          <w:rFonts w:ascii="Arial" w:cs="Arial" w:eastAsia="Arial" w:hAnsi="Arial"/>
          <w:sz w:val="15"/>
          <w:szCs w:val="15"/>
          <w:i w:val="1"/>
          <w:iCs w:val="1"/>
          <w:color w:val="auto"/>
        </w:rPr>
        <w:t>Identification Number)</w:t>
      </w:r>
    </w:p>
    <w:p>
      <w:pPr>
        <w:spacing w:after="0" w:line="19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Zysman, Aharoni, Gayer &amp;</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Sullivan &amp; Worcester LLP</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1633 Broadway</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New York, NY 10019</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Tel: 212.660.3000</w:t>
      </w:r>
    </w:p>
    <w:p>
      <w:pPr>
        <w:spacing w:after="0" w:line="8" w:lineRule="exact"/>
        <w:rPr>
          <w:sz w:val="24"/>
          <w:szCs w:val="24"/>
          <w:color w:val="auto"/>
        </w:rPr>
      </w:pPr>
    </w:p>
    <w:p>
      <w:pPr>
        <w:ind w:left="300" w:right="980" w:hanging="305"/>
        <w:spacing w:after="0" w:line="333" w:lineRule="auto"/>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428" w:lineRule="exact"/>
        <w:rPr>
          <w:sz w:val="24"/>
          <w:szCs w:val="24"/>
          <w:color w:val="auto"/>
        </w:rPr>
      </w:pPr>
    </w:p>
    <w:p>
      <w:pPr>
        <w:sectPr>
          <w:pgSz w:w="11900" w:h="16838" w:orient="portrait"/>
          <w:cols w:equalWidth="0" w:num="2">
            <w:col w:w="6720" w:space="240"/>
            <w:col w:w="4480"/>
          </w:cols>
          <w:pgMar w:left="240" w:top="435" w:right="219" w:bottom="1440" w:gutter="0" w:footer="0" w:header="0"/>
          <w:type w:val="continuous"/>
        </w:sectPr>
      </w:pPr>
    </w:p>
    <w:p>
      <w:pPr>
        <w:spacing w:after="0" w:line="37" w:lineRule="exact"/>
        <w:rPr>
          <w:sz w:val="24"/>
          <w:szCs w:val="24"/>
          <w:color w:val="auto"/>
        </w:rPr>
      </w:pPr>
    </w:p>
    <w:tbl>
      <w:tblPr>
        <w:tblLayout w:type="fixed"/>
        <w:tblInd w:w="70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b w:val="1"/>
                <w:bCs w:val="1"/>
                <w:i w:val="1"/>
                <w:iCs w:val="1"/>
                <w:color w:val="auto"/>
              </w:rPr>
              <w:t>Copies to:</w:t>
            </w:r>
          </w:p>
        </w:tc>
        <w:tc>
          <w:tcPr>
            <w:tcW w:w="2060" w:type="dxa"/>
            <w:vAlign w:val="bottom"/>
          </w:tcPr>
          <w:p>
            <w:pPr>
              <w:spacing w:after="0"/>
              <w:rPr>
                <w:sz w:val="16"/>
                <w:szCs w:val="16"/>
                <w:color w:val="auto"/>
              </w:rPr>
            </w:pP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6"/>
              </w:rPr>
              <w:t>Edwin L. Miller Jr.</w:t>
            </w:r>
          </w:p>
        </w:tc>
        <w:tc>
          <w:tcPr>
            <w:tcW w:w="2700" w:type="dxa"/>
            <w:vAlign w:val="bottom"/>
          </w:tcPr>
          <w:p>
            <w:pPr>
              <w:jc w:val="center"/>
              <w:ind w:left="440"/>
              <w:spacing w:after="0"/>
              <w:rPr>
                <w:sz w:val="20"/>
                <w:szCs w:val="20"/>
                <w:color w:val="auto"/>
              </w:rPr>
            </w:pPr>
            <w:r>
              <w:rPr>
                <w:rFonts w:ascii="Arial" w:cs="Arial" w:eastAsia="Arial" w:hAnsi="Arial"/>
                <w:sz w:val="16"/>
                <w:szCs w:val="16"/>
                <w:b w:val="1"/>
                <w:bCs w:val="1"/>
                <w:color w:val="auto"/>
                <w:w w:val="94"/>
              </w:rPr>
              <w:t>Eran Ben-Dor</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5"/>
              </w:rPr>
              <w:t>Henry I. Rothman</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Barry Levenfeld</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3"/>
              </w:rPr>
              <w:t>Oded Har-Even</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Zysman, Aharoni, Gayer &amp; Co.</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87"/>
              </w:rPr>
              <w:t>Joseph Walsh</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0"/>
              </w:rPr>
              <w:t>Eric Spindel</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Shy S. Baranov</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0"/>
              </w:rPr>
              <w:t>41-45 Rothschild Blvd.</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3"/>
              </w:rPr>
              <w:t>Troutman Sanders LLP</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4"/>
              </w:rPr>
              <w:t>Yigal Arnon &amp; Co.</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rPr>
              <w:t>ZAG/S&amp;W LLP</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Beit Zion</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2"/>
              </w:rPr>
              <w:t>The Chrysler Building</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1 Azrieli Center</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1633 Broadway</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Tel-Aviv, Israel 65784</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89"/>
              </w:rPr>
              <w:t>405 Lexington Avenue</w:t>
            </w:r>
          </w:p>
        </w:tc>
        <w:tc>
          <w:tcPr>
            <w:tcW w:w="2060" w:type="dxa"/>
            <w:vAlign w:val="bottom"/>
          </w:tcPr>
          <w:p>
            <w:pPr>
              <w:jc w:val="center"/>
              <w:ind w:left="540"/>
              <w:spacing w:after="0"/>
              <w:rPr>
                <w:sz w:val="20"/>
                <w:szCs w:val="20"/>
                <w:color w:val="auto"/>
              </w:rPr>
            </w:pPr>
            <w:r>
              <w:rPr>
                <w:rFonts w:ascii="Arial" w:cs="Arial" w:eastAsia="Arial" w:hAnsi="Arial"/>
                <w:sz w:val="16"/>
                <w:szCs w:val="16"/>
                <w:b w:val="1"/>
                <w:bCs w:val="1"/>
                <w:color w:val="auto"/>
                <w:w w:val="92"/>
              </w:rPr>
              <w:t>Tel-Aviv, Israel</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4"/>
              </w:rPr>
              <w:t>New York, NY 10019</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 +972.3.795.5555</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4"/>
              </w:rPr>
              <w:t>New York, NY 10174</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1"/>
              </w:rPr>
              <w:t>Tel: +972.3.608.7868</w:t>
            </w:r>
          </w:p>
        </w:tc>
      </w:tr>
      <w:tr>
        <w:trPr>
          <w:trHeight w:val="209"/>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Tel: 212.660.3000</w:t>
            </w:r>
          </w:p>
        </w:tc>
        <w:tc>
          <w:tcPr>
            <w:tcW w:w="2700" w:type="dxa"/>
            <w:vAlign w:val="bottom"/>
          </w:tcPr>
          <w:p>
            <w:pPr>
              <w:spacing w:after="0"/>
              <w:rPr>
                <w:sz w:val="18"/>
                <w:szCs w:val="18"/>
                <w:color w:val="auto"/>
              </w:rPr>
            </w:pP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0"/>
              </w:rPr>
              <w:t>Tel: 212.704.6000</w:t>
            </w:r>
          </w:p>
        </w:tc>
        <w:tc>
          <w:tcPr>
            <w:tcW w:w="2060" w:type="dxa"/>
            <w:vAlign w:val="bottom"/>
          </w:tcPr>
          <w:p>
            <w:pPr>
              <w:spacing w:after="0"/>
              <w:rPr>
                <w:sz w:val="18"/>
                <w:szCs w:val="18"/>
                <w:color w:val="auto"/>
              </w:rPr>
            </w:pPr>
          </w:p>
        </w:tc>
      </w:tr>
    </w:tbl>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4"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check the following box. o 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ind w:right="20"/>
        <w:spacing w:after="0" w:line="250"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363855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type w:val="continuous"/>
        </w:sectPr>
      </w:pPr>
    </w:p>
    <w:bookmarkStart w:id="1" w:name="page2"/>
    <w:bookmarkEnd w:id="1"/>
    <w:p>
      <w:pPr>
        <w:jc w:val="both"/>
        <w:ind w:right="260"/>
        <w:spacing w:after="0" w:line="32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2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5" w:lineRule="exact"/>
        <w:rPr>
          <w:sz w:val="20"/>
          <w:szCs w:val="20"/>
          <w:color w:val="auto"/>
        </w:rPr>
      </w:pPr>
    </w:p>
    <w:p>
      <w:pPr>
        <w:spacing w:after="0"/>
        <w:tabs>
          <w:tab w:leader="none" w:pos="3860" w:val="left"/>
          <w:tab w:leader="none" w:pos="7640" w:val="left"/>
        </w:tabs>
        <w:rPr>
          <w:sz w:val="20"/>
          <w:szCs w:val="20"/>
          <w:color w:val="auto"/>
        </w:rPr>
      </w:pPr>
      <w:r>
        <w:rPr>
          <w:rFonts w:ascii="Arial" w:cs="Arial" w:eastAsia="Arial" w:hAnsi="Arial"/>
          <w:sz w:val="16"/>
          <w:szCs w:val="16"/>
          <w:b w:val="1"/>
          <w:bCs w:val="1"/>
          <w:color w:val="C00000"/>
        </w:rPr>
        <w:t>PRELIMINARY PROSPECTUS</w:t>
      </w:r>
      <w:r>
        <w:rPr>
          <w:sz w:val="20"/>
          <w:szCs w:val="20"/>
          <w:color w:val="auto"/>
        </w:rPr>
        <w:tab/>
      </w:r>
      <w:r>
        <w:rPr>
          <w:rFonts w:ascii="Arial" w:cs="Arial" w:eastAsia="Arial" w:hAnsi="Arial"/>
          <w:sz w:val="16"/>
          <w:szCs w:val="16"/>
          <w:b w:val="1"/>
          <w:bCs w:val="1"/>
          <w:color w:val="C00000"/>
        </w:rPr>
        <w:t>SUBJECT TO COMPLETION</w:t>
      </w:r>
      <w:r>
        <w:rPr>
          <w:sz w:val="20"/>
          <w:szCs w:val="20"/>
          <w:color w:val="auto"/>
        </w:rPr>
        <w:tab/>
      </w:r>
      <w:r>
        <w:rPr>
          <w:rFonts w:ascii="Arial" w:cs="Arial" w:eastAsia="Arial" w:hAnsi="Arial"/>
          <w:sz w:val="15"/>
          <w:szCs w:val="15"/>
          <w:b w:val="1"/>
          <w:bCs w:val="1"/>
          <w:color w:val="C00000"/>
        </w:rPr>
        <w:t>DATED APRIL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1,365,000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218440</wp:posOffset>
            </wp:positionV>
            <wp:extent cx="1296670" cy="396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667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Alcobra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Alcobra Ltd. is offering its ordinary shares in an initial public offering. No public market currently exists for our ordinary shares. The estimated initial public offering price is between $10 and $12 per share.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applied to list our ordinary shares on The NASDAQ Capital Market under the symbol “ADHD”.</w:t>
      </w:r>
    </w:p>
    <w:p>
      <w:pPr>
        <w:spacing w:after="0" w:line="20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will be subject to reduced public company reporting requirements.</w:t>
      </w:r>
    </w:p>
    <w:p>
      <w:pPr>
        <w:spacing w:after="0" w:line="148"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44"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040" w:type="dxa"/>
            <w:vAlign w:val="bottom"/>
          </w:tcPr>
          <w:p>
            <w:pPr>
              <w:spacing w:after="0"/>
              <w:rPr>
                <w:sz w:val="16"/>
                <w:szCs w:val="16"/>
                <w:color w:val="auto"/>
              </w:rPr>
            </w:pPr>
          </w:p>
        </w:tc>
        <w:tc>
          <w:tcPr>
            <w:tcW w:w="1440" w:type="dxa"/>
            <w:vAlign w:val="bottom"/>
            <w:tcBorders>
              <w:top w:val="single" w:sz="8" w:color="auto"/>
            </w:tcBorders>
          </w:tcPr>
          <w:p>
            <w:pPr>
              <w:jc w:val="right"/>
              <w:ind w:right="128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2"/>
        </w:trPr>
        <w:tc>
          <w:tcPr>
            <w:tcW w:w="47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w:t>
            </w:r>
          </w:p>
        </w:tc>
        <w:tc>
          <w:tcPr>
            <w:tcW w:w="3480" w:type="dxa"/>
            <w:vAlign w:val="bottom"/>
            <w:gridSpan w:val="2"/>
            <w:shd w:val="clear" w:color="auto" w:fill="CCFFCC"/>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FFCC"/>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480" w:type="dxa"/>
            <w:vAlign w:val="bottom"/>
            <w:gridSpan w:val="2"/>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16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The underwriters will receive compensation in addition to the underwriting discounts and commissions. See “Underwriting” for a description of compensation payable to the underwriters.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a 45-day option to the underwriters to purchase up to 204,750 additional ordinary shares solely to cover over-allotments, if any.</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700" w:type="dxa"/>
            <w:vAlign w:val="bottom"/>
          </w:tcPr>
          <w:p>
            <w:pPr>
              <w:spacing w:after="0"/>
              <w:rPr>
                <w:sz w:val="20"/>
                <w:szCs w:val="20"/>
                <w:color w:val="auto"/>
              </w:rPr>
            </w:pPr>
            <w:r>
              <w:rPr>
                <w:rFonts w:ascii="Arial" w:cs="Arial" w:eastAsia="Arial" w:hAnsi="Arial"/>
                <w:sz w:val="16"/>
                <w:szCs w:val="16"/>
                <w:color w:val="auto"/>
                <w:w w:val="93"/>
              </w:rPr>
              <w:t>The underwriters expect to deliver the shares to purchasers in the offering on or about</w:t>
            </w:r>
          </w:p>
        </w:tc>
        <w:tc>
          <w:tcPr>
            <w:tcW w:w="660" w:type="dxa"/>
            <w:vAlign w:val="bottom"/>
          </w:tcPr>
          <w:p>
            <w:pPr>
              <w:jc w:val="right"/>
              <w:spacing w:after="0"/>
              <w:rPr>
                <w:sz w:val="20"/>
                <w:szCs w:val="20"/>
                <w:color w:val="auto"/>
              </w:rPr>
            </w:pPr>
            <w:r>
              <w:rPr>
                <w:rFonts w:ascii="Arial" w:cs="Arial" w:eastAsia="Arial" w:hAnsi="Arial"/>
                <w:sz w:val="16"/>
                <w:szCs w:val="16"/>
                <w:color w:val="auto"/>
              </w:rPr>
              <w:t>, 2013.</w:t>
            </w: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Aegis Capital Corp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Co-Manager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Sunrise Securities Corp.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4340"/>
              <w:spacing w:after="0"/>
              <w:rPr>
                <w:sz w:val="20"/>
                <w:szCs w:val="20"/>
                <w:color w:val="auto"/>
              </w:rPr>
            </w:pPr>
            <w:r>
              <w:rPr>
                <w:rFonts w:ascii="Arial" w:cs="Arial" w:eastAsia="Arial" w:hAnsi="Arial"/>
                <w:sz w:val="16"/>
                <w:szCs w:val="16"/>
                <w:color w:val="auto"/>
                <w:w w:val="98"/>
              </w:rPr>
              <w:t>The date of this prospectus is</w:t>
            </w:r>
          </w:p>
        </w:tc>
        <w:tc>
          <w:tcPr>
            <w:tcW w:w="5020" w:type="dxa"/>
            <w:vAlign w:val="bottom"/>
          </w:tcPr>
          <w:p>
            <w:pPr>
              <w:jc w:val="right"/>
              <w:ind w:right="4260"/>
              <w:spacing w:after="0"/>
              <w:rPr>
                <w:sz w:val="20"/>
                <w:szCs w:val="20"/>
                <w:color w:val="auto"/>
              </w:rPr>
            </w:pPr>
            <w:r>
              <w:rPr>
                <w:rFonts w:ascii="Arial" w:cs="Arial" w:eastAsia="Arial" w:hAnsi="Arial"/>
                <w:sz w:val="16"/>
                <w:szCs w:val="16"/>
                <w:color w:val="auto"/>
              </w:rPr>
              <w:t>, 2013.</w:t>
            </w:r>
          </w:p>
        </w:tc>
      </w:tr>
      <w:tr>
        <w:trPr>
          <w:trHeight w:val="589"/>
        </w:trPr>
        <w:tc>
          <w:tcPr>
            <w:tcW w:w="6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531495</wp:posOffset>
            </wp:positionV>
            <wp:extent cx="7261860" cy="646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646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878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r>
      <w:tr>
        <w:trPr>
          <w:trHeight w:val="372"/>
        </w:trPr>
        <w:tc>
          <w:tcPr>
            <w:tcW w:w="8780" w:type="dxa"/>
            <w:vAlign w:val="bottom"/>
          </w:tcPr>
          <w:p>
            <w:pPr>
              <w:spacing w:after="0"/>
              <w:rPr>
                <w:sz w:val="24"/>
                <w:szCs w:val="24"/>
                <w:color w:val="auto"/>
              </w:rPr>
            </w:pPr>
          </w:p>
        </w:tc>
        <w:tc>
          <w:tcPr>
            <w:tcW w:w="2660" w:type="dxa"/>
            <w:vAlign w:val="bottom"/>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Prospectus Summary</w:t>
            </w:r>
          </w:p>
        </w:tc>
        <w:tc>
          <w:tcPr>
            <w:tcW w:w="2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Risk Factors</w:t>
            </w:r>
          </w:p>
        </w:tc>
        <w:tc>
          <w:tcPr>
            <w:tcW w:w="2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Use of Proceeds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Dividend Policy</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Capitalization</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Business</w:t>
            </w:r>
          </w:p>
        </w:tc>
        <w:tc>
          <w:tcPr>
            <w:tcW w:w="2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w:t>
            </w:r>
          </w:p>
        </w:tc>
        <w:tc>
          <w:tcPr>
            <w:tcW w:w="2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Principal Shareholders</w:t>
            </w:r>
          </w:p>
        </w:tc>
        <w:tc>
          <w:tcPr>
            <w:tcW w:w="2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Description of Share Capital</w:t>
            </w:r>
          </w:p>
        </w:tc>
        <w:tc>
          <w:tcPr>
            <w:tcW w:w="2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Shares Eligible for Future Sale</w:t>
            </w:r>
          </w:p>
        </w:tc>
        <w:tc>
          <w:tcPr>
            <w:tcW w:w="2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Taxation</w:t>
            </w:r>
          </w:p>
        </w:tc>
        <w:tc>
          <w:tcPr>
            <w:tcW w:w="2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Underwriting</w:t>
            </w:r>
          </w:p>
        </w:tc>
        <w:tc>
          <w:tcPr>
            <w:tcW w:w="2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Expenses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Legal Matters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Experts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Enforceability of Civil Liabilities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2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Index of 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305435</wp:posOffset>
            </wp:positionV>
            <wp:extent cx="2700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00" w:firstLine="357"/>
        <w:spacing w:after="0" w:line="26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Until and including _________, 25 days after the date of this prospectus, all dealers that buy, sell or trade our ordinary shares, whether or not participating in this offering,</w:t>
      </w:r>
    </w:p>
    <w:p>
      <w:pPr>
        <w:spacing w:after="0" w:line="4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may be required to deliver a prospectus. This is in addition to the dealer’s obligation to deliver a prospectus when acting as an underwriter and with respect to unsold allotments or subscriptions.</w:t>
      </w:r>
    </w:p>
    <w:p>
      <w:pPr>
        <w:spacing w:after="0" w:line="164"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171450</wp:posOffset>
            </wp:positionV>
            <wp:extent cx="2700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prospectus, “we,” “us,” “our,” the “Company” and “Alcobra” refer to Alcobra Ltd.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reporting currency and functional currency is the U.S. dollar.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0" w:right="140" w:firstLine="352"/>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Our Company</w:t>
      </w:r>
    </w:p>
    <w:p>
      <w:pPr>
        <w:spacing w:after="0" w:line="204" w:lineRule="exact"/>
        <w:rPr>
          <w:sz w:val="20"/>
          <w:szCs w:val="20"/>
          <w:color w:val="auto"/>
        </w:rPr>
      </w:pPr>
    </w:p>
    <w:p>
      <w:pPr>
        <w:ind w:left="20" w:right="20" w:firstLine="346"/>
        <w:spacing w:after="0" w:line="27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0" w:lineRule="exact"/>
        <w:rPr>
          <w:sz w:val="20"/>
          <w:szCs w:val="20"/>
          <w:color w:val="auto"/>
        </w:rPr>
      </w:pPr>
    </w:p>
    <w:p>
      <w:pPr>
        <w:ind w:left="20" w:right="20" w:firstLine="346"/>
        <w:spacing w:after="0" w:line="254" w:lineRule="auto"/>
        <w:rPr>
          <w:sz w:val="20"/>
          <w:szCs w:val="20"/>
          <w:color w:val="auto"/>
        </w:rPr>
      </w:pPr>
      <w:r>
        <w:rPr>
          <w:rFonts w:ascii="Arial" w:cs="Arial" w:eastAsia="Arial" w:hAnsi="Arial"/>
          <w:sz w:val="16"/>
          <w:szCs w:val="16"/>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2" w:lineRule="exact"/>
        <w:rPr>
          <w:sz w:val="20"/>
          <w:szCs w:val="20"/>
          <w:color w:val="auto"/>
        </w:rPr>
      </w:pPr>
    </w:p>
    <w:p>
      <w:pPr>
        <w:ind w:left="20"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left="20" w:firstLine="346"/>
        <w:spacing w:after="0" w:line="271"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4" w:lineRule="exact"/>
        <w:rPr>
          <w:sz w:val="20"/>
          <w:szCs w:val="20"/>
          <w:color w:val="auto"/>
        </w:rPr>
      </w:pPr>
    </w:p>
    <w:p>
      <w:pPr>
        <w:ind w:left="20" w:firstLine="346"/>
        <w:spacing w:after="0" w:line="256"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left="20" w:firstLine="335"/>
        <w:spacing w:after="0" w:line="278" w:lineRule="auto"/>
        <w:rPr>
          <w:sz w:val="20"/>
          <w:szCs w:val="20"/>
          <w:color w:val="auto"/>
        </w:rPr>
      </w:pPr>
      <w:r>
        <w:rPr>
          <w:rFonts w:ascii="Arial" w:cs="Arial" w:eastAsia="Arial" w:hAnsi="Arial"/>
          <w:sz w:val="15"/>
          <w:szCs w:val="15"/>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20" w:top="82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6"/>
          <w:szCs w:val="16"/>
          <w:color w:val="auto"/>
        </w:rPr>
        <w:t>To achieve these objectives, we plan to:</w:t>
      </w:r>
    </w:p>
    <w:p>
      <w:pPr>
        <w:spacing w:after="0" w:line="200" w:lineRule="exact"/>
        <w:rPr>
          <w:sz w:val="20"/>
          <w:szCs w:val="20"/>
          <w:color w:val="auto"/>
        </w:rPr>
      </w:pPr>
    </w:p>
    <w:p>
      <w:pPr>
        <w:ind w:left="580" w:right="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51" w:lineRule="exact"/>
        <w:rPr>
          <w:rFonts w:ascii="Arial" w:cs="Arial" w:eastAsia="Arial" w:hAnsi="Arial"/>
          <w:sz w:val="16"/>
          <w:szCs w:val="16"/>
          <w:color w:val="A6A6A6"/>
        </w:rPr>
      </w:pPr>
    </w:p>
    <w:p>
      <w:pPr>
        <w:ind w:left="580" w:right="2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51" w:lineRule="exact"/>
        <w:rPr>
          <w:rFonts w:ascii="Arial" w:cs="Arial" w:eastAsia="Arial" w:hAnsi="Arial"/>
          <w:sz w:val="16"/>
          <w:szCs w:val="16"/>
          <w:color w:val="A6A6A6"/>
        </w:rPr>
      </w:pPr>
    </w:p>
    <w:p>
      <w:pPr>
        <w:ind w:left="580" w:right="4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clinical trials in Japan for both adult and pediatric ADHD, and, if successful, file for marketing approval of such uses in that country.</w:t>
      </w:r>
    </w:p>
    <w:p>
      <w:pPr>
        <w:spacing w:after="0" w:line="151"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After receipt of marketing approval, 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4"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We are an Israeli corporation based in Tel Aviv and were incorporated in 2008. Our principal executive offices are located at 65 Rothschild Blvd., Tel 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62" w:lineRule="exact"/>
        <w:rPr>
          <w:sz w:val="20"/>
          <w:szCs w:val="20"/>
          <w:color w:val="auto"/>
        </w:rPr>
      </w:pPr>
    </w:p>
    <w:p>
      <w:pPr>
        <w:ind w:right="120" w:firstLine="360"/>
        <w:spacing w:after="0" w:line="273" w:lineRule="auto"/>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204" w:lineRule="exact"/>
        <w:rPr>
          <w:sz w:val="20"/>
          <w:szCs w:val="20"/>
          <w:color w:val="auto"/>
        </w:rPr>
      </w:pPr>
    </w:p>
    <w:p>
      <w:pPr>
        <w:ind w:right="180" w:firstLine="352"/>
        <w:spacing w:after="0" w:line="277" w:lineRule="auto"/>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 You should read these risks before you invest in our ordinary shares. In particular, our risks include, but are not limited to, the following:</w:t>
      </w:r>
    </w:p>
    <w:p>
      <w:pPr>
        <w:spacing w:after="0" w:line="152" w:lineRule="exact"/>
        <w:rPr>
          <w:sz w:val="20"/>
          <w:szCs w:val="20"/>
          <w:color w:val="auto"/>
        </w:rPr>
      </w:pPr>
    </w:p>
    <w:p>
      <w:pPr>
        <w:ind w:left="580" w:hanging="296"/>
        <w:spacing w:after="0" w:line="278" w:lineRule="auto"/>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54" w:lineRule="exact"/>
        <w:rPr>
          <w:rFonts w:ascii="Arial" w:cs="Arial" w:eastAsia="Arial" w:hAnsi="Arial"/>
          <w:sz w:val="15"/>
          <w:szCs w:val="15"/>
          <w:color w:val="A6A6A6"/>
        </w:rPr>
      </w:pPr>
    </w:p>
    <w:p>
      <w:pPr>
        <w:ind w:left="580" w:hanging="296"/>
        <w:spacing w:after="0"/>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Our data from future clinical trials may not satisfy the FDA, or the FDA may require additional time or studies to assess the safety and efficacy of MG01CI.</w:t>
      </w:r>
    </w:p>
    <w:p>
      <w:pPr>
        <w:spacing w:after="0" w:line="211" w:lineRule="exact"/>
        <w:rPr>
          <w:rFonts w:ascii="Arial" w:cs="Arial" w:eastAsia="Arial" w:hAnsi="Arial"/>
          <w:sz w:val="15"/>
          <w:szCs w:val="15"/>
          <w:color w:val="A6A6A6"/>
        </w:rPr>
      </w:pPr>
    </w:p>
    <w:p>
      <w:pPr>
        <w:ind w:left="580" w:hanging="296"/>
        <w:spacing w:after="0" w:line="259"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66" w:lineRule="exact"/>
        <w:rPr>
          <w:rFonts w:ascii="Arial" w:cs="Arial" w:eastAsia="Arial" w:hAnsi="Arial"/>
          <w:sz w:val="16"/>
          <w:szCs w:val="16"/>
          <w:color w:val="A6A6A6"/>
        </w:rPr>
      </w:pPr>
    </w:p>
    <w:p>
      <w:pPr>
        <w:ind w:left="580" w:right="1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We have no sources of revenue and will need to raise substantial additional capital to successfully commercialize MG01CI, and such capital may not be available to us or available only on unfavorable terms.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 w:name="page7"/>
    <w:bookmarkEnd w:id="6"/>
    <w:p>
      <w:pPr>
        <w:ind w:left="580" w:right="60" w:hanging="296"/>
        <w:spacing w:after="0" w:line="282" w:lineRule="auto"/>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We do not have any issued patents relating to our MG01CI technology, but one of our patent applications has been allowed by the U.S. Patent and Trademark Office, or U.S. PTO.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50" w:lineRule="exact"/>
        <w:rPr>
          <w:rFonts w:ascii="Arial" w:cs="Arial" w:eastAsia="Arial" w:hAnsi="Arial"/>
          <w:sz w:val="15"/>
          <w:szCs w:val="15"/>
          <w:color w:val="A6A6A6"/>
        </w:rPr>
      </w:pPr>
    </w:p>
    <w:p>
      <w:pPr>
        <w:ind w:left="580" w:right="20" w:hanging="296"/>
        <w:spacing w:after="0" w:line="277"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As a public company following the conclusion of this offering, we will need to comply with extensive additional governmental regulations, which will be expensive and which will require significant management attention.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b w:val="1"/>
                <w:bCs w:val="1"/>
                <w:color w:val="auto"/>
              </w:rPr>
              <w:t>THE OFFERING</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Ordinary shares offered by us</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1,365,000 shares</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Ordinary shares to be outstanding after this offering</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9,345,514 shares</w:t>
            </w: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Over-allotment option</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1"/>
              </w:rPr>
              <w:t>The underwriters have an option for a period of 45 days to purchase up to 204,750 additional ordinary shares</w:t>
            </w:r>
          </w:p>
        </w:tc>
      </w:tr>
      <w:tr>
        <w:trPr>
          <w:trHeight w:val="205"/>
        </w:trPr>
        <w:tc>
          <w:tcPr>
            <w:tcW w:w="3820" w:type="dxa"/>
            <w:vAlign w:val="bottom"/>
          </w:tcPr>
          <w:p>
            <w:pPr>
              <w:spacing w:after="0"/>
              <w:rPr>
                <w:sz w:val="17"/>
                <w:szCs w:val="17"/>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to cover over-allotments, if any.</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Use of proceeds</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3"/>
              </w:rPr>
              <w:t>We expect to receive approximately $13 million in net proceeds from the sale of 1,365,000 ordinary shares</w:t>
            </w:r>
          </w:p>
        </w:tc>
      </w:tr>
      <w:tr>
        <w:trPr>
          <w:trHeight w:val="192"/>
        </w:trPr>
        <w:tc>
          <w:tcPr>
            <w:tcW w:w="3820" w:type="dxa"/>
            <w:vAlign w:val="bottom"/>
          </w:tcPr>
          <w:p>
            <w:pPr>
              <w:spacing w:after="0"/>
              <w:rPr>
                <w:sz w:val="16"/>
                <w:szCs w:val="16"/>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5"/>
              </w:rPr>
              <w:t>offered by us in this offering (approximately $15.1 million if the underwriters exercise their over-allotment</w:t>
            </w:r>
          </w:p>
        </w:tc>
      </w:tr>
      <w:tr>
        <w:trPr>
          <w:trHeight w:val="192"/>
        </w:trPr>
        <w:tc>
          <w:tcPr>
            <w:tcW w:w="3820" w:type="dxa"/>
            <w:vAlign w:val="bottom"/>
          </w:tcPr>
          <w:p>
            <w:pPr>
              <w:spacing w:after="0"/>
              <w:rPr>
                <w:sz w:val="16"/>
                <w:szCs w:val="16"/>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5"/>
              </w:rPr>
              <w:t>option in full), after deducting estimated underwriting discounts and commissions and estimated offering</w:t>
            </w:r>
          </w:p>
        </w:tc>
      </w:tr>
      <w:tr>
        <w:trPr>
          <w:trHeight w:val="192"/>
        </w:trPr>
        <w:tc>
          <w:tcPr>
            <w:tcW w:w="3820" w:type="dxa"/>
            <w:vAlign w:val="bottom"/>
          </w:tcPr>
          <w:p>
            <w:pPr>
              <w:spacing w:after="0"/>
              <w:rPr>
                <w:sz w:val="16"/>
                <w:szCs w:val="16"/>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1"/>
              </w:rPr>
              <w:t>expenses payable by us, assuming the shares are offered at $11.00 per share, the midpoint of the estimated</w:t>
            </w:r>
          </w:p>
        </w:tc>
      </w:tr>
      <w:tr>
        <w:trPr>
          <w:trHeight w:val="192"/>
        </w:trPr>
        <w:tc>
          <w:tcPr>
            <w:tcW w:w="3820" w:type="dxa"/>
            <w:vAlign w:val="bottom"/>
          </w:tcPr>
          <w:p>
            <w:pPr>
              <w:spacing w:after="0"/>
              <w:rPr>
                <w:sz w:val="16"/>
                <w:szCs w:val="16"/>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1"/>
              </w:rPr>
              <w:t>price range set forth on the cover page of this prospectus. We currently expect to use the net proceeds from</w:t>
            </w:r>
          </w:p>
        </w:tc>
      </w:tr>
      <w:tr>
        <w:trPr>
          <w:trHeight w:val="205"/>
        </w:trPr>
        <w:tc>
          <w:tcPr>
            <w:tcW w:w="3820" w:type="dxa"/>
            <w:vAlign w:val="bottom"/>
          </w:tcPr>
          <w:p>
            <w:pPr>
              <w:spacing w:after="0"/>
              <w:rPr>
                <w:sz w:val="17"/>
                <w:szCs w:val="17"/>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this offering for:</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00" w:type="dxa"/>
            <w:vAlign w:val="bottom"/>
          </w:tcPr>
          <w:p>
            <w:pPr>
              <w:ind w:left="120"/>
              <w:spacing w:after="0"/>
              <w:rPr>
                <w:sz w:val="20"/>
                <w:szCs w:val="20"/>
                <w:color w:val="auto"/>
              </w:rPr>
            </w:pPr>
            <w:r>
              <w:rPr>
                <w:rFonts w:ascii="Arial" w:cs="Arial" w:eastAsia="Arial" w:hAnsi="Arial"/>
                <w:sz w:val="16"/>
                <w:szCs w:val="16"/>
                <w:color w:val="auto"/>
                <w:w w:val="92"/>
              </w:rPr>
              <w:t>completing at least one advanced clinical trial of MG01CI for adult ADHD, estimated at $6,000,000;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00" w:type="dxa"/>
            <w:vAlign w:val="bottom"/>
          </w:tcPr>
          <w:p>
            <w:pPr>
              <w:ind w:left="120"/>
              <w:spacing w:after="0"/>
              <w:rPr>
                <w:sz w:val="20"/>
                <w:szCs w:val="20"/>
                <w:color w:val="auto"/>
              </w:rPr>
            </w:pPr>
            <w:r>
              <w:rPr>
                <w:rFonts w:ascii="Arial" w:cs="Arial" w:eastAsia="Arial" w:hAnsi="Arial"/>
                <w:sz w:val="16"/>
                <w:szCs w:val="16"/>
                <w:color w:val="auto"/>
                <w:w w:val="91"/>
              </w:rPr>
              <w:t>preparing for our proposed registration studies in adults and Phase I/II clinical studies in children for</w:t>
            </w:r>
          </w:p>
        </w:tc>
      </w:tr>
      <w:tr>
        <w:trPr>
          <w:trHeight w:val="192"/>
        </w:trPr>
        <w:tc>
          <w:tcPr>
            <w:tcW w:w="3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auto"/>
                <w:w w:val="93"/>
              </w:rPr>
              <w:t>MG01CI, including engaging the FDA in discussions related to protocols for the trials, estimated at</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auto"/>
              </w:rPr>
              <w:t>$1,000,000 to $3,000,000;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00" w:type="dxa"/>
            <w:vAlign w:val="bottom"/>
          </w:tcPr>
          <w:p>
            <w:pPr>
              <w:ind w:left="120"/>
              <w:spacing w:after="0"/>
              <w:rPr>
                <w:sz w:val="20"/>
                <w:szCs w:val="20"/>
                <w:color w:val="auto"/>
              </w:rPr>
            </w:pPr>
            <w:r>
              <w:rPr>
                <w:rFonts w:ascii="Arial" w:cs="Arial" w:eastAsia="Arial" w:hAnsi="Arial"/>
                <w:sz w:val="16"/>
                <w:szCs w:val="16"/>
                <w:color w:val="auto"/>
                <w:w w:val="93"/>
              </w:rPr>
              <w:t>evaluating MG01CI in Phase II clinical trials of additional disorders of cognitive function estimated</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0" w:type="dxa"/>
            <w:vAlign w:val="bottom"/>
          </w:tcPr>
          <w:p>
            <w:pPr>
              <w:ind w:left="140"/>
              <w:spacing w:after="0"/>
              <w:rPr>
                <w:sz w:val="20"/>
                <w:szCs w:val="20"/>
                <w:color w:val="auto"/>
              </w:rPr>
            </w:pPr>
            <w:r>
              <w:rPr>
                <w:rFonts w:ascii="Arial" w:cs="Arial" w:eastAsia="Arial" w:hAnsi="Arial"/>
                <w:sz w:val="16"/>
                <w:szCs w:val="16"/>
                <w:color w:val="auto"/>
              </w:rPr>
              <w:t>at $1,000,000 to $2,000,000; and</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00" w:type="dxa"/>
            <w:vAlign w:val="bottom"/>
          </w:tcPr>
          <w:p>
            <w:pPr>
              <w:ind w:left="120"/>
              <w:spacing w:after="0"/>
              <w:rPr>
                <w:sz w:val="20"/>
                <w:szCs w:val="20"/>
                <w:color w:val="auto"/>
              </w:rPr>
            </w:pPr>
            <w:r>
              <w:rPr>
                <w:rFonts w:ascii="Arial" w:cs="Arial" w:eastAsia="Arial" w:hAnsi="Arial"/>
                <w:sz w:val="16"/>
                <w:szCs w:val="16"/>
                <w:color w:val="auto"/>
              </w:rPr>
              <w:t>the remainder for working capital and general corporate purposes.</w:t>
            </w:r>
          </w:p>
        </w:tc>
      </w:tr>
      <w:tr>
        <w:trPr>
          <w:trHeight w:val="564"/>
        </w:trPr>
        <w:tc>
          <w:tcPr>
            <w:tcW w:w="3820" w:type="dxa"/>
            <w:vAlign w:val="bottom"/>
          </w:tcPr>
          <w:p>
            <w:pPr>
              <w:spacing w:after="0"/>
              <w:rPr>
                <w:sz w:val="20"/>
                <w:szCs w:val="20"/>
                <w:color w:val="auto"/>
              </w:rPr>
            </w:pPr>
            <w:r>
              <w:rPr>
                <w:rFonts w:ascii="Arial" w:cs="Arial" w:eastAsia="Arial" w:hAnsi="Arial"/>
                <w:sz w:val="16"/>
                <w:szCs w:val="16"/>
                <w:color w:val="auto"/>
              </w:rPr>
              <w:t>Risk factors</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w w:val="91"/>
              </w:rPr>
              <w:t>You should read the “Risk Factors” section starting on page 7 of this prospectus for a discussion of factors to</w:t>
            </w:r>
          </w:p>
        </w:tc>
      </w:tr>
      <w:tr>
        <w:trPr>
          <w:trHeight w:val="205"/>
        </w:trPr>
        <w:tc>
          <w:tcPr>
            <w:tcW w:w="3820" w:type="dxa"/>
            <w:vAlign w:val="bottom"/>
          </w:tcPr>
          <w:p>
            <w:pPr>
              <w:spacing w:after="0"/>
              <w:rPr>
                <w:sz w:val="17"/>
                <w:szCs w:val="17"/>
                <w:color w:val="auto"/>
              </w:rPr>
            </w:pP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consider carefully before deciding to invest in ordinary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Proposed NASDAQ Capital Market Symbol</w:t>
            </w:r>
          </w:p>
        </w:tc>
        <w:tc>
          <w:tcPr>
            <w:tcW w:w="7560" w:type="dxa"/>
            <w:vAlign w:val="bottom"/>
            <w:gridSpan w:val="2"/>
          </w:tcPr>
          <w:p>
            <w:pPr>
              <w:ind w:left="520"/>
              <w:spacing w:after="0"/>
              <w:rPr>
                <w:sz w:val="20"/>
                <w:szCs w:val="20"/>
                <w:color w:val="auto"/>
              </w:rPr>
            </w:pPr>
            <w:r>
              <w:rPr>
                <w:rFonts w:ascii="Arial" w:cs="Arial" w:eastAsia="Arial" w:hAnsi="Arial"/>
                <w:sz w:val="16"/>
                <w:szCs w:val="16"/>
                <w:color w:val="auto"/>
              </w:rPr>
              <w:t>“ADHD"</w:t>
            </w:r>
          </w:p>
        </w:tc>
      </w:tr>
    </w:tbl>
    <w:p>
      <w:pPr>
        <w:spacing w:after="0" w:line="180" w:lineRule="exact"/>
        <w:rPr>
          <w:sz w:val="20"/>
          <w:szCs w:val="20"/>
          <w:color w:val="auto"/>
        </w:rPr>
      </w:pPr>
    </w:p>
    <w:p>
      <w:pPr>
        <w:ind w:right="40" w:firstLine="357"/>
        <w:spacing w:after="0" w:line="278" w:lineRule="auto"/>
        <w:rPr>
          <w:sz w:val="20"/>
          <w:szCs w:val="20"/>
          <w:color w:val="auto"/>
        </w:rPr>
      </w:pPr>
      <w:r>
        <w:rPr>
          <w:rFonts w:ascii="Arial" w:cs="Arial" w:eastAsia="Arial" w:hAnsi="Arial"/>
          <w:sz w:val="15"/>
          <w:szCs w:val="15"/>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contingent upon the closing of this offering consequent to cashless exercise of 129,257 warrants outstanding as of April 1, 2013 having a weighted average exercise price of $2.73 per share, at an assumed offering price of $11 per share which is the midpoint of the price range set forth on the cover page of this prospectus, or, the Warrant Cashless Exercise. This number excludes:</w:t>
      </w:r>
    </w:p>
    <w:p>
      <w:pPr>
        <w:spacing w:after="0" w:line="154" w:lineRule="exact"/>
        <w:rPr>
          <w:sz w:val="20"/>
          <w:szCs w:val="20"/>
          <w:color w:val="auto"/>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580" w:right="100" w:hanging="296"/>
        <w:spacing w:after="0" w:line="277" w:lineRule="auto"/>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information in this prospectus assumes or gives effect to:</w:t>
      </w:r>
    </w:p>
    <w:p>
      <w:pPr>
        <w:spacing w:after="0" w:line="200" w:lineRule="exact"/>
        <w:rPr>
          <w:sz w:val="20"/>
          <w:szCs w:val="20"/>
          <w:color w:val="auto"/>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filing of our amended and restated articles of association, which will occur immediately prior to the completion of this offering;</w:t>
      </w:r>
    </w:p>
    <w:p>
      <w:pPr>
        <w:spacing w:after="0" w:line="200" w:lineRule="exact"/>
        <w:rPr>
          <w:rFonts w:ascii="Arial" w:cs="Arial" w:eastAsia="Arial" w:hAnsi="Arial"/>
          <w:sz w:val="16"/>
          <w:szCs w:val="16"/>
          <w:color w:val="A6A6A6"/>
        </w:rPr>
      </w:pPr>
    </w:p>
    <w:p>
      <w:pPr>
        <w:ind w:left="580" w:right="180" w:hanging="296"/>
        <w:spacing w:after="0" w:line="312" w:lineRule="auto"/>
        <w:tabs>
          <w:tab w:leader="none" w:pos="580" w:val="left"/>
        </w:tabs>
        <w:numPr>
          <w:ilvl w:val="0"/>
          <w:numId w:val="5"/>
        </w:numPr>
        <w:rPr>
          <w:rFonts w:ascii="Arial" w:cs="Arial" w:eastAsia="Arial" w:hAnsi="Arial"/>
          <w:sz w:val="15"/>
          <w:szCs w:val="15"/>
          <w:color w:val="A6A6A6"/>
        </w:rPr>
      </w:pPr>
      <w:r>
        <w:rPr>
          <w:rFonts w:ascii="Arial" w:cs="Arial" w:eastAsia="Arial" w:hAnsi="Arial"/>
          <w:sz w:val="15"/>
          <w:szCs w:val="15"/>
          <w:color w:val="auto"/>
        </w:rPr>
        <w:t>the issuance of bonus shares under Israeli law to all of our shareholders on a basis of 4.87 bonus shares for each ordinary share outstanding (equivalent to a 5.87-for-1 stock split) immediately prior to the completion of this offering and the customary adjustments to our outstanding options and warrants; and</w:t>
      </w:r>
    </w:p>
    <w:p>
      <w:pPr>
        <w:spacing w:after="0" w:line="128" w:lineRule="exact"/>
        <w:rPr>
          <w:rFonts w:ascii="Arial" w:cs="Arial" w:eastAsia="Arial" w:hAnsi="Arial"/>
          <w:sz w:val="15"/>
          <w:szCs w:val="15"/>
          <w:color w:val="A6A6A6"/>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no exercise of the underwriters’ over-allotment option.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6"/>
          <w:szCs w:val="16"/>
          <w:b w:val="1"/>
          <w:bCs w:val="1"/>
          <w:color w:val="auto"/>
        </w:rPr>
        <w:t>SUMMARY FINANCIAL DATA</w:t>
      </w:r>
    </w:p>
    <w:p>
      <w:pPr>
        <w:spacing w:after="0" w:line="204" w:lineRule="exact"/>
        <w:rPr>
          <w:sz w:val="20"/>
          <w:szCs w:val="20"/>
          <w:color w:val="auto"/>
        </w:rPr>
      </w:pPr>
    </w:p>
    <w:p>
      <w:pPr>
        <w:ind w:left="4"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9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818</w:t>
            </w:r>
          </w:p>
        </w:tc>
        <w:tc>
          <w:tcPr>
            <w:tcW w:w="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78</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Loss attributable to holders of ordinary shares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1,579</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Weighted average number of ordinary shares used in computing basic and diluted net loss per share (1)</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7,791,932</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7,843,388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_____________</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 w:hanging="344"/>
        <w:spacing w:after="0" w:line="277"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20"/>
              <w:spacing w:after="0" w:line="168" w:lineRule="exact"/>
              <w:rPr>
                <w:sz w:val="20"/>
                <w:szCs w:val="20"/>
                <w:color w:val="auto"/>
              </w:rPr>
            </w:pPr>
            <w:r>
              <w:rPr>
                <w:rFonts w:ascii="Arial" w:cs="Arial" w:eastAsia="Arial" w:hAnsi="Arial"/>
                <w:sz w:val="16"/>
                <w:szCs w:val="16"/>
                <w:b w:val="1"/>
                <w:bCs w:val="1"/>
                <w:color w:val="auto"/>
                <w:w w:val="89"/>
              </w:rPr>
              <w:t>As Adjusted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6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(unaudited)(1)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3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13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13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13,102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4" w:hanging="344"/>
        <w:spacing w:after="0" w:line="259" w:lineRule="auto"/>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1,365,000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ind w:firstLine="370"/>
        <w:spacing w:after="0" w:line="25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Regulatory Approval and Commercialization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2" w:lineRule="exact"/>
        <w:rPr>
          <w:sz w:val="20"/>
          <w:szCs w:val="20"/>
          <w:color w:val="auto"/>
        </w:rPr>
      </w:pPr>
    </w:p>
    <w:p>
      <w:pPr>
        <w:jc w:val="both"/>
        <w:ind w:right="160" w:firstLine="370"/>
        <w:spacing w:after="0" w:line="289" w:lineRule="auto"/>
        <w:rPr>
          <w:sz w:val="20"/>
          <w:szCs w:val="20"/>
          <w:color w:val="auto"/>
        </w:rPr>
      </w:pPr>
      <w:r>
        <w:rPr>
          <w:rFonts w:ascii="Arial" w:cs="Arial" w:eastAsia="Arial" w:hAnsi="Arial"/>
          <w:sz w:val="15"/>
          <w:szCs w:val="15"/>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46" w:lineRule="exact"/>
        <w:rPr>
          <w:sz w:val="20"/>
          <w:szCs w:val="20"/>
          <w:color w:val="auto"/>
        </w:rPr>
      </w:pPr>
    </w:p>
    <w:p>
      <w:pPr>
        <w:ind w:right="40" w:firstLine="370"/>
        <w:spacing w:after="0" w:line="299" w:lineRule="auto"/>
        <w:rPr>
          <w:sz w:val="20"/>
          <w:szCs w:val="20"/>
          <w:color w:val="auto"/>
        </w:rPr>
      </w:pPr>
      <w:r>
        <w:rPr>
          <w:rFonts w:ascii="Arial" w:cs="Arial" w:eastAsia="Arial" w:hAnsi="Arial"/>
          <w:sz w:val="14"/>
          <w:szCs w:val="14"/>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42" w:lineRule="exact"/>
        <w:rPr>
          <w:sz w:val="20"/>
          <w:szCs w:val="20"/>
          <w:color w:val="auto"/>
        </w:rPr>
      </w:pPr>
    </w:p>
    <w:p>
      <w:pPr>
        <w:ind w:right="20" w:firstLine="370"/>
        <w:spacing w:after="0" w:line="273" w:lineRule="auto"/>
        <w:rPr>
          <w:sz w:val="20"/>
          <w:szCs w:val="20"/>
          <w:color w:val="auto"/>
        </w:rPr>
      </w:pPr>
      <w:r>
        <w:rPr>
          <w:rFonts w:ascii="Arial" w:cs="Arial" w:eastAsia="Arial" w:hAnsi="Arial"/>
          <w:sz w:val="15"/>
          <w:szCs w:val="15"/>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60"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commencement and completion of clinical trials can be delayed or prevented for a number of reasons.</w:t>
      </w:r>
    </w:p>
    <w:p>
      <w:pPr>
        <w:spacing w:after="0" w:line="200" w:lineRule="exact"/>
        <w:rPr>
          <w:sz w:val="20"/>
          <w:szCs w:val="20"/>
          <w:color w:val="auto"/>
        </w:rPr>
      </w:pPr>
    </w:p>
    <w:p>
      <w:pPr>
        <w:ind w:right="360" w:firstLine="370"/>
        <w:spacing w:after="0" w:line="351" w:lineRule="auto"/>
        <w:rPr>
          <w:sz w:val="20"/>
          <w:szCs w:val="20"/>
          <w:color w:val="auto"/>
        </w:rPr>
      </w:pPr>
      <w:r>
        <w:rPr>
          <w:rFonts w:ascii="Arial" w:cs="Arial" w:eastAsia="Arial" w:hAnsi="Arial"/>
          <w:sz w:val="14"/>
          <w:szCs w:val="14"/>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06" w:lineRule="exact"/>
        <w:rPr>
          <w:sz w:val="20"/>
          <w:szCs w:val="20"/>
          <w:color w:val="auto"/>
        </w:rPr>
      </w:pPr>
    </w:p>
    <w:p>
      <w:pPr>
        <w:ind w:left="580" w:right="18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difficulties obtaining regulatory approval to commence a clinical trial or complying with conditions imposed by a regulatory authority regarding the scope or term of a clinical trial;</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9" w:name="page10"/>
    <w:bookmarkEnd w:id="9"/>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insufficient or inadequate supply or quality of a product candidate or other materials necessary to conduct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difficulties obtaining institutional review board, or IRB, approval to conduct a clinical trial at a prospective site; and</w:t>
      </w:r>
    </w:p>
    <w:p>
      <w:pPr>
        <w:spacing w:after="0" w:line="200" w:lineRule="exact"/>
        <w:rPr>
          <w:rFonts w:ascii="Arial" w:cs="Arial" w:eastAsia="Arial" w:hAnsi="Arial"/>
          <w:sz w:val="16"/>
          <w:szCs w:val="16"/>
          <w:color w:val="A6A6A6"/>
        </w:rPr>
      </w:pPr>
    </w:p>
    <w:p>
      <w:pPr>
        <w:ind w:left="580" w:hanging="296"/>
        <w:spacing w:after="0" w:line="264"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ind w:right="120" w:firstLine="370"/>
        <w:spacing w:after="0" w:line="264" w:lineRule="auto"/>
        <w:rPr>
          <w:sz w:val="20"/>
          <w:szCs w:val="20"/>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2" w:lineRule="exact"/>
        <w:rPr>
          <w:sz w:val="20"/>
          <w:szCs w:val="20"/>
          <w:color w:val="auto"/>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failure to conduct the clinical trial in accordance with regulatory requirements or our clinical protocols;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inspection of the clinical trial operations or trial sites by the FDA or other regulatory authorities;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unforeseen safety issues or lack of effectiveness;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lack of adequate funding to continue the clinical trial.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2"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Obtaining approval of an NDA even after clinical trials that are believed to be successful is an uncertain process.</w:t>
      </w:r>
    </w:p>
    <w:p>
      <w:pPr>
        <w:spacing w:after="0" w:line="200" w:lineRule="exact"/>
        <w:rPr>
          <w:sz w:val="20"/>
          <w:szCs w:val="20"/>
          <w:color w:val="auto"/>
        </w:rPr>
      </w:pPr>
    </w:p>
    <w:p>
      <w:pPr>
        <w:ind w:right="220" w:firstLine="369"/>
        <w:spacing w:after="0" w:line="312" w:lineRule="auto"/>
        <w:rPr>
          <w:sz w:val="20"/>
          <w:szCs w:val="20"/>
          <w:color w:val="auto"/>
        </w:rPr>
      </w:pPr>
      <w:r>
        <w:rPr>
          <w:rFonts w:ascii="Arial" w:cs="Arial" w:eastAsia="Arial" w:hAnsi="Arial"/>
          <w:sz w:val="15"/>
          <w:szCs w:val="15"/>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28"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we may not be able to demonstrate to the satisfaction of the FDA that MG01CI is safe and effective for any indication;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results of clinical trials may not meet the level of statistical significance or clinical significance required by the FDA for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the number, design, size, conduct or implementation of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5"/>
          <w:szCs w:val="15"/>
          <w:color w:val="A6A6A6"/>
        </w:rPr>
      </w:pPr>
      <w:r>
        <w:rPr>
          <w:rFonts w:ascii="Arial" w:cs="Arial" w:eastAsia="Arial" w:hAnsi="Arial"/>
          <w:sz w:val="15"/>
          <w:szCs w:val="15"/>
          <w:color w:val="auto"/>
        </w:rPr>
        <w:t>the FDA may not find the data from preclinical studies and clinical trials sufficient to demonstrate that MG01CI’s clinical and other benefits outweigh its safety risks;</w:t>
      </w:r>
    </w:p>
    <w:p>
      <w:pPr>
        <w:spacing w:after="0" w:line="211" w:lineRule="exact"/>
        <w:rPr>
          <w:rFonts w:ascii="Arial" w:cs="Arial" w:eastAsia="Arial" w:hAnsi="Arial"/>
          <w:sz w:val="15"/>
          <w:szCs w:val="15"/>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our interpretation of data from preclinical studies or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not accept data generated at our clinical trial sites;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data collected from preclinical studies and clinical trials of MG01CI may not be sufficient to support the submission of an NDA;</w:t>
      </w:r>
    </w:p>
    <w:p>
      <w:pPr>
        <w:spacing w:after="0" w:line="200" w:lineRule="exact"/>
        <w:rPr>
          <w:rFonts w:ascii="Arial" w:cs="Arial" w:eastAsia="Arial" w:hAnsi="Arial"/>
          <w:sz w:val="16"/>
          <w:szCs w:val="16"/>
          <w:color w:val="A6A6A6"/>
        </w:rPr>
      </w:pPr>
    </w:p>
    <w:p>
      <w:pPr>
        <w:ind w:left="580" w:right="400" w:hanging="296"/>
        <w:spacing w:after="0" w:line="264" w:lineRule="auto"/>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require development of a risk evaluation and mitigation strategy as a condition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0" w:name="page11"/>
    <w:bookmarkEnd w:id="10"/>
    <w:p>
      <w:pPr>
        <w:ind w:left="580" w:right="62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identify deficiencies in the manufacturing processes or facilities of third party manufacturers with which we enter into agreements for clinical and commercial supplies;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change its approval policies or adopt new regulations; and</w:t>
      </w:r>
    </w:p>
    <w:p>
      <w:pPr>
        <w:spacing w:after="0" w:line="200" w:lineRule="exact"/>
        <w:rPr>
          <w:rFonts w:ascii="Arial" w:cs="Arial" w:eastAsia="Arial" w:hAnsi="Arial"/>
          <w:sz w:val="16"/>
          <w:szCs w:val="16"/>
          <w:color w:val="A6A6A6"/>
        </w:rPr>
      </w:pPr>
    </w:p>
    <w:p>
      <w:pPr>
        <w:ind w:left="580" w:right="26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require simultaneous approval for both adults and children delaying needed approvals, or we may have successful clinical trial results for adults but not children, or vice versa.</w:t>
      </w:r>
    </w:p>
    <w:p>
      <w:pPr>
        <w:spacing w:after="0" w:line="152" w:lineRule="exact"/>
        <w:rPr>
          <w:sz w:val="20"/>
          <w:szCs w:val="20"/>
          <w:color w:val="auto"/>
        </w:rPr>
      </w:pPr>
    </w:p>
    <w:p>
      <w:pPr>
        <w:ind w:firstLine="256"/>
        <w:spacing w:after="0" w:line="274" w:lineRule="auto"/>
        <w:rPr>
          <w:sz w:val="20"/>
          <w:szCs w:val="20"/>
          <w:color w:val="auto"/>
        </w:rPr>
      </w:pPr>
      <w:r>
        <w:rPr>
          <w:rFonts w:ascii="Arial" w:cs="Arial" w:eastAsia="Arial" w:hAnsi="Arial"/>
          <w:sz w:val="15"/>
          <w:szCs w:val="15"/>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59" w:lineRule="exact"/>
        <w:rPr>
          <w:sz w:val="20"/>
          <w:szCs w:val="20"/>
          <w:color w:val="auto"/>
        </w:rPr>
      </w:pPr>
    </w:p>
    <w:p>
      <w:pPr>
        <w:jc w:val="both"/>
        <w:ind w:right="480" w:firstLine="370"/>
        <w:spacing w:after="0" w:line="264" w:lineRule="auto"/>
        <w:rPr>
          <w:sz w:val="20"/>
          <w:szCs w:val="20"/>
          <w:color w:val="auto"/>
        </w:rPr>
      </w:pPr>
      <w:r>
        <w:rPr>
          <w:rFonts w:ascii="Arial" w:cs="Arial" w:eastAsia="Arial" w:hAnsi="Arial"/>
          <w:sz w:val="16"/>
          <w:szCs w:val="16"/>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MG01CI may produce undesirable side effects after approval of an NDA.</w:t>
      </w:r>
    </w:p>
    <w:p>
      <w:pPr>
        <w:spacing w:after="0" w:line="200" w:lineRule="exact"/>
        <w:rPr>
          <w:sz w:val="20"/>
          <w:szCs w:val="20"/>
          <w:color w:val="auto"/>
        </w:rPr>
      </w:pPr>
    </w:p>
    <w:p>
      <w:pPr>
        <w:ind w:right="420" w:firstLine="369"/>
        <w:spacing w:after="0" w:line="277"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52" w:lineRule="exact"/>
        <w:rPr>
          <w:sz w:val="20"/>
          <w:szCs w:val="20"/>
          <w:color w:val="auto"/>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suspend or withdraw their approval of the product;</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us to issue specific communications to healthcare professionals, such as “Dear Doctor”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issue negative publicity regarding the affected product, including safety communications;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4"/>
          <w:szCs w:val="14"/>
          <w:color w:val="A6A6A6"/>
        </w:rPr>
      </w:pPr>
      <w:r>
        <w:rPr>
          <w:rFonts w:ascii="Arial" w:cs="Arial" w:eastAsia="Arial" w:hAnsi="Arial"/>
          <w:sz w:val="14"/>
          <w:szCs w:val="14"/>
          <w:color w:val="auto"/>
        </w:rPr>
        <w:t>we may be required to change the way the product is administered, conduct additional preclinical studies or clinical trials or restrict the distribution or use of the product;</w:t>
      </w:r>
    </w:p>
    <w:p>
      <w:pPr>
        <w:spacing w:after="0" w:line="223" w:lineRule="exact"/>
        <w:rPr>
          <w:rFonts w:ascii="Arial" w:cs="Arial" w:eastAsia="Arial" w:hAnsi="Arial"/>
          <w:sz w:val="14"/>
          <w:szCs w:val="14"/>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we could be sued and held liable for harm caused to patients;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our reputation may suffer.</w:t>
      </w:r>
    </w:p>
    <w:p>
      <w:pPr>
        <w:spacing w:after="0" w:line="200" w:lineRule="exact"/>
        <w:rPr>
          <w:sz w:val="20"/>
          <w:szCs w:val="20"/>
          <w:color w:val="auto"/>
        </w:rPr>
      </w:pPr>
    </w:p>
    <w:p>
      <w:pPr>
        <w:ind w:right="20" w:firstLine="31"/>
        <w:spacing w:after="0" w:line="277"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commercialization costs or even force us to cease operations.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2"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2" w:lineRule="exact"/>
        <w:rPr>
          <w:sz w:val="20"/>
          <w:szCs w:val="20"/>
          <w:color w:val="auto"/>
        </w:rPr>
      </w:pPr>
    </w:p>
    <w:p>
      <w:pPr>
        <w:jc w:val="both"/>
        <w:ind w:right="220" w:firstLine="370"/>
        <w:spacing w:after="0" w:line="264"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62" w:lineRule="exact"/>
        <w:rPr>
          <w:sz w:val="20"/>
          <w:szCs w:val="20"/>
          <w:color w:val="auto"/>
        </w:rPr>
      </w:pPr>
    </w:p>
    <w:p>
      <w:pPr>
        <w:ind w:right="500"/>
        <w:spacing w:after="0" w:line="351" w:lineRule="auto"/>
        <w:rPr>
          <w:sz w:val="20"/>
          <w:szCs w:val="20"/>
          <w:color w:val="auto"/>
        </w:rPr>
      </w:pPr>
      <w:r>
        <w:rPr>
          <w:rFonts w:ascii="Arial" w:cs="Arial" w:eastAsia="Arial" w:hAnsi="Arial"/>
          <w:sz w:val="14"/>
          <w:szCs w:val="14"/>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06" w:lineRule="exact"/>
        <w:rPr>
          <w:sz w:val="20"/>
          <w:szCs w:val="20"/>
          <w:color w:val="auto"/>
        </w:rPr>
      </w:pPr>
    </w:p>
    <w:p>
      <w:pPr>
        <w:ind w:right="140" w:firstLine="370"/>
        <w:spacing w:after="0" w:line="259" w:lineRule="auto"/>
        <w:rPr>
          <w:sz w:val="20"/>
          <w:szCs w:val="20"/>
          <w:color w:val="auto"/>
        </w:rPr>
      </w:pPr>
      <w:r>
        <w:rPr>
          <w:rFonts w:ascii="Arial" w:cs="Arial" w:eastAsia="Arial" w:hAnsi="Arial"/>
          <w:sz w:val="16"/>
          <w:szCs w:val="16"/>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 w:name="page12"/>
    <w:bookmarkEnd w:id="11"/>
    <w:p>
      <w:pPr>
        <w:ind w:right="620"/>
        <w:spacing w:after="0" w:line="27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2" w:lineRule="exact"/>
        <w:rPr>
          <w:sz w:val="20"/>
          <w:szCs w:val="20"/>
          <w:color w:val="auto"/>
        </w:rPr>
      </w:pPr>
    </w:p>
    <w:p>
      <w:pPr>
        <w:jc w:val="both"/>
        <w:ind w:right="160" w:firstLine="370"/>
        <w:spacing w:after="0" w:line="26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2"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firstLine="370"/>
        <w:spacing w:after="0" w:line="29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43" w:lineRule="exact"/>
        <w:rPr>
          <w:sz w:val="20"/>
          <w:szCs w:val="20"/>
          <w:color w:val="auto"/>
        </w:rPr>
      </w:pPr>
    </w:p>
    <w:p>
      <w:pPr>
        <w:ind w:right="80" w:firstLine="370"/>
        <w:spacing w:after="0" w:line="273" w:lineRule="auto"/>
        <w:rPr>
          <w:sz w:val="20"/>
          <w:szCs w:val="20"/>
          <w:color w:val="auto"/>
        </w:rPr>
      </w:pPr>
      <w:r>
        <w:rPr>
          <w:rFonts w:ascii="Arial" w:cs="Arial" w:eastAsia="Arial" w:hAnsi="Arial"/>
          <w:sz w:val="15"/>
          <w:szCs w:val="15"/>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2"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our drug products or the manufacturing facilities for our drug products fail to comply with applicable regulatory requirements, a regulatory agency may: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2" w:name="page13"/>
    <w:bookmarkEnd w:id="12"/>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issue warning letters or untitled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seek an injunction or impose civil or criminal penalties or monetary fines;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withdraw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any ongoing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approve pending applications or supplements to applications;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impose restrictions on operations, including costly new manufacturing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seize or detain products, refuse to permit the import or export of products or request that we initiate a product recall;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allow us to enter into supply contracts, including government contracts.</w:t>
      </w:r>
    </w:p>
    <w:p>
      <w:pPr>
        <w:spacing w:after="0" w:line="200" w:lineRule="exact"/>
        <w:rPr>
          <w:sz w:val="20"/>
          <w:szCs w:val="20"/>
          <w:color w:val="auto"/>
        </w:rPr>
      </w:pPr>
    </w:p>
    <w:p>
      <w:pPr>
        <w:ind w:right="60" w:firstLine="40"/>
        <w:spacing w:after="0" w:line="277" w:lineRule="auto"/>
        <w:rPr>
          <w:sz w:val="20"/>
          <w:szCs w:val="20"/>
          <w:color w:val="auto"/>
        </w:rPr>
      </w:pPr>
      <w:r>
        <w:rPr>
          <w:rFonts w:ascii="Arial" w:cs="Arial" w:eastAsia="Arial" w:hAnsi="Arial"/>
          <w:sz w:val="16"/>
          <w:szCs w:val="16"/>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2" w:lineRule="exact"/>
        <w:rPr>
          <w:sz w:val="20"/>
          <w:szCs w:val="20"/>
          <w:color w:val="auto"/>
        </w:rPr>
      </w:pPr>
    </w:p>
    <w:p>
      <w:pPr>
        <w:ind w:right="440" w:firstLine="392"/>
        <w:spacing w:after="0" w:line="312" w:lineRule="auto"/>
        <w:rPr>
          <w:sz w:val="20"/>
          <w:szCs w:val="20"/>
          <w:color w:val="auto"/>
        </w:rPr>
      </w:pPr>
      <w:r>
        <w:rPr>
          <w:rFonts w:ascii="Arial" w:cs="Arial" w:eastAsia="Arial" w:hAnsi="Arial"/>
          <w:sz w:val="15"/>
          <w:szCs w:val="15"/>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28"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regulatory requirements for drug approvals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differing United States and foreign drug import and export rules;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reduced protection for intellectual property rights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unexpected changes in tariffs, trade barriers and regulatory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reimbursement systems;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economic weakness, including inflation, or political instability in particular foreign economies and markets;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compliance with tax, employment, immigration and labor laws for employees living or traveling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taxes, including withholding of payroll taxes;</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workforce uncertainty in countries where labor unrest is more common than in the United States;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production shortages resulting from any events affecting raw material supply or manufacturing capabilities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potential liability resulting from development work conducted by these distributors;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business interruptions resulting from geopolitical actions, including war and terrorism, or natural disasters.</w:t>
      </w:r>
    </w:p>
    <w:p>
      <w:pPr>
        <w:spacing w:after="0" w:line="200" w:lineRule="exact"/>
        <w:rPr>
          <w:sz w:val="20"/>
          <w:szCs w:val="20"/>
          <w:color w:val="auto"/>
        </w:rPr>
      </w:pPr>
    </w:p>
    <w:p>
      <w:pPr>
        <w:ind w:right="20" w:firstLine="392"/>
        <w:spacing w:after="0" w:line="289"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receive marketing approval for MG01CI, sales will be limited unless the product achieves broad market acceptance.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 w:name="page14"/>
    <w:bookmarkEnd w:id="13"/>
    <w:p>
      <w:pPr>
        <w:jc w:val="both"/>
        <w:ind w:right="220" w:firstLine="369"/>
        <w:spacing w:after="0" w:line="264" w:lineRule="auto"/>
        <w:rPr>
          <w:sz w:val="20"/>
          <w:szCs w:val="20"/>
          <w:color w:val="auto"/>
        </w:rPr>
      </w:pPr>
      <w:r>
        <w:rPr>
          <w:rFonts w:ascii="Arial" w:cs="Arial" w:eastAsia="Arial" w:hAnsi="Arial"/>
          <w:sz w:val="16"/>
          <w:szCs w:val="16"/>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62"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demonstration of clinical safety and efficacy compared to other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relative convenience and ease of administration;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prevalence and severity of any adverse side effects;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limitations or warnings contained in the product’s approved labeling;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availability of alternative treatments, including, in the case of MG01CI, a number of competitive products already approved for the treatment of ADHD or expected to be commercially launched in the near future;</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pricing and cost effectiveness;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effectiveness of our or any future collaborators’ sales and marketing strategies;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our ability to obtain sufficient third-party coverage or reimbursement;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willingness of patients to pay for drugs out of pocket in the absence of third-party coverage.</w:t>
      </w:r>
    </w:p>
    <w:p>
      <w:pPr>
        <w:spacing w:after="0" w:line="200" w:lineRule="exact"/>
        <w:rPr>
          <w:sz w:val="20"/>
          <w:szCs w:val="20"/>
          <w:color w:val="auto"/>
        </w:rPr>
      </w:pPr>
    </w:p>
    <w:p>
      <w:pPr>
        <w:jc w:val="both"/>
        <w:ind w:right="20" w:firstLine="370"/>
        <w:spacing w:after="0" w:line="264" w:lineRule="auto"/>
        <w:rPr>
          <w:sz w:val="20"/>
          <w:szCs w:val="20"/>
          <w:color w:val="auto"/>
        </w:rPr>
      </w:pPr>
      <w:r>
        <w:rPr>
          <w:rFonts w:ascii="Arial" w:cs="Arial" w:eastAsia="Arial" w:hAnsi="Arial"/>
          <w:sz w:val="16"/>
          <w:szCs w:val="16"/>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2"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will be difficult for us to profitably sell MG01CI if reimbursement for the product is limited.</w:t>
      </w:r>
    </w:p>
    <w:p>
      <w:pPr>
        <w:spacing w:after="0" w:line="200" w:lineRule="exact"/>
        <w:rPr>
          <w:sz w:val="20"/>
          <w:szCs w:val="20"/>
          <w:color w:val="auto"/>
        </w:rPr>
      </w:pPr>
    </w:p>
    <w:p>
      <w:pPr>
        <w:ind w:right="20" w:firstLine="370"/>
        <w:spacing w:after="0" w:line="274" w:lineRule="auto"/>
        <w:rPr>
          <w:sz w:val="20"/>
          <w:szCs w:val="20"/>
          <w:color w:val="auto"/>
        </w:rPr>
      </w:pPr>
      <w:r>
        <w:rPr>
          <w:rFonts w:ascii="Arial" w:cs="Arial" w:eastAsia="Arial" w:hAnsi="Arial"/>
          <w:sz w:val="15"/>
          <w:szCs w:val="15"/>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59" w:lineRule="exact"/>
        <w:rPr>
          <w:sz w:val="20"/>
          <w:szCs w:val="20"/>
          <w:color w:val="auto"/>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 covered benefit under its health plan;</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safe, effective, and medically necessary;</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appropriate for the specific patient;</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cost effective; and</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neither experimental nor investigational.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4" w:name="page15"/>
    <w:bookmarkEnd w:id="14"/>
    <w:p>
      <w:pPr>
        <w:ind w:firstLine="392"/>
        <w:spacing w:after="0" w:line="278" w:lineRule="auto"/>
        <w:rPr>
          <w:sz w:val="20"/>
          <w:szCs w:val="20"/>
          <w:color w:val="auto"/>
        </w:rPr>
      </w:pPr>
      <w:r>
        <w:rPr>
          <w:rFonts w:ascii="Arial" w:cs="Arial" w:eastAsia="Arial" w:hAnsi="Arial"/>
          <w:sz w:val="15"/>
          <w:szCs w:val="15"/>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00"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50"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primarily on third parties to market and sell MG01CI.</w:t>
      </w:r>
    </w:p>
    <w:p>
      <w:pPr>
        <w:spacing w:after="0" w:line="200"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67" w:lineRule="exact"/>
        <w:rPr>
          <w:sz w:val="20"/>
          <w:szCs w:val="20"/>
          <w:color w:val="auto"/>
        </w:rPr>
      </w:pPr>
    </w:p>
    <w:p>
      <w:pPr>
        <w:ind w:right="920"/>
        <w:spacing w:after="0" w:line="277" w:lineRule="auto"/>
        <w:rPr>
          <w:sz w:val="20"/>
          <w:szCs w:val="20"/>
          <w:color w:val="auto"/>
        </w:rPr>
      </w:pPr>
      <w:r>
        <w:rPr>
          <w:rFonts w:ascii="Arial" w:cs="Arial" w:eastAsia="Arial" w:hAnsi="Arial"/>
          <w:sz w:val="16"/>
          <w:szCs w:val="16"/>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2" w:lineRule="exact"/>
        <w:rPr>
          <w:sz w:val="20"/>
          <w:szCs w:val="20"/>
          <w:color w:val="auto"/>
        </w:rPr>
      </w:pPr>
    </w:p>
    <w:p>
      <w:pPr>
        <w:ind w:right="20" w:firstLine="369"/>
        <w:spacing w:after="0" w:line="254"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70" w:lineRule="exact"/>
        <w:rPr>
          <w:sz w:val="20"/>
          <w:szCs w:val="20"/>
          <w:color w:val="auto"/>
        </w:rPr>
      </w:pPr>
    </w:p>
    <w:p>
      <w:pPr>
        <w:ind w:right="20" w:firstLine="400"/>
        <w:spacing w:after="0" w:line="274" w:lineRule="auto"/>
        <w:rPr>
          <w:sz w:val="20"/>
          <w:szCs w:val="20"/>
          <w:color w:val="auto"/>
        </w:rPr>
      </w:pPr>
      <w:r>
        <w:rPr>
          <w:rFonts w:ascii="Arial" w:cs="Arial" w:eastAsia="Arial" w:hAnsi="Arial"/>
          <w:sz w:val="15"/>
          <w:szCs w:val="15"/>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We face potential product liability exposure, and, if claims are brought against us, we may incur substantial liability.</w:t>
      </w:r>
    </w:p>
    <w:p>
      <w:pPr>
        <w:spacing w:after="0" w:line="200"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62" w:lineRule="exact"/>
        <w:rPr>
          <w:sz w:val="20"/>
          <w:szCs w:val="20"/>
          <w:color w:val="auto"/>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decreased demand for MG01CI or any other product candidate for which we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impairment of our business reputation and exposure to adverse publicity;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increased warnings on product labels;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withdrawal of clinical trial participants;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costs of related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distraction of management’s attention from our primary business;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substantial monetary awards to patients or other claimants;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loss of revenue;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the inability to successfully commercialize MG01CI or any other product candidate for which we obtain marketing approval.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successfully brought against us, our insurance may be inadequate.</w:t>
      </w:r>
    </w:p>
    <w:p>
      <w:pPr>
        <w:spacing w:after="0" w:line="200" w:lineRule="exact"/>
        <w:rPr>
          <w:sz w:val="20"/>
          <w:szCs w:val="20"/>
          <w:color w:val="auto"/>
        </w:rPr>
      </w:pPr>
    </w:p>
    <w:p>
      <w:pPr>
        <w:ind w:right="20" w:firstLine="370"/>
        <w:spacing w:after="0" w:line="297" w:lineRule="auto"/>
        <w:rPr>
          <w:sz w:val="20"/>
          <w:szCs w:val="20"/>
          <w:color w:val="auto"/>
        </w:rPr>
      </w:pPr>
      <w:r>
        <w:rPr>
          <w:rFonts w:ascii="Arial" w:cs="Arial" w:eastAsia="Arial" w:hAnsi="Arial"/>
          <w:sz w:val="14"/>
          <w:szCs w:val="14"/>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43"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2" w:lineRule="exact"/>
        <w:rPr>
          <w:sz w:val="20"/>
          <w:szCs w:val="20"/>
          <w:color w:val="auto"/>
        </w:rPr>
      </w:pPr>
    </w:p>
    <w:p>
      <w:pPr>
        <w:ind w:firstLine="370"/>
        <w:spacing w:after="0" w:line="254"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6" w:name="page17"/>
    <w:bookmarkEnd w:id="16"/>
    <w:p>
      <w:pPr>
        <w:ind w:firstLine="370"/>
        <w:spacing w:after="0" w:line="302" w:lineRule="auto"/>
        <w:rPr>
          <w:sz w:val="20"/>
          <w:szCs w:val="20"/>
          <w:color w:val="auto"/>
        </w:rPr>
      </w:pPr>
      <w:r>
        <w:rPr>
          <w:rFonts w:ascii="Arial" w:cs="Arial" w:eastAsia="Arial" w:hAnsi="Arial"/>
          <w:sz w:val="14"/>
          <w:szCs w:val="14"/>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MG01CI or any other product candidate and may never be profitable.</w:t>
      </w:r>
    </w:p>
    <w:p>
      <w:pPr>
        <w:spacing w:after="0" w:line="200" w:lineRule="exact"/>
        <w:rPr>
          <w:sz w:val="20"/>
          <w:szCs w:val="20"/>
          <w:color w:val="auto"/>
        </w:rPr>
      </w:pPr>
    </w:p>
    <w:p>
      <w:pPr>
        <w:jc w:val="both"/>
        <w:ind w:right="60" w:firstLine="370"/>
        <w:spacing w:after="0" w:line="264"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62" w:lineRule="exact"/>
        <w:rPr>
          <w:sz w:val="20"/>
          <w:szCs w:val="20"/>
          <w:color w:val="auto"/>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obtain favorable results from and progress the clinical development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develop and obtain regulatory approval for registration studies protocols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subject to successful completion of registration, clinical trials and perhaps additional clinical trials of MG01CI, apply for and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contract for the manufacture of commercial quantities of MG01CI at acceptable cost levels if marketing approval is received;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00" w:lineRule="exact"/>
        <w:rPr>
          <w:sz w:val="20"/>
          <w:szCs w:val="20"/>
          <w:color w:val="auto"/>
        </w:rPr>
      </w:pPr>
    </w:p>
    <w:p>
      <w:pPr>
        <w:ind w:right="40" w:firstLine="370"/>
        <w:spacing w:after="0" w:line="312" w:lineRule="auto"/>
        <w:rPr>
          <w:sz w:val="20"/>
          <w:szCs w:val="20"/>
          <w:color w:val="auto"/>
        </w:rPr>
      </w:pPr>
      <w:r>
        <w:rPr>
          <w:rFonts w:ascii="Arial" w:cs="Arial" w:eastAsia="Arial" w:hAnsi="Arial"/>
          <w:sz w:val="15"/>
          <w:szCs w:val="15"/>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28"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our clinical trial results;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timing and outcomes of seeking marketing approval of MG01CI;</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filing and prosecuting patent applications and the cost of defending our patents;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prosecuting infringement actions against third parties;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exploration and possible label expansion of MG01CI for the treatment of other conditions;</w:t>
      </w:r>
    </w:p>
    <w:p>
      <w:pPr>
        <w:spacing w:after="0" w:line="200" w:lineRule="exact"/>
        <w:rPr>
          <w:rFonts w:ascii="Arial" w:cs="Arial" w:eastAsia="Arial" w:hAnsi="Arial"/>
          <w:sz w:val="16"/>
          <w:szCs w:val="16"/>
          <w:color w:val="BFBFBF"/>
        </w:rPr>
      </w:pPr>
    </w:p>
    <w:p>
      <w:pPr>
        <w:ind w:left="580" w:right="140" w:hanging="296"/>
        <w:spacing w:after="0" w:line="277" w:lineRule="auto"/>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commercializing MG01CI if we receive marketing approval, including the cost and timing of establishing sales and marketing capabilities to market and sell MG01CI;</w:t>
      </w:r>
    </w:p>
    <w:p>
      <w:pPr>
        <w:spacing w:after="0" w:line="151"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subject to receipt of marketing approval, revenue received from sales of approved products, if any, in the future;</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any product liability or other lawsuits related to our products;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expenses needed to attract and retain skilled personnel; and</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being a public company.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7" w:name="page18"/>
    <w:bookmarkEnd w:id="17"/>
    <w:p>
      <w:pPr>
        <w:ind w:right="20" w:firstLine="360"/>
        <w:spacing w:after="0" w:line="256" w:lineRule="auto"/>
        <w:rPr>
          <w:sz w:val="20"/>
          <w:szCs w:val="20"/>
          <w:color w:val="auto"/>
        </w:rPr>
      </w:pPr>
      <w:r>
        <w:rPr>
          <w:rFonts w:ascii="Arial" w:cs="Arial" w:eastAsia="Arial" w:hAnsi="Arial"/>
          <w:sz w:val="16"/>
          <w:szCs w:val="16"/>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these funds will enable us to complete any preparatory clinical and non-clinical work, as well as one of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68"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A6A6A6"/>
        </w:rPr>
      </w:pPr>
      <w:r>
        <w:rPr>
          <w:rFonts w:ascii="Arial" w:cs="Arial" w:eastAsia="Arial" w:hAnsi="Arial"/>
          <w:sz w:val="16"/>
          <w:szCs w:val="16"/>
          <w:color w:val="auto"/>
        </w:rPr>
        <w:t>terminate or delay clinical trials or other development activities for MG01CI;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1"/>
        </w:numPr>
        <w:rPr>
          <w:rFonts w:ascii="Arial" w:cs="Arial" w:eastAsia="Arial" w:hAnsi="Arial"/>
          <w:sz w:val="15"/>
          <w:szCs w:val="15"/>
          <w:color w:val="A6A6A6"/>
        </w:rPr>
      </w:pPr>
      <w:r>
        <w:rPr>
          <w:rFonts w:ascii="Arial" w:cs="Arial" w:eastAsia="Arial" w:hAnsi="Arial"/>
          <w:sz w:val="15"/>
          <w:szCs w:val="15"/>
          <w:color w:val="auto"/>
        </w:rPr>
        <w:t>delay our establishment of sales and marketing capabilities or other activities that may be necessary to commercialize MG01CI, if we obtain marketing approval.</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00" w:lineRule="exact"/>
        <w:rPr>
          <w:sz w:val="20"/>
          <w:szCs w:val="20"/>
          <w:color w:val="auto"/>
        </w:rPr>
      </w:pPr>
    </w:p>
    <w:p>
      <w:pPr>
        <w:ind w:right="60" w:firstLine="370"/>
        <w:spacing w:after="0" w:line="276"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operating losses have raised substantial doubt regarding our ability to continue as a going concern.</w:t>
      </w:r>
    </w:p>
    <w:p>
      <w:pPr>
        <w:spacing w:after="0" w:line="200"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manufacturing capacity and anticipate reliance on third-party manufacturers for our products.</w:t>
      </w:r>
    </w:p>
    <w:p>
      <w:pPr>
        <w:spacing w:after="0" w:line="200" w:lineRule="exact"/>
        <w:rPr>
          <w:sz w:val="20"/>
          <w:szCs w:val="20"/>
          <w:color w:val="auto"/>
        </w:rPr>
      </w:pPr>
    </w:p>
    <w:p>
      <w:pPr>
        <w:ind w:right="40" w:firstLine="370"/>
        <w:spacing w:after="0" w:line="297" w:lineRule="auto"/>
        <w:rPr>
          <w:sz w:val="20"/>
          <w:szCs w:val="20"/>
          <w:color w:val="auto"/>
        </w:rPr>
      </w:pPr>
      <w:r>
        <w:rPr>
          <w:rFonts w:ascii="Arial" w:cs="Arial" w:eastAsia="Arial" w:hAnsi="Arial"/>
          <w:sz w:val="14"/>
          <w:szCs w:val="14"/>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18" w:name="page19"/>
    <w:bookmarkEnd w:id="18"/>
    <w:p>
      <w:pPr>
        <w:ind w:right="160" w:firstLine="370"/>
        <w:spacing w:after="0" w:line="259" w:lineRule="auto"/>
        <w:rPr>
          <w:sz w:val="20"/>
          <w:szCs w:val="20"/>
          <w:color w:val="auto"/>
        </w:rPr>
      </w:pPr>
      <w:r>
        <w:rPr>
          <w:rFonts w:ascii="Arial" w:cs="Arial" w:eastAsia="Arial" w:hAnsi="Arial"/>
          <w:sz w:val="16"/>
          <w:szCs w:val="16"/>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jc w:val="both"/>
        <w:ind w:right="240" w:firstLine="370"/>
        <w:spacing w:after="0" w:line="264" w:lineRule="auto"/>
        <w:rPr>
          <w:sz w:val="20"/>
          <w:szCs w:val="20"/>
          <w:color w:val="auto"/>
        </w:rPr>
      </w:pPr>
      <w:r>
        <w:rPr>
          <w:rFonts w:ascii="Arial" w:cs="Arial" w:eastAsia="Arial" w:hAnsi="Arial"/>
          <w:sz w:val="16"/>
          <w:szCs w:val="16"/>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62" w:lineRule="exact"/>
        <w:rPr>
          <w:sz w:val="20"/>
          <w:szCs w:val="20"/>
          <w:color w:val="auto"/>
        </w:rPr>
      </w:pPr>
    </w:p>
    <w:p>
      <w:pPr>
        <w:ind w:right="700" w:firstLine="370"/>
        <w:spacing w:after="0" w:line="351" w:lineRule="auto"/>
        <w:rPr>
          <w:sz w:val="20"/>
          <w:szCs w:val="20"/>
          <w:color w:val="auto"/>
        </w:rPr>
      </w:pPr>
      <w:r>
        <w:rPr>
          <w:rFonts w:ascii="Arial" w:cs="Arial" w:eastAsia="Arial" w:hAnsi="Arial"/>
          <w:sz w:val="14"/>
          <w:szCs w:val="14"/>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2" w:lineRule="exact"/>
        <w:rPr>
          <w:sz w:val="20"/>
          <w:szCs w:val="20"/>
          <w:color w:val="auto"/>
        </w:rPr>
      </w:pPr>
    </w:p>
    <w:p>
      <w:pPr>
        <w:ind w:right="300" w:firstLine="370"/>
        <w:spacing w:after="0" w:line="255"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9"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35" w:lineRule="exact"/>
        <w:rPr>
          <w:sz w:val="20"/>
          <w:szCs w:val="20"/>
          <w:color w:val="auto"/>
        </w:rPr>
      </w:pPr>
    </w:p>
    <w:p>
      <w:pPr>
        <w:ind w:right="260" w:firstLine="370"/>
        <w:spacing w:after="0" w:line="312" w:lineRule="auto"/>
        <w:rPr>
          <w:sz w:val="20"/>
          <w:szCs w:val="20"/>
          <w:color w:val="auto"/>
        </w:rPr>
      </w:pPr>
      <w:r>
        <w:rPr>
          <w:rFonts w:ascii="Arial" w:cs="Arial" w:eastAsia="Arial" w:hAnsi="Arial"/>
          <w:sz w:val="15"/>
          <w:szCs w:val="15"/>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28"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6"/>
          <w:szCs w:val="16"/>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third parties to conduct our clinical trials.</w:t>
      </w:r>
    </w:p>
    <w:p>
      <w:pPr>
        <w:spacing w:after="0" w:line="200"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b w:val="1"/>
          <w:bCs w:val="1"/>
          <w:i w:val="1"/>
          <w:iCs w:val="1"/>
          <w:color w:val="auto"/>
        </w:rPr>
        <w:t>We have filed multiple patent applications but have no issued patents and only one of our patent applications has been allowed by the U.S. PTO. There can be no assurance that any of our patent applications will result in issued patents. As a result, we may not be able to protect our proprietary technology in the marketplace.</w:t>
      </w:r>
    </w:p>
    <w:p>
      <w:pPr>
        <w:spacing w:after="0" w:line="106" w:lineRule="exact"/>
        <w:rPr>
          <w:sz w:val="20"/>
          <w:szCs w:val="20"/>
          <w:color w:val="auto"/>
        </w:rPr>
      </w:pPr>
    </w:p>
    <w:p>
      <w:pPr>
        <w:ind w:right="380" w:firstLine="370"/>
        <w:spacing w:after="0" w:line="308" w:lineRule="auto"/>
        <w:rPr>
          <w:sz w:val="20"/>
          <w:szCs w:val="20"/>
          <w:color w:val="auto"/>
        </w:rPr>
      </w:pPr>
      <w:r>
        <w:rPr>
          <w:rFonts w:ascii="Arial" w:cs="Arial" w:eastAsia="Arial" w:hAnsi="Arial"/>
          <w:sz w:val="14"/>
          <w:szCs w:val="14"/>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patents that may issue to use will not ensure the protection of our intellectual property for a number of reasons, including without limitation the following:</w:t>
      </w:r>
    </w:p>
    <w:p>
      <w:pPr>
        <w:spacing w:after="0" w:line="200" w:lineRule="exact"/>
        <w:rPr>
          <w:sz w:val="20"/>
          <w:szCs w:val="20"/>
          <w:color w:val="auto"/>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any issued patents may not be broad or strong enough to prevent competition from other products including identical or similar products;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we are not issued patents or if issued patents expire, there would be no protections against competitors making generic equivalents;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prior art of which we are not aware that may affect the validity or enforceability of a patent claim;</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other patents existing in the patent landscape for MG01CI that will affect our freedom to operate;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our patents are challenged, a court could determine that they are not valid or enforceable;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 court could determine that a competitor’s technology or product does not infringe our patents;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4"/>
          <w:szCs w:val="14"/>
          <w:color w:val="A6A6A6"/>
        </w:rPr>
      </w:pPr>
      <w:r>
        <w:rPr>
          <w:rFonts w:ascii="Arial" w:cs="Arial" w:eastAsia="Arial" w:hAnsi="Arial"/>
          <w:sz w:val="14"/>
          <w:szCs w:val="14"/>
          <w:color w:val="auto"/>
        </w:rPr>
        <w:t>if we encounter delays in our development or clinical trials, the period of time during which we could market our products under patent protection would be reduced.</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2"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35" w:lineRule="exact"/>
        <w:rPr>
          <w:sz w:val="20"/>
          <w:szCs w:val="20"/>
          <w:color w:val="auto"/>
        </w:rPr>
      </w:pPr>
    </w:p>
    <w:p>
      <w:pPr>
        <w:ind w:right="60" w:firstLine="370"/>
        <w:spacing w:after="0" w:line="289" w:lineRule="auto"/>
        <w:rPr>
          <w:sz w:val="20"/>
          <w:szCs w:val="20"/>
          <w:color w:val="auto"/>
        </w:rPr>
      </w:pPr>
      <w:r>
        <w:rPr>
          <w:rFonts w:ascii="Arial" w:cs="Arial" w:eastAsia="Arial" w:hAnsi="Arial"/>
          <w:sz w:val="15"/>
          <w:szCs w:val="15"/>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0" w:name="page21"/>
    <w:bookmarkEnd w:id="20"/>
    <w:p>
      <w:pPr>
        <w:ind w:right="320"/>
        <w:spacing w:after="0" w:line="277"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2" w:lineRule="exact"/>
        <w:rPr>
          <w:sz w:val="20"/>
          <w:szCs w:val="20"/>
          <w:color w:val="auto"/>
        </w:rPr>
      </w:pPr>
    </w:p>
    <w:p>
      <w:pPr>
        <w:ind w:right="140" w:firstLine="370"/>
        <w:spacing w:after="0" w:line="299"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42" w:lineRule="exact"/>
        <w:rPr>
          <w:sz w:val="20"/>
          <w:szCs w:val="20"/>
          <w:color w:val="auto"/>
        </w:rPr>
      </w:pPr>
    </w:p>
    <w:p>
      <w:pPr>
        <w:ind w:right="60" w:firstLine="370"/>
        <w:spacing w:after="0" w:line="257" w:lineRule="auto"/>
        <w:rPr>
          <w:sz w:val="20"/>
          <w:szCs w:val="20"/>
          <w:color w:val="auto"/>
        </w:rPr>
      </w:pPr>
      <w:r>
        <w:rPr>
          <w:rFonts w:ascii="Arial" w:cs="Arial" w:eastAsia="Arial" w:hAnsi="Arial"/>
          <w:sz w:val="16"/>
          <w:szCs w:val="16"/>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00" w:lineRule="exact"/>
        <w:rPr>
          <w:sz w:val="20"/>
          <w:szCs w:val="20"/>
          <w:color w:val="auto"/>
        </w:rPr>
      </w:pPr>
    </w:p>
    <w:p>
      <w:pPr>
        <w:ind w:right="20" w:firstLine="370"/>
        <w:spacing w:after="0" w:line="255" w:lineRule="auto"/>
        <w:rPr>
          <w:sz w:val="20"/>
          <w:szCs w:val="20"/>
          <w:color w:val="auto"/>
        </w:rPr>
      </w:pPr>
      <w:r>
        <w:rPr>
          <w:rFonts w:ascii="Arial" w:cs="Arial" w:eastAsia="Arial" w:hAnsi="Arial"/>
          <w:sz w:val="16"/>
          <w:szCs w:val="16"/>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69" w:lineRule="exact"/>
        <w:rPr>
          <w:sz w:val="20"/>
          <w:szCs w:val="20"/>
          <w:color w:val="auto"/>
        </w:rPr>
      </w:pPr>
    </w:p>
    <w:p>
      <w:pPr>
        <w:spacing w:after="0" w:line="351"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99" w:lineRule="exact"/>
        <w:rPr>
          <w:sz w:val="20"/>
          <w:szCs w:val="20"/>
          <w:color w:val="auto"/>
        </w:rPr>
      </w:pPr>
    </w:p>
    <w:p>
      <w:pPr>
        <w:ind w:right="40" w:firstLine="346"/>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12"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67" w:lineRule="exact"/>
        <w:rPr>
          <w:sz w:val="20"/>
          <w:szCs w:val="20"/>
          <w:color w:val="auto"/>
        </w:rPr>
      </w:pPr>
    </w:p>
    <w:p>
      <w:pPr>
        <w:ind w:right="200" w:firstLine="370"/>
        <w:spacing w:after="0" w:line="259" w:lineRule="auto"/>
        <w:rPr>
          <w:sz w:val="20"/>
          <w:szCs w:val="20"/>
          <w:color w:val="auto"/>
        </w:rPr>
      </w:pPr>
      <w:r>
        <w:rPr>
          <w:rFonts w:ascii="Arial" w:cs="Arial" w:eastAsia="Arial" w:hAnsi="Arial"/>
          <w:sz w:val="16"/>
          <w:szCs w:val="16"/>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ind w:firstLine="577"/>
        <w:spacing w:after="0" w:line="297" w:lineRule="auto"/>
        <w:rPr>
          <w:sz w:val="20"/>
          <w:szCs w:val="20"/>
          <w:color w:val="auto"/>
        </w:rPr>
      </w:pPr>
      <w:r>
        <w:rPr>
          <w:rFonts w:ascii="Arial" w:cs="Arial" w:eastAsia="Arial" w:hAnsi="Arial"/>
          <w:sz w:val="14"/>
          <w:szCs w:val="14"/>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1" w:name="page22"/>
    <w:bookmarkEnd w:id="21"/>
    <w:p>
      <w:pPr>
        <w:ind w:right="260"/>
        <w:spacing w:after="0" w:line="35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6"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12" w:lineRule="exact"/>
        <w:rPr>
          <w:sz w:val="20"/>
          <w:szCs w:val="20"/>
          <w:color w:val="auto"/>
        </w:rPr>
      </w:pPr>
    </w:p>
    <w:p>
      <w:pPr>
        <w:ind w:firstLine="370"/>
        <w:spacing w:after="0" w:line="276" w:lineRule="auto"/>
        <w:rPr>
          <w:sz w:val="20"/>
          <w:szCs w:val="20"/>
          <w:color w:val="auto"/>
        </w:rPr>
      </w:pPr>
      <w:r>
        <w:rPr>
          <w:rFonts w:ascii="Arial" w:cs="Arial" w:eastAsia="Arial" w:hAnsi="Arial"/>
          <w:sz w:val="15"/>
          <w:szCs w:val="15"/>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55"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2" w:lineRule="exact"/>
        <w:rPr>
          <w:sz w:val="20"/>
          <w:szCs w:val="20"/>
          <w:color w:val="auto"/>
        </w:rPr>
      </w:pPr>
    </w:p>
    <w:p>
      <w:pPr>
        <w:ind w:right="20" w:firstLine="369"/>
        <w:spacing w:after="0" w:line="288" w:lineRule="auto"/>
        <w:rPr>
          <w:sz w:val="20"/>
          <w:szCs w:val="20"/>
          <w:color w:val="auto"/>
        </w:rPr>
      </w:pPr>
      <w:r>
        <w:rPr>
          <w:rFonts w:ascii="Arial" w:cs="Arial" w:eastAsia="Arial" w:hAnsi="Arial"/>
          <w:sz w:val="14"/>
          <w:szCs w:val="14"/>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w:t>
      </w:r>
    </w:p>
    <w:p>
      <w:pPr>
        <w:spacing w:after="0" w:line="5"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2" w:lineRule="exact"/>
        <w:rPr>
          <w:sz w:val="20"/>
          <w:szCs w:val="20"/>
          <w:color w:val="auto"/>
        </w:rPr>
      </w:pPr>
    </w:p>
    <w:p>
      <w:pPr>
        <w:jc w:val="both"/>
        <w:ind w:right="180" w:firstLine="577"/>
        <w:spacing w:after="0" w:line="278"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54" w:lineRule="exact"/>
        <w:rPr>
          <w:sz w:val="20"/>
          <w:szCs w:val="20"/>
          <w:color w:val="auto"/>
        </w:rPr>
      </w:pPr>
    </w:p>
    <w:p>
      <w:pPr>
        <w:ind w:right="500" w:firstLine="577"/>
        <w:spacing w:after="0" w:line="277" w:lineRule="auto"/>
        <w:rPr>
          <w:sz w:val="20"/>
          <w:szCs w:val="20"/>
          <w:color w:val="auto"/>
        </w:rPr>
      </w:pPr>
      <w:r>
        <w:rPr>
          <w:rFonts w:ascii="Arial" w:cs="Arial" w:eastAsia="Arial" w:hAnsi="Arial"/>
          <w:sz w:val="16"/>
          <w:szCs w:val="16"/>
          <w:color w:val="auto"/>
        </w:rPr>
        <w:t>To build our finance infrastructure, we will need to hire additional accounting personnel and improve our accounting systems, disclosure policies, procedures and controls. We are currently in the process of:</w:t>
      </w:r>
    </w:p>
    <w:p>
      <w:pPr>
        <w:spacing w:after="0" w:line="152"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initiating our plans to upgrade our computer systems, including hardware and software;</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establishing written policies and procedures;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enhancing internal controls and our financial statement review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2" w:name="page23"/>
    <w:bookmarkEnd w:id="22"/>
    <w:p>
      <w:pPr>
        <w:ind w:right="40" w:firstLine="577"/>
        <w:spacing w:after="0" w:line="308" w:lineRule="auto"/>
        <w:rPr>
          <w:sz w:val="20"/>
          <w:szCs w:val="20"/>
          <w:color w:val="auto"/>
        </w:rPr>
      </w:pPr>
      <w:r>
        <w:rPr>
          <w:rFonts w:ascii="Arial" w:cs="Arial" w:eastAsia="Arial" w:hAnsi="Arial"/>
          <w:sz w:val="14"/>
          <w:szCs w:val="14"/>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62"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manage our clinical trials and the regulatory process effectively;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develop our administrative, accounting and management information systems and controls;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hire and train additional qualified personnel;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integrate current and additional management, administrative, financial and sales and marketing personnel.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macroeconomic conditions.</w:t>
      </w:r>
    </w:p>
    <w:p>
      <w:pPr>
        <w:spacing w:after="0" w:line="200" w:lineRule="exact"/>
        <w:rPr>
          <w:sz w:val="20"/>
          <w:szCs w:val="20"/>
          <w:color w:val="auto"/>
        </w:rPr>
      </w:pPr>
    </w:p>
    <w:p>
      <w:pPr>
        <w:ind w:right="140" w:firstLine="370"/>
        <w:spacing w:after="0" w:line="312" w:lineRule="auto"/>
        <w:rPr>
          <w:sz w:val="20"/>
          <w:szCs w:val="20"/>
          <w:color w:val="auto"/>
        </w:rPr>
      </w:pPr>
      <w:r>
        <w:rPr>
          <w:rFonts w:ascii="Arial" w:cs="Arial" w:eastAsia="Arial" w:hAnsi="Arial"/>
          <w:sz w:val="15"/>
          <w:szCs w:val="15"/>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28"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this Offering and Ownership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12"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62" w:lineRule="exact"/>
        <w:rPr>
          <w:sz w:val="20"/>
          <w:szCs w:val="20"/>
          <w:color w:val="auto"/>
        </w:rPr>
      </w:pPr>
    </w:p>
    <w:p>
      <w:pPr>
        <w:ind w:right="400" w:firstLine="369"/>
        <w:spacing w:after="0" w:line="277" w:lineRule="auto"/>
        <w:rPr>
          <w:sz w:val="20"/>
          <w:szCs w:val="20"/>
          <w:color w:val="auto"/>
        </w:rPr>
      </w:pPr>
      <w:r>
        <w:rPr>
          <w:rFonts w:ascii="Arial" w:cs="Arial" w:eastAsia="Arial" w:hAnsi="Arial"/>
          <w:sz w:val="16"/>
          <w:szCs w:val="16"/>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5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inability to obtain the approvals necessary to commence further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unsatisfactory results of clinical trials;</w:t>
      </w:r>
    </w:p>
    <w:p>
      <w:pPr>
        <w:spacing w:after="0" w:line="200" w:lineRule="exact"/>
        <w:rPr>
          <w:rFonts w:ascii="Arial" w:cs="Arial" w:eastAsia="Arial" w:hAnsi="Arial"/>
          <w:sz w:val="16"/>
          <w:szCs w:val="16"/>
          <w:color w:val="A6A6A6"/>
        </w:rPr>
      </w:pPr>
    </w:p>
    <w:p>
      <w:pPr>
        <w:ind w:left="580" w:right="300" w:hanging="296"/>
        <w:spacing w:after="0" w:line="277" w:lineRule="auto"/>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regulatory approval or the failure to obtain it, or specific label indications or patient populations for its use, or changes or delays in the regulatory review process;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therapeutic innovations or new products by us or our competitors;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changes or developments in laws or regulations applicable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adverse changes to our relationship with manufacturers or suppliers;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intellectual property infringement actions in which we may become involved;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23" w:name="page24"/>
    <w:bookmarkEnd w:id="23"/>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concerning our competitors or the pharmaceutical industry in general;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achievement of expected product sales and profitability or our failure to meet expectations;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our commencement of, or involvement in,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major changes in our board of directors or management;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legislation in the United States relating to the sale or pricing of pharmaceuticals.</w:t>
      </w:r>
    </w:p>
    <w:p>
      <w:pPr>
        <w:spacing w:after="0" w:line="200"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200" w:lineRule="exact"/>
        <w:rPr>
          <w:sz w:val="20"/>
          <w:szCs w:val="20"/>
          <w:color w:val="auto"/>
        </w:rPr>
      </w:pPr>
    </w:p>
    <w:p>
      <w:pPr>
        <w:ind w:right="200" w:firstLine="370"/>
        <w:spacing w:after="0" w:line="264"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2" w:lineRule="exact"/>
        <w:rPr>
          <w:sz w:val="20"/>
          <w:szCs w:val="20"/>
          <w:color w:val="auto"/>
        </w:rPr>
      </w:pPr>
    </w:p>
    <w:p>
      <w:pPr>
        <w:ind w:right="140"/>
        <w:spacing w:after="0" w:line="351" w:lineRule="auto"/>
        <w:rPr>
          <w:sz w:val="20"/>
          <w:szCs w:val="20"/>
          <w:color w:val="auto"/>
        </w:rPr>
      </w:pPr>
      <w:r>
        <w:rPr>
          <w:rFonts w:ascii="Arial" w:cs="Arial" w:eastAsia="Arial" w:hAnsi="Arial"/>
          <w:sz w:val="14"/>
          <w:szCs w:val="14"/>
          <w:b w:val="1"/>
          <w:bCs w:val="1"/>
          <w:i w:val="1"/>
          <w:iCs w:val="1"/>
          <w:color w:val="auto"/>
        </w:rPr>
        <w:t>Our principal shareholders, chief executive officer and directors currently own over 80% of our outstanding ordinary shares and will own over 70% of our ordinary shares upon the closing of this offering. They will therefore be able to exert significant control over matters submitted to our shareholders for approval.</w:t>
      </w:r>
    </w:p>
    <w:p>
      <w:pPr>
        <w:spacing w:after="0" w:line="106" w:lineRule="exact"/>
        <w:rPr>
          <w:sz w:val="20"/>
          <w:szCs w:val="20"/>
          <w:color w:val="auto"/>
        </w:rPr>
      </w:pPr>
    </w:p>
    <w:p>
      <w:pPr>
        <w:ind w:right="40" w:firstLine="370"/>
        <w:spacing w:after="0" w:line="276" w:lineRule="auto"/>
        <w:rPr>
          <w:sz w:val="20"/>
          <w:szCs w:val="20"/>
          <w:color w:val="auto"/>
        </w:rPr>
      </w:pPr>
      <w:r>
        <w:rPr>
          <w:rFonts w:ascii="Arial" w:cs="Arial" w:eastAsia="Arial" w:hAnsi="Arial"/>
          <w:sz w:val="15"/>
          <w:szCs w:val="15"/>
          <w:color w:val="auto"/>
        </w:rPr>
        <w:t>After this offering, our chief executive officer and directors, and shareholders who own more than 5% of our outstanding ordinary shares before this offering will, in the aggregate, beneficially own approximately 70.83%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ordinary shares in this offering, you will incur immediate and substantial dilution in the book value of your shares.</w:t>
      </w:r>
    </w:p>
    <w:p>
      <w:pPr>
        <w:spacing w:after="0" w:line="200" w:lineRule="exact"/>
        <w:rPr>
          <w:sz w:val="20"/>
          <w:szCs w:val="20"/>
          <w:color w:val="auto"/>
        </w:rPr>
      </w:pPr>
    </w:p>
    <w:p>
      <w:pPr>
        <w:ind w:firstLine="370"/>
        <w:spacing w:after="0" w:line="299" w:lineRule="auto"/>
        <w:rPr>
          <w:sz w:val="20"/>
          <w:szCs w:val="20"/>
          <w:color w:val="auto"/>
        </w:rPr>
      </w:pPr>
      <w:r>
        <w:rPr>
          <w:rFonts w:ascii="Arial" w:cs="Arial" w:eastAsia="Arial" w:hAnsi="Arial"/>
          <w:sz w:val="14"/>
          <w:szCs w:val="14"/>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$9.58 per share, based on an assumed initial public offering price of $11.00 per share, and our pro forma net tangible book value as of December 31, 2012. In addition, as of that date, options and warrants to purchase 952,402 of our ordinary shares at a weighted average exercise price of $2.845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00" w:lineRule="exact"/>
        <w:rPr>
          <w:sz w:val="20"/>
          <w:szCs w:val="20"/>
          <w:color w:val="auto"/>
        </w:rPr>
      </w:pPr>
    </w:p>
    <w:p>
      <w:pPr>
        <w:ind w:right="200" w:firstLine="370"/>
        <w:spacing w:after="0" w:line="274" w:lineRule="auto"/>
        <w:rPr>
          <w:sz w:val="20"/>
          <w:szCs w:val="20"/>
          <w:color w:val="auto"/>
        </w:rPr>
      </w:pPr>
      <w:r>
        <w:rPr>
          <w:rFonts w:ascii="Arial" w:cs="Arial" w:eastAsia="Arial" w:hAnsi="Arial"/>
          <w:sz w:val="15"/>
          <w:szCs w:val="15"/>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2" w:lineRule="exact"/>
        <w:rPr>
          <w:sz w:val="20"/>
          <w:szCs w:val="20"/>
          <w:color w:val="auto"/>
        </w:rPr>
      </w:pPr>
    </w:p>
    <w:p>
      <w:pPr>
        <w:ind w:right="40" w:firstLine="370"/>
        <w:spacing w:after="0" w:line="257"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our ordinary shares could have adverse U.S. income tax consequences.</w:t>
      </w:r>
    </w:p>
    <w:p>
      <w:pPr>
        <w:spacing w:after="0" w:line="152" w:lineRule="exact"/>
        <w:rPr>
          <w:sz w:val="20"/>
          <w:szCs w:val="20"/>
          <w:color w:val="auto"/>
        </w:rPr>
      </w:pPr>
    </w:p>
    <w:p>
      <w:pPr>
        <w:ind w:right="160" w:firstLine="370"/>
        <w:spacing w:after="0" w:line="259"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67" w:lineRule="exact"/>
        <w:rPr>
          <w:sz w:val="20"/>
          <w:szCs w:val="20"/>
          <w:color w:val="auto"/>
        </w:rPr>
      </w:pPr>
    </w:p>
    <w:p>
      <w:pPr>
        <w:ind w:right="1040"/>
        <w:spacing w:after="0" w:line="351"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06"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2" w:lineRule="exact"/>
        <w:rPr>
          <w:sz w:val="20"/>
          <w:szCs w:val="20"/>
          <w:color w:val="auto"/>
        </w:rPr>
      </w:pPr>
    </w:p>
    <w:p>
      <w:pPr>
        <w:ind w:right="520" w:firstLine="370"/>
        <w:spacing w:after="0" w:line="319" w:lineRule="auto"/>
        <w:rPr>
          <w:sz w:val="20"/>
          <w:szCs w:val="20"/>
          <w:color w:val="auto"/>
        </w:rPr>
      </w:pPr>
      <w:r>
        <w:rPr>
          <w:rFonts w:ascii="Arial" w:cs="Arial" w:eastAsia="Arial" w:hAnsi="Arial"/>
          <w:sz w:val="14"/>
          <w:szCs w:val="14"/>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associated with being a public company will require significant company resources and management attention.</w:t>
      </w:r>
    </w:p>
    <w:p>
      <w:pPr>
        <w:spacing w:after="0" w:line="200"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2"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6"/>
          <w:szCs w:val="16"/>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2" w:lineRule="exact"/>
        <w:rPr>
          <w:sz w:val="20"/>
          <w:szCs w:val="20"/>
          <w:color w:val="auto"/>
        </w:rPr>
      </w:pPr>
    </w:p>
    <w:p>
      <w:pPr>
        <w:ind w:left="580" w:right="480" w:hanging="296"/>
        <w:spacing w:after="0" w:line="277" w:lineRule="auto"/>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the provisions of the Sarbanes-Oxley Act requiring that our independent registered public accounting firm provide an attestation report on the effectiveness of our internal control over financial reporting;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5" w:name="page26"/>
    <w:bookmarkEnd w:id="25"/>
    <w:p>
      <w:pPr>
        <w:ind w:left="584" w:hanging="296"/>
        <w:spacing w:after="0" w:line="319" w:lineRule="auto"/>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26" w:lineRule="exact"/>
        <w:rPr>
          <w:rFonts w:ascii="Arial" w:cs="Arial" w:eastAsia="Arial" w:hAnsi="Arial"/>
          <w:sz w:val="14"/>
          <w:szCs w:val="14"/>
          <w:color w:val="A6A6A6"/>
        </w:rPr>
      </w:pPr>
    </w:p>
    <w:p>
      <w:pPr>
        <w:ind w:left="584" w:hanging="296"/>
        <w:spacing w:after="0"/>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our ability not to comply with new accounting principles that do not apply to public companies until such accounting principles become applicable to private companies;</w:t>
      </w:r>
    </w:p>
    <w:p>
      <w:pPr>
        <w:spacing w:after="0" w:line="223" w:lineRule="exact"/>
        <w:rPr>
          <w:rFonts w:ascii="Arial" w:cs="Arial" w:eastAsia="Arial" w:hAnsi="Arial"/>
          <w:sz w:val="14"/>
          <w:szCs w:val="14"/>
          <w:color w:val="A6A6A6"/>
        </w:rPr>
      </w:pPr>
    </w:p>
    <w:p>
      <w:pPr>
        <w:ind w:left="584" w:hanging="296"/>
        <w:spacing w:after="0" w:line="277" w:lineRule="auto"/>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any rules that may be adopted by the Public Company Accounting Oversight Board requiring mandatory audit firm rotation or a supplement to the auditor’s report on the financial statements; and</w:t>
      </w:r>
    </w:p>
    <w:p>
      <w:pPr>
        <w:spacing w:after="0" w:line="151" w:lineRule="exact"/>
        <w:rPr>
          <w:rFonts w:ascii="Arial" w:cs="Arial" w:eastAsia="Arial" w:hAnsi="Arial"/>
          <w:sz w:val="16"/>
          <w:szCs w:val="16"/>
          <w:color w:val="A6A6A6"/>
        </w:rPr>
      </w:pPr>
    </w:p>
    <w:p>
      <w:pPr>
        <w:ind w:left="584" w:hanging="296"/>
        <w:spacing w:after="0"/>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our ability to furnish two rather than three years of income statements and statements of cash flows in various required filings.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We intend to take advantage of these exemptions until we are no longer an “emerging growth company.” We will remain an emerging growth company until the earlier of</w:t>
      </w:r>
    </w:p>
    <w:p>
      <w:pPr>
        <w:spacing w:after="0" w:line="32"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last day of the fiscal year (a) following the fifth anniversary of the completion of this offering, (b) in which we have total annual gross revenue of at least $1.0 billion, or</w:t>
      </w:r>
    </w:p>
    <w:p>
      <w:pPr>
        <w:spacing w:after="0" w:line="19" w:lineRule="exact"/>
        <w:rPr>
          <w:rFonts w:ascii="Arial" w:cs="Arial" w:eastAsia="Arial" w:hAnsi="Arial"/>
          <w:sz w:val="15"/>
          <w:szCs w:val="15"/>
          <w:color w:val="auto"/>
        </w:rPr>
      </w:pPr>
    </w:p>
    <w:p>
      <w:pPr>
        <w:ind w:left="4" w:right="160"/>
        <w:spacing w:after="0" w:line="278" w:lineRule="auto"/>
        <w:rPr>
          <w:rFonts w:ascii="Arial" w:cs="Arial" w:eastAsia="Arial" w:hAnsi="Arial"/>
          <w:sz w:val="15"/>
          <w:szCs w:val="15"/>
          <w:color w:val="auto"/>
        </w:rPr>
      </w:pPr>
      <w:r>
        <w:rPr>
          <w:rFonts w:ascii="Arial" w:cs="Arial" w:eastAsia="Arial" w:hAnsi="Arial"/>
          <w:sz w:val="16"/>
          <w:szCs w:val="16"/>
          <w:color w:val="auto"/>
        </w:rPr>
        <w:t>(c)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41" w:lineRule="exact"/>
        <w:rPr>
          <w:sz w:val="20"/>
          <w:szCs w:val="20"/>
          <w:color w:val="auto"/>
        </w:rPr>
      </w:pPr>
    </w:p>
    <w:p>
      <w:pPr>
        <w:ind w:left="4" w:right="40" w:firstLine="288"/>
        <w:spacing w:after="0" w:line="277"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52" w:lineRule="exact"/>
        <w:rPr>
          <w:sz w:val="20"/>
          <w:szCs w:val="20"/>
          <w:color w:val="auto"/>
        </w:rPr>
      </w:pPr>
    </w:p>
    <w:p>
      <w:pPr>
        <w:ind w:left="4" w:right="780"/>
        <w:spacing w:after="0" w:line="277"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2" w:lineRule="exact"/>
        <w:rPr>
          <w:sz w:val="20"/>
          <w:szCs w:val="20"/>
          <w:color w:val="auto"/>
        </w:rPr>
      </w:pPr>
    </w:p>
    <w:p>
      <w:pPr>
        <w:ind w:left="4" w:right="20" w:firstLine="288"/>
        <w:spacing w:after="0" w:line="259"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6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8" w:lineRule="exact"/>
        <w:rPr>
          <w:sz w:val="20"/>
          <w:szCs w:val="20"/>
          <w:color w:val="auto"/>
        </w:rPr>
      </w:pPr>
    </w:p>
    <w:p>
      <w:pPr>
        <w:ind w:left="4" w:right="120" w:firstLine="346"/>
        <w:spacing w:after="0" w:line="254"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2" w:lineRule="exact"/>
        <w:rPr>
          <w:sz w:val="20"/>
          <w:szCs w:val="20"/>
          <w:color w:val="auto"/>
        </w:rPr>
      </w:pPr>
    </w:p>
    <w:p>
      <w:pPr>
        <w:ind w:left="4" w:right="120" w:firstLine="346"/>
        <w:spacing w:after="0" w:line="25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204"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2" w:lineRule="exact"/>
        <w:rPr>
          <w:sz w:val="20"/>
          <w:szCs w:val="20"/>
          <w:color w:val="auto"/>
        </w:rPr>
      </w:pPr>
    </w:p>
    <w:p>
      <w:pPr>
        <w:ind w:left="4" w:firstLine="360"/>
        <w:spacing w:after="0" w:line="271" w:lineRule="auto"/>
        <w:rPr>
          <w:sz w:val="20"/>
          <w:szCs w:val="20"/>
          <w:color w:val="auto"/>
        </w:rPr>
      </w:pPr>
      <w:r>
        <w:rPr>
          <w:rFonts w:ascii="Arial" w:cs="Arial" w:eastAsia="Arial" w:hAnsi="Arial"/>
          <w:sz w:val="15"/>
          <w:szCs w:val="15"/>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4" w:lineRule="exact"/>
        <w:rPr>
          <w:sz w:val="20"/>
          <w:szCs w:val="20"/>
          <w:color w:val="auto"/>
        </w:rPr>
      </w:pPr>
    </w:p>
    <w:p>
      <w:pPr>
        <w:ind w:left="4" w:right="100" w:firstLine="360"/>
        <w:spacing w:after="0" w:line="257"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8" w:lineRule="exact"/>
        <w:rPr>
          <w:sz w:val="20"/>
          <w:szCs w:val="20"/>
          <w:color w:val="auto"/>
        </w:rPr>
      </w:pPr>
    </w:p>
    <w:p>
      <w:pPr>
        <w:ind w:left="4" w:right="60" w:firstLine="360"/>
        <w:spacing w:after="0" w:line="351" w:lineRule="auto"/>
        <w:rPr>
          <w:sz w:val="20"/>
          <w:szCs w:val="20"/>
          <w:color w:val="auto"/>
        </w:rPr>
      </w:pPr>
      <w:r>
        <w:rPr>
          <w:rFonts w:ascii="Arial" w:cs="Arial" w:eastAsia="Arial" w:hAnsi="Arial"/>
          <w:sz w:val="14"/>
          <w:szCs w:val="14"/>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or consultants to perform military service.</w:t>
      </w:r>
    </w:p>
    <w:p>
      <w:pPr>
        <w:spacing w:after="0" w:line="200" w:lineRule="exact"/>
        <w:rPr>
          <w:sz w:val="20"/>
          <w:szCs w:val="20"/>
          <w:color w:val="auto"/>
        </w:rPr>
      </w:pPr>
    </w:p>
    <w:p>
      <w:pPr>
        <w:ind w:right="100" w:firstLine="360"/>
        <w:spacing w:after="0" w:line="256"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New Israeli Shekel currencies may negatively affect our earnings.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6"/>
          <w:szCs w:val="16"/>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11, 2013 was $1.00 = NIS 3.62. We cannot predict any future trends in the rate of inflation in Israel or the rate of devaluation (if any) of the NIS against the U.S. dollar.</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5"/>
          <w:szCs w:val="15"/>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55"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35"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28" w:lineRule="exact"/>
        <w:rPr>
          <w:sz w:val="20"/>
          <w:szCs w:val="20"/>
          <w:color w:val="auto"/>
        </w:rPr>
      </w:pPr>
    </w:p>
    <w:p>
      <w:pPr>
        <w:ind w:firstLine="360"/>
        <w:spacing w:after="0" w:line="294"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7" w:name="page28"/>
    <w:bookmarkEnd w:id="27"/>
    <w:p>
      <w:pPr>
        <w:ind w:right="60" w:firstLine="360"/>
        <w:spacing w:after="0" w:line="277"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52" w:lineRule="exact"/>
        <w:rPr>
          <w:sz w:val="20"/>
          <w:szCs w:val="20"/>
          <w:color w:val="auto"/>
        </w:rPr>
      </w:pPr>
    </w:p>
    <w:p>
      <w:pPr>
        <w:ind w:firstLine="360"/>
        <w:spacing w:after="0" w:line="312" w:lineRule="auto"/>
        <w:rPr>
          <w:sz w:val="20"/>
          <w:szCs w:val="20"/>
          <w:color w:val="auto"/>
        </w:rPr>
      </w:pPr>
      <w:r>
        <w:rPr>
          <w:rFonts w:ascii="Arial" w:cs="Arial" w:eastAsia="Arial" w:hAnsi="Arial"/>
          <w:sz w:val="15"/>
          <w:szCs w:val="15"/>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28" w:lineRule="exact"/>
        <w:rPr>
          <w:sz w:val="20"/>
          <w:szCs w:val="20"/>
          <w:color w:val="auto"/>
        </w:rPr>
      </w:pPr>
    </w:p>
    <w:p>
      <w:pPr>
        <w:ind w:left="1140" w:hanging="279"/>
        <w:spacing w:after="0"/>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no cumulative voting in the election of directors, which limits the ability of minority stockholders to elect director candidates; and</w:t>
      </w:r>
    </w:p>
    <w:p>
      <w:pPr>
        <w:spacing w:after="0" w:line="200" w:lineRule="exact"/>
        <w:rPr>
          <w:rFonts w:ascii="Arial" w:cs="Arial" w:eastAsia="Arial" w:hAnsi="Arial"/>
          <w:sz w:val="16"/>
          <w:szCs w:val="16"/>
          <w:color w:val="A6A6A6"/>
        </w:rPr>
      </w:pPr>
    </w:p>
    <w:p>
      <w:pPr>
        <w:ind w:left="1140" w:right="260" w:hanging="279"/>
        <w:spacing w:after="0" w:line="277" w:lineRule="auto"/>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28"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2" w:lineRule="exact"/>
        <w:rPr>
          <w:sz w:val="20"/>
          <w:szCs w:val="20"/>
          <w:color w:val="auto"/>
        </w:rPr>
      </w:pPr>
    </w:p>
    <w:p>
      <w:pPr>
        <w:ind w:firstLine="360"/>
        <w:spacing w:after="0" w:line="276" w:lineRule="auto"/>
        <w:rPr>
          <w:sz w:val="20"/>
          <w:szCs w:val="20"/>
          <w:color w:val="auto"/>
        </w:rPr>
      </w:pPr>
      <w:r>
        <w:rPr>
          <w:rFonts w:ascii="Arial" w:cs="Arial" w:eastAsia="Arial" w:hAnsi="Arial"/>
          <w:sz w:val="15"/>
          <w:szCs w:val="15"/>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ind w:right="160" w:firstLine="369"/>
        <w:spacing w:after="0" w:line="259" w:lineRule="auto"/>
        <w:rPr>
          <w:sz w:val="20"/>
          <w:szCs w:val="20"/>
          <w:color w:val="auto"/>
        </w:rPr>
      </w:pPr>
      <w:r>
        <w:rPr>
          <w:rFonts w:ascii="Arial" w:cs="Arial" w:eastAsia="Arial" w:hAnsi="Arial"/>
          <w:sz w:val="16"/>
          <w:szCs w:val="16"/>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200"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FDA approval of, or other regulatory action with respect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commercial launch and future sales of MG01CI or any other future products or product candidates;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ability to achieve favorable pricing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the commercial supply of our ADHD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third-party payor reimbursement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estimates regarding anticipated capital requirements and our needs for additional financing;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ADHD patient market size and market adoption of MG01CI by physicians and patients;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cost or other aspects of the commercial launch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and cost of Phase III trials for MG01CI or whether such trials will be conducted at all;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completion and receiving favorable results of Phase III trials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development and approval of the use of MG01CI for additional indications or in combination therapy;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licensing, acquisitions and strategic operations.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67"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firstLine="370"/>
        <w:spacing w:after="0" w:line="312" w:lineRule="auto"/>
        <w:rPr>
          <w:sz w:val="20"/>
          <w:szCs w:val="20"/>
          <w:color w:val="auto"/>
        </w:rPr>
      </w:pPr>
      <w:r>
        <w:rPr>
          <w:rFonts w:ascii="Arial" w:cs="Arial" w:eastAsia="Arial" w:hAnsi="Arial"/>
          <w:sz w:val="15"/>
          <w:szCs w:val="15"/>
          <w:color w:val="auto"/>
        </w:rPr>
        <w:t>We expect to receive approximately $13,007,025 in net proceeds from the sale of 1,365,000 ordinary shares offered by us in this offering (approximately $15,102,000 if the underwriters exercise their over-allotment option in full), after deducting the underwriting discounts and commissions and estimated offering expenses payable by us.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expect to use the net proceeds from this offering for:</w:t>
      </w:r>
    </w:p>
    <w:p>
      <w:pPr>
        <w:spacing w:after="0" w:line="200"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at least one advanced clinical trial of MG01CI for adult ADHD, estimated at $6,000,000;</w:t>
      </w:r>
    </w:p>
    <w:p>
      <w:pPr>
        <w:spacing w:after="0" w:line="200"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preparing for our proposed registration studies in adults and Phase I/II clinical studies in children for MG01CI, including engaging the FDA in discussions related to protocols for the trials, estimated at $1,000,000 to $3,000,000;</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evaluating MG01CI in Phase II trials for additional disorders of cognitive function, estimated at $1,000,000 to $2,000,000;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remainder for working capital and general corporate purposes.</w:t>
      </w:r>
    </w:p>
    <w:p>
      <w:pPr>
        <w:spacing w:after="0" w:line="200" w:lineRule="exact"/>
        <w:rPr>
          <w:sz w:val="20"/>
          <w:szCs w:val="20"/>
          <w:color w:val="auto"/>
        </w:rPr>
      </w:pPr>
    </w:p>
    <w:p>
      <w:pPr>
        <w:ind w:firstLine="370"/>
        <w:spacing w:after="0" w:line="264"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current understandings, commitments or agreements with respect to any material acquisition of or investment in any technologies, products or companies.</w:t>
      </w:r>
    </w:p>
    <w:p>
      <w:pPr>
        <w:spacing w:after="0" w:line="223" w:lineRule="exact"/>
        <w:rPr>
          <w:sz w:val="20"/>
          <w:szCs w:val="20"/>
          <w:color w:val="auto"/>
        </w:rPr>
      </w:pPr>
    </w:p>
    <w:p>
      <w:pPr>
        <w:ind w:right="220" w:firstLine="370"/>
        <w:spacing w:after="0" w:line="277" w:lineRule="auto"/>
        <w:rPr>
          <w:sz w:val="20"/>
          <w:szCs w:val="20"/>
          <w:color w:val="auto"/>
        </w:rPr>
      </w:pPr>
      <w:r>
        <w:rPr>
          <w:rFonts w:ascii="Arial" w:cs="Arial" w:eastAsia="Arial" w:hAnsi="Arial"/>
          <w:sz w:val="16"/>
          <w:szCs w:val="16"/>
          <w:color w:val="auto"/>
        </w:rPr>
        <w:t>We expect to conduct two Phase III clinical trials. We do not expect that these funds will be adequate to complete the second of these Phase III clinical trials, which will require us to raise additional funds for this purpose.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“Description of Share Capital—Dividend and Liquidation Rights” for additional information.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dividends may be subject to Israeli withholding taxes. See “Taxation—Israeli Tax Considerations” for additional information.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0"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as of December 31, 2012:</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on an actual basis;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5"/>
          <w:szCs w:val="15"/>
          <w:color w:val="A6A6A6"/>
        </w:rPr>
      </w:pPr>
      <w:r>
        <w:rPr>
          <w:rFonts w:ascii="Arial" w:cs="Arial" w:eastAsia="Arial" w:hAnsi="Arial"/>
          <w:sz w:val="15"/>
          <w:szCs w:val="15"/>
          <w:color w:val="auto"/>
        </w:rPr>
        <w:t>on a pro forma basis to give effect to the mandatory conversion of our Convertible Notes at the closing of this offering and the Warrant Cashless Exercise; and</w:t>
      </w:r>
    </w:p>
    <w:p>
      <w:pPr>
        <w:spacing w:after="0" w:line="211" w:lineRule="exact"/>
        <w:rPr>
          <w:rFonts w:ascii="Arial" w:cs="Arial" w:eastAsia="Arial" w:hAnsi="Arial"/>
          <w:sz w:val="15"/>
          <w:szCs w:val="15"/>
          <w:color w:val="A6A6A6"/>
        </w:rPr>
      </w:pPr>
    </w:p>
    <w:p>
      <w:pPr>
        <w:ind w:left="580" w:right="60" w:hanging="296"/>
        <w:spacing w:after="0" w:line="302" w:lineRule="auto"/>
        <w:tabs>
          <w:tab w:leader="none" w:pos="580" w:val="left"/>
        </w:tabs>
        <w:numPr>
          <w:ilvl w:val="0"/>
          <w:numId w:val="33"/>
        </w:numPr>
        <w:rPr>
          <w:rFonts w:ascii="Arial" w:cs="Arial" w:eastAsia="Arial" w:hAnsi="Arial"/>
          <w:sz w:val="14"/>
          <w:szCs w:val="14"/>
          <w:color w:val="A6A6A6"/>
        </w:rPr>
      </w:pPr>
      <w:r>
        <w:rPr>
          <w:rFonts w:ascii="Arial" w:cs="Arial" w:eastAsia="Arial" w:hAnsi="Arial"/>
          <w:sz w:val="14"/>
          <w:szCs w:val="14"/>
          <w:color w:val="auto"/>
        </w:rPr>
        <w:t>on a pro forma, as adjusted, basis to also give effect to: (i) the sale of 1,365,000 ordinary shares in this offering at an assumed initial public offering price of $11.00 per share (the midpoint of the range set forth on the cover page of this prospectus), after deducting underwriting discounts and commissions and estimated offering expenses payable by us; (ii)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 and (iii) the Warrant Cashless Exercise.</w:t>
      </w:r>
    </w:p>
    <w:p>
      <w:pPr>
        <w:spacing w:after="0" w:line="140"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2012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8"/>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2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320" w:type="dxa"/>
            <w:vAlign w:val="bottom"/>
          </w:tcPr>
          <w:p>
            <w:pPr>
              <w:jc w:val="center"/>
              <w:ind w:right="240"/>
              <w:spacing w:after="0"/>
              <w:rPr>
                <w:sz w:val="20"/>
                <w:szCs w:val="20"/>
                <w:color w:val="auto"/>
              </w:rPr>
            </w:pPr>
            <w:r>
              <w:rPr>
                <w:rFonts w:ascii="Arial" w:cs="Arial" w:eastAsia="Arial" w:hAnsi="Arial"/>
                <w:sz w:val="16"/>
                <w:szCs w:val="16"/>
                <w:b w:val="1"/>
                <w:bCs w:val="1"/>
                <w:color w:val="auto"/>
                <w:w w:val="91"/>
              </w:rPr>
              <w:t>(unaudited)</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Convertible Notes</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tcPr>
          <w:p>
            <w:pPr>
              <w:spacing w:after="0" w:line="180" w:lineRule="exact"/>
              <w:rPr>
                <w:sz w:val="20"/>
                <w:szCs w:val="20"/>
                <w:color w:val="auto"/>
              </w:rPr>
            </w:pPr>
            <w:r>
              <w:rPr>
                <w:rFonts w:ascii="Arial" w:cs="Arial" w:eastAsia="Arial" w:hAnsi="Arial"/>
                <w:sz w:val="16"/>
                <w:szCs w:val="16"/>
                <w:color w:val="auto"/>
              </w:rPr>
              <w:t>Ordinary shares of NIS 0.01 par value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5"/>
              </w:rPr>
              <w:t>10,000,000 shares authorized at December 31, 2012 and 2011; 8,098,581 and 8,096,109 issued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0"/>
              </w:rPr>
              <w:t>shares at December 31, 2012 and 2011, respectively; 7,794,256 and 8,096,109 shares outstanding at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700" w:type="dxa"/>
            <w:vAlign w:val="bottom"/>
          </w:tcPr>
          <w:p>
            <w:pPr>
              <w:ind w:left="140"/>
              <w:spacing w:after="0"/>
              <w:rPr>
                <w:sz w:val="20"/>
                <w:szCs w:val="20"/>
                <w:color w:val="auto"/>
              </w:rPr>
            </w:pPr>
            <w:r>
              <w:rPr>
                <w:rFonts w:ascii="Arial" w:cs="Arial" w:eastAsia="Arial" w:hAnsi="Arial"/>
                <w:sz w:val="16"/>
                <w:szCs w:val="16"/>
                <w:color w:val="auto"/>
              </w:rPr>
              <w:t>December 31, 2012 and 2011, respectively</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7,615</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13,803</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21,418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(8,186)</w:t>
            </w:r>
          </w:p>
        </w:tc>
        <w:tc>
          <w:tcPr>
            <w:tcW w:w="28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(8,324)</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13,669</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13,102</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Total capitalization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13,007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13,102</w:t>
            </w:r>
          </w:p>
        </w:tc>
      </w:tr>
    </w:tbl>
    <w:p>
      <w:pPr>
        <w:spacing w:after="0" w:line="167" w:lineRule="exact"/>
        <w:rPr>
          <w:sz w:val="20"/>
          <w:szCs w:val="20"/>
          <w:color w:val="auto"/>
        </w:rPr>
      </w:pPr>
    </w:p>
    <w:p>
      <w:pPr>
        <w:ind w:right="100" w:firstLine="357"/>
        <w:spacing w:after="0" w:line="319" w:lineRule="auto"/>
        <w:rPr>
          <w:sz w:val="20"/>
          <w:szCs w:val="20"/>
          <w:color w:val="auto"/>
        </w:rPr>
      </w:pPr>
      <w:r>
        <w:rPr>
          <w:rFonts w:ascii="Arial" w:cs="Arial" w:eastAsia="Arial" w:hAnsi="Arial"/>
          <w:sz w:val="14"/>
          <w:szCs w:val="14"/>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in connection with the Warrant Cashless Exercise. This number excludes:</w:t>
      </w:r>
    </w:p>
    <w:p>
      <w:pPr>
        <w:spacing w:after="0" w:line="127" w:lineRule="exact"/>
        <w:rPr>
          <w:sz w:val="20"/>
          <w:szCs w:val="20"/>
          <w:color w:val="auto"/>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640" w:right="140" w:hanging="284"/>
        <w:spacing w:after="0" w:line="277" w:lineRule="auto"/>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6"/>
          <w:szCs w:val="16"/>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DILUTION</w:t>
      </w:r>
    </w:p>
    <w:p>
      <w:pPr>
        <w:spacing w:after="0" w:line="204" w:lineRule="exact"/>
        <w:rPr>
          <w:sz w:val="20"/>
          <w:szCs w:val="20"/>
          <w:color w:val="auto"/>
        </w:rPr>
      </w:pPr>
    </w:p>
    <w:p>
      <w:pPr>
        <w:ind w:right="300" w:firstLine="370"/>
        <w:spacing w:after="0" w:line="312" w:lineRule="auto"/>
        <w:rPr>
          <w:sz w:val="20"/>
          <w:szCs w:val="20"/>
          <w:color w:val="auto"/>
        </w:rPr>
      </w:pPr>
      <w:r>
        <w:rPr>
          <w:rFonts w:ascii="Arial" w:cs="Arial" w:eastAsia="Arial" w:hAnsi="Arial"/>
          <w:sz w:val="15"/>
          <w:szCs w:val="15"/>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28" w:lineRule="exact"/>
        <w:rPr>
          <w:sz w:val="20"/>
          <w:szCs w:val="20"/>
          <w:color w:val="auto"/>
        </w:rPr>
      </w:pPr>
    </w:p>
    <w:p>
      <w:pPr>
        <w:ind w:right="20" w:firstLine="370"/>
        <w:spacing w:after="0" w:line="308" w:lineRule="auto"/>
        <w:rPr>
          <w:sz w:val="20"/>
          <w:szCs w:val="20"/>
          <w:color w:val="auto"/>
        </w:rPr>
      </w:pPr>
      <w:r>
        <w:rPr>
          <w:rFonts w:ascii="Arial" w:cs="Arial" w:eastAsia="Arial" w:hAnsi="Arial"/>
          <w:sz w:val="14"/>
          <w:szCs w:val="14"/>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and the cashless exercise of 129,257 warrants resulting in the issuance of 97,214 shares, our historical net tangible book value per share was $0.012.</w:t>
      </w:r>
    </w:p>
    <w:p>
      <w:pPr>
        <w:spacing w:after="0" w:line="135" w:lineRule="exact"/>
        <w:rPr>
          <w:sz w:val="20"/>
          <w:szCs w:val="20"/>
          <w:color w:val="auto"/>
        </w:rPr>
      </w:pPr>
    </w:p>
    <w:p>
      <w:pPr>
        <w:ind w:right="200" w:firstLine="360"/>
        <w:spacing w:after="0" w:line="25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$13,102,025, or $1.40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$9.58 per share to new investors purchasing ordinary shares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on a per share basis to new investors: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Assumed initial public offering price per share</w:t>
            </w:r>
          </w:p>
        </w:tc>
        <w:tc>
          <w:tcPr>
            <w:tcW w:w="68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tangible book value per share before this offering, as of December 31, 2012</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w w:val="99"/>
              </w:rPr>
              <w:t>Pro forma increase in net tangible book value per share attributable to conversion of promissory notes</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0.082</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net tangible book value per share as of December 31, 2012</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0.012</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Increase in net tangible book value per share attributable to new investors in this offering</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1.388</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offering</w:t>
            </w: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Dilution in pro forma tangible book value (deficit) per share to new investors</w:t>
            </w:r>
          </w:p>
        </w:tc>
        <w:tc>
          <w:tcPr>
            <w:tcW w:w="68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69"/>
        <w:spacing w:after="0" w:line="259"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$1.59 per share, the increase in the pro forma net tangible book value per share attributable to new investors would be approximately $1.58 per share and the dilution to new investors purchasing shares in this offering would be approximately $9.41 per share.</w:t>
      </w:r>
    </w:p>
    <w:p>
      <w:pPr>
        <w:spacing w:after="0" w:line="167" w:lineRule="exact"/>
        <w:rPr>
          <w:sz w:val="20"/>
          <w:szCs w:val="20"/>
          <w:color w:val="auto"/>
        </w:rPr>
      </w:pPr>
    </w:p>
    <w:p>
      <w:pPr>
        <w:ind w:right="60" w:firstLine="360"/>
        <w:spacing w:after="0" w:line="319" w:lineRule="auto"/>
        <w:rPr>
          <w:sz w:val="20"/>
          <w:szCs w:val="20"/>
          <w:color w:val="auto"/>
        </w:rPr>
      </w:pPr>
      <w:r>
        <w:rPr>
          <w:rFonts w:ascii="Arial" w:cs="Arial" w:eastAsia="Arial" w:hAnsi="Arial"/>
          <w:sz w:val="14"/>
          <w:szCs w:val="14"/>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r>
      <w:tr>
        <w:trPr>
          <w:trHeight w:val="209"/>
        </w:trPr>
        <w:tc>
          <w:tcPr>
            <w:tcW w:w="3660" w:type="dxa"/>
            <w:vAlign w:val="bottom"/>
          </w:tcPr>
          <w:p>
            <w:pPr>
              <w:spacing w:after="0"/>
              <w:rPr>
                <w:sz w:val="18"/>
                <w:szCs w:val="18"/>
                <w:color w:val="auto"/>
              </w:rPr>
            </w:pPr>
          </w:p>
        </w:tc>
        <w:tc>
          <w:tcPr>
            <w:tcW w:w="2520" w:type="dxa"/>
            <w:vAlign w:val="bottom"/>
            <w:gridSpan w:val="3"/>
          </w:tcPr>
          <w:p>
            <w:pPr>
              <w:ind w:left="80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Total Consideration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r>
      <w:tr>
        <w:trPr>
          <w:trHeight w:val="196"/>
        </w:trPr>
        <w:tc>
          <w:tcPr>
            <w:tcW w:w="3660" w:type="dxa"/>
            <w:vAlign w:val="bottom"/>
            <w:tcBorders>
              <w:bottom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top w:val="single" w:sz="8" w:color="auto"/>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bottom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0"/>
              </w:rPr>
              <w:t>Per Share</w:t>
            </w:r>
          </w:p>
        </w:tc>
        <w:tc>
          <w:tcPr>
            <w:tcW w:w="120" w:type="dxa"/>
            <w:vAlign w:val="bottom"/>
            <w:tcBorders>
              <w:bottom w:val="single" w:sz="8" w:color="CCFFCC"/>
            </w:tcBorders>
          </w:tcPr>
          <w:p>
            <w:pPr>
              <w:spacing w:after="0"/>
              <w:rPr>
                <w:sz w:val="17"/>
                <w:szCs w:val="17"/>
                <w:color w:val="auto"/>
              </w:rPr>
            </w:pPr>
          </w:p>
        </w:tc>
      </w:tr>
      <w:tr>
        <w:trPr>
          <w:trHeight w:val="184"/>
        </w:trPr>
        <w:tc>
          <w:tcPr>
            <w:tcW w:w="3660" w:type="dxa"/>
            <w:vAlign w:val="bottom"/>
            <w:shd w:val="clear" w:color="auto" w:fill="CCFFCC"/>
          </w:tcPr>
          <w:p>
            <w:pPr>
              <w:spacing w:after="0"/>
              <w:rPr>
                <w:sz w:val="20"/>
                <w:szCs w:val="20"/>
                <w:color w:val="auto"/>
              </w:rPr>
            </w:pPr>
            <w:r>
              <w:rPr>
                <w:rFonts w:ascii="Arial" w:cs="Arial" w:eastAsia="Arial" w:hAnsi="Arial"/>
                <w:sz w:val="16"/>
                <w:szCs w:val="16"/>
                <w:color w:val="auto"/>
              </w:rPr>
              <w:t>Existing shareholders</w:t>
            </w:r>
          </w:p>
        </w:tc>
        <w:tc>
          <w:tcPr>
            <w:tcW w:w="1240" w:type="dxa"/>
            <w:vAlign w:val="bottom"/>
            <w:shd w:val="clear" w:color="auto" w:fill="CCFFCC"/>
          </w:tcPr>
          <w:p>
            <w:pPr>
              <w:ind w:left="600"/>
              <w:spacing w:after="0"/>
              <w:rPr>
                <w:sz w:val="20"/>
                <w:szCs w:val="20"/>
                <w:color w:val="auto"/>
              </w:rPr>
            </w:pPr>
            <w:r>
              <w:rPr>
                <w:rFonts w:ascii="Arial" w:cs="Arial" w:eastAsia="Arial" w:hAnsi="Arial"/>
                <w:sz w:val="16"/>
                <w:szCs w:val="16"/>
                <w:color w:val="auto"/>
                <w:w w:val="87"/>
              </w:rPr>
              <w:t>7,965,410</w:t>
            </w:r>
          </w:p>
        </w:tc>
        <w:tc>
          <w:tcPr>
            <w:tcW w:w="3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6"/>
                <w:szCs w:val="16"/>
                <w:color w:val="auto"/>
                <w:w w:val="92"/>
              </w:rPr>
              <w:t>85.4%</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5,761,000</w:t>
            </w:r>
          </w:p>
        </w:tc>
        <w:tc>
          <w:tcPr>
            <w:tcW w:w="3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6"/>
              </w:rPr>
              <w:t>27.7%</w:t>
            </w: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FFCC"/>
          </w:tcPr>
          <w:p>
            <w:pPr>
              <w:spacing w:after="0"/>
              <w:rPr>
                <w:sz w:val="16"/>
                <w:szCs w:val="16"/>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New investors</w:t>
            </w: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1,365,000</w:t>
            </w:r>
          </w:p>
        </w:tc>
        <w:tc>
          <w:tcPr>
            <w:tcW w:w="940" w:type="dxa"/>
            <w:vAlign w:val="bottom"/>
          </w:tcPr>
          <w:p>
            <w:pPr>
              <w:spacing w:after="0"/>
              <w:rPr>
                <w:sz w:val="17"/>
                <w:szCs w:val="17"/>
                <w:color w:val="auto"/>
              </w:rPr>
            </w:pPr>
          </w:p>
        </w:tc>
        <w:tc>
          <w:tcPr>
            <w:tcW w:w="680" w:type="dxa"/>
            <w:vAlign w:val="bottom"/>
            <w:gridSpan w:val="2"/>
          </w:tcPr>
          <w:p>
            <w:pPr>
              <w:jc w:val="right"/>
              <w:ind w:right="165"/>
              <w:spacing w:after="0"/>
              <w:rPr>
                <w:sz w:val="20"/>
                <w:szCs w:val="20"/>
                <w:color w:val="auto"/>
              </w:rPr>
            </w:pPr>
            <w:r>
              <w:rPr>
                <w:rFonts w:ascii="Arial" w:cs="Arial" w:eastAsia="Arial" w:hAnsi="Arial"/>
                <w:sz w:val="16"/>
                <w:szCs w:val="16"/>
                <w:color w:val="auto"/>
                <w:w w:val="92"/>
              </w:rPr>
              <w:t>14.6%</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15,015,000</w:t>
            </w:r>
          </w:p>
        </w:tc>
        <w:tc>
          <w:tcPr>
            <w:tcW w:w="9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72.3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11.00</w:t>
            </w:r>
          </w:p>
        </w:tc>
      </w:tr>
      <w:tr>
        <w:trPr>
          <w:trHeight w:val="196"/>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FFCC"/>
          </w:tcPr>
          <w:p>
            <w:pPr>
              <w:ind w:left="600"/>
              <w:spacing w:after="0"/>
              <w:rPr>
                <w:sz w:val="20"/>
                <w:szCs w:val="20"/>
                <w:color w:val="auto"/>
              </w:rPr>
            </w:pPr>
            <w:r>
              <w:rPr>
                <w:rFonts w:ascii="Arial" w:cs="Arial" w:eastAsia="Arial" w:hAnsi="Arial"/>
                <w:sz w:val="16"/>
                <w:szCs w:val="16"/>
                <w:color w:val="auto"/>
                <w:w w:val="87"/>
              </w:rPr>
              <w:t>9,233,195</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top w:val="single" w:sz="8" w:color="CCFFCC"/>
              <w:bottom w:val="single" w:sz="8" w:color="CCFFCC"/>
            </w:tcBorders>
            <w:shd w:val="clear" w:color="auto" w:fill="CCFFCC"/>
          </w:tcPr>
          <w:p>
            <w:pPr>
              <w:jc w:val="right"/>
              <w:ind w:right="165"/>
              <w:spacing w:after="0"/>
              <w:rPr>
                <w:sz w:val="20"/>
                <w:szCs w:val="20"/>
                <w:color w:val="auto"/>
              </w:rPr>
            </w:pPr>
            <w:r>
              <w:rPr>
                <w:rFonts w:ascii="Arial" w:cs="Arial" w:eastAsia="Arial" w:hAnsi="Arial"/>
                <w:sz w:val="15"/>
                <w:szCs w:val="15"/>
                <w:color w:val="auto"/>
                <w:w w:val="74"/>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20,776,000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auto"/>
            </w:tcBorders>
            <w:shd w:val="clear" w:color="auto" w:fill="CCFFCC"/>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00" w:firstLine="357"/>
        <w:spacing w:after="0" w:line="319" w:lineRule="auto"/>
        <w:rPr>
          <w:sz w:val="20"/>
          <w:szCs w:val="20"/>
          <w:color w:val="auto"/>
        </w:rPr>
      </w:pPr>
      <w:r>
        <w:rPr>
          <w:rFonts w:ascii="Arial" w:cs="Arial" w:eastAsia="Arial" w:hAnsi="Arial"/>
          <w:sz w:val="14"/>
          <w:szCs w:val="14"/>
          <w:color w:val="auto"/>
        </w:rPr>
        <w:t>The number of our ordinary shares to be outstanding immediately after this offering is based on 7,794,256 ordinary shares outstanding as of April 1, 2013 (giving prospective effect to the issuance of bonus shares equivalent to a stock split described below) and includes also: (i) 89,044 shares resulting from the mandatory conversion of our outstanding convertible notes upon closing of this offering and (ii) 97,214 shares issued in connection with the Warrant Cashless Exercise. This number excludes:</w:t>
      </w:r>
    </w:p>
    <w:p>
      <w:pPr>
        <w:spacing w:after="0" w:line="127" w:lineRule="exact"/>
        <w:rPr>
          <w:sz w:val="20"/>
          <w:szCs w:val="20"/>
          <w:color w:val="auto"/>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940" w:right="640" w:hanging="295"/>
        <w:spacing w:after="0" w:line="277" w:lineRule="auto"/>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the extent that new options are granted under our equity benefit plans, there will be further dilution to investors purchasing ordinary shares in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204" w:lineRule="exact"/>
        <w:rPr>
          <w:sz w:val="20"/>
          <w:szCs w:val="20"/>
          <w:color w:val="auto"/>
        </w:rPr>
      </w:pPr>
    </w:p>
    <w:p>
      <w:pPr>
        <w:ind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3"/>
              </w:rPr>
              <w:t>Research and development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w:t>
            </w:r>
          </w:p>
        </w:tc>
        <w:tc>
          <w:tcPr>
            <w:tcW w:w="56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4"/>
              </w:rPr>
              <w:t>General and administrative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56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Financial expense, net</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56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Deemed dividend</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180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1"/>
              </w:rPr>
              <w:t>Loss attributable to holders of ordinary</w:t>
            </w:r>
          </w:p>
        </w:tc>
        <w:tc>
          <w:tcPr>
            <w:tcW w:w="4000" w:type="dxa"/>
            <w:vAlign w:val="bottom"/>
            <w:gridSpan w:val="2"/>
            <w:shd w:val="clear" w:color="auto" w:fill="CCFFCC"/>
          </w:tcPr>
          <w:p>
            <w:pPr>
              <w:jc w:val="right"/>
              <w:ind w:right="3480"/>
              <w:spacing w:after="0"/>
              <w:rPr>
                <w:sz w:val="20"/>
                <w:szCs w:val="20"/>
                <w:color w:val="auto"/>
              </w:rPr>
            </w:pPr>
            <w:r>
              <w:rPr>
                <w:rFonts w:ascii="Arial" w:cs="Arial" w:eastAsia="Arial" w:hAnsi="Arial"/>
                <w:sz w:val="16"/>
                <w:szCs w:val="16"/>
                <w:color w:val="auto"/>
                <w:w w:val="87"/>
              </w:rPr>
              <w:t>shares</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1,579</w:t>
            </w:r>
          </w:p>
        </w:tc>
        <w:tc>
          <w:tcPr>
            <w:tcW w:w="56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52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1"/>
              </w:rPr>
              <w:t>Weighted average number of ordinary shares used in computing basic and diluted net loss per share</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56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Year Ended December 31, 2012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92"/>
              </w:rPr>
              <w:t>Pro forma</w:t>
            </w:r>
          </w:p>
        </w:tc>
        <w:tc>
          <w:tcPr>
            <w:tcW w:w="560" w:type="dxa"/>
            <w:vAlign w:val="bottom"/>
          </w:tcPr>
          <w:p>
            <w:pPr>
              <w:spacing w:after="0"/>
              <w:rPr>
                <w:sz w:val="14"/>
                <w:szCs w:val="14"/>
                <w:color w:val="auto"/>
              </w:rPr>
            </w:pPr>
          </w:p>
        </w:tc>
        <w:tc>
          <w:tcPr>
            <w:tcW w:w="1460" w:type="dxa"/>
            <w:vAlign w:val="bottom"/>
            <w:gridSpan w:val="3"/>
          </w:tcPr>
          <w:p>
            <w:pPr>
              <w:ind w:left="620"/>
              <w:spacing w:after="0" w:line="168" w:lineRule="exact"/>
              <w:rPr>
                <w:sz w:val="20"/>
                <w:szCs w:val="20"/>
                <w:color w:val="auto"/>
              </w:rPr>
            </w:pPr>
            <w:r>
              <w:rPr>
                <w:rFonts w:ascii="Arial" w:cs="Arial" w:eastAsia="Arial" w:hAnsi="Arial"/>
                <w:sz w:val="16"/>
                <w:szCs w:val="16"/>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91"/>
              </w:rPr>
              <w:t>(unaudited)</w:t>
            </w:r>
          </w:p>
        </w:tc>
        <w:tc>
          <w:tcPr>
            <w:tcW w:w="56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6"/>
                <w:szCs w:val="16"/>
                <w:b w:val="1"/>
                <w:bCs w:val="1"/>
                <w:color w:val="auto"/>
                <w:w w:val="90"/>
              </w:rPr>
              <w:t>as adjusted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(1)(2)</w:t>
            </w:r>
          </w:p>
        </w:tc>
        <w:tc>
          <w:tcPr>
            <w:tcW w:w="56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gridSpan w:val="3"/>
            <w:shd w:val="clear" w:color="auto" w:fill="CCFFCC"/>
          </w:tcPr>
          <w:p>
            <w:pPr>
              <w:ind w:left="1740"/>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4000" w:type="dxa"/>
            <w:vAlign w:val="bottom"/>
            <w:gridSpan w:val="2"/>
            <w:shd w:val="clear" w:color="auto" w:fill="CCFFCC"/>
          </w:tcPr>
          <w:p>
            <w:pPr>
              <w:jc w:val="right"/>
              <w:ind w:right="1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56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56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662</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13,669</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13,102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mandatory conversion of our outstanding Convertible Notes on the closing of this offering.</w:t>
      </w:r>
    </w:p>
    <w:p>
      <w:pPr>
        <w:spacing w:after="0" w:line="20" w:lineRule="exact"/>
        <w:rPr>
          <w:rFonts w:ascii="Arial" w:cs="Arial" w:eastAsia="Arial" w:hAnsi="Arial"/>
          <w:sz w:val="16"/>
          <w:szCs w:val="16"/>
          <w:color w:val="auto"/>
        </w:rPr>
      </w:pPr>
    </w:p>
    <w:p>
      <w:pPr>
        <w:ind w:left="580" w:right="20" w:hanging="296"/>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sale of 1,365,000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88"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4" w:lineRule="exact"/>
        <w:rPr>
          <w:sz w:val="20"/>
          <w:szCs w:val="20"/>
          <w:color w:val="auto"/>
        </w:rPr>
      </w:pPr>
    </w:p>
    <w:p>
      <w:pPr>
        <w:jc w:val="both"/>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jc w:val="both"/>
        <w:ind w:right="20" w:firstLine="346"/>
        <w:spacing w:after="0" w:line="274" w:lineRule="auto"/>
        <w:rPr>
          <w:sz w:val="20"/>
          <w:szCs w:val="20"/>
          <w:color w:val="auto"/>
        </w:rPr>
      </w:pPr>
      <w:r>
        <w:rPr>
          <w:rFonts w:ascii="Arial" w:cs="Arial" w:eastAsia="Arial" w:hAnsi="Arial"/>
          <w:sz w:val="15"/>
          <w:szCs w:val="15"/>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59"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52"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5"/>
          <w:szCs w:val="15"/>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Overview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360"/>
              <w:spacing w:after="0"/>
              <w:rPr>
                <w:sz w:val="20"/>
                <w:szCs w:val="20"/>
                <w:color w:val="auto"/>
              </w:rPr>
            </w:pPr>
            <w:r>
              <w:rPr>
                <w:rFonts w:ascii="Arial" w:cs="Arial" w:eastAsia="Arial" w:hAnsi="Arial"/>
                <w:sz w:val="16"/>
                <w:szCs w:val="16"/>
                <w:color w:val="auto"/>
                <w:w w:val="98"/>
              </w:rPr>
              <w:t>The following table discloses the breakdown of research and development expenses for the last two fiscal years.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4"/>
            <w:vMerge w:val="restart"/>
          </w:tcPr>
          <w:p>
            <w:pPr>
              <w:jc w:val="right"/>
              <w:ind w:right="25"/>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FFCC"/>
            </w:tcBorders>
          </w:tcPr>
          <w:p>
            <w:pPr>
              <w:spacing w:after="0"/>
              <w:rPr>
                <w:sz w:val="16"/>
                <w:szCs w:val="16"/>
                <w:color w:val="auto"/>
              </w:rPr>
            </w:pPr>
          </w:p>
        </w:tc>
        <w:tc>
          <w:tcPr>
            <w:tcW w:w="24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8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Salaries and related personnel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Cost to third party clinical consultants and expenses related to conducting clinical trials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Travel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Represents an amount less than $1.</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2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163"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Critical Accounting Policies and Estimate</w:t>
      </w:r>
    </w:p>
    <w:p>
      <w:pPr>
        <w:spacing w:after="0" w:line="204"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("U.S. GAAP").</w:t>
      </w:r>
    </w:p>
    <w:p>
      <w:pPr>
        <w:spacing w:after="0" w:line="200" w:lineRule="exact"/>
        <w:rPr>
          <w:sz w:val="20"/>
          <w:szCs w:val="20"/>
          <w:color w:val="auto"/>
        </w:rPr>
      </w:pPr>
    </w:p>
    <w:p>
      <w:pPr>
        <w:jc w:val="both"/>
        <w:ind w:right="20" w:firstLine="346"/>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67"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and Fair Value of Ordinary Shares</w:t>
      </w:r>
    </w:p>
    <w:p>
      <w:pPr>
        <w:spacing w:after="0" w:line="200" w:lineRule="exact"/>
        <w:rPr>
          <w:sz w:val="20"/>
          <w:szCs w:val="20"/>
          <w:color w:val="auto"/>
        </w:rPr>
      </w:pPr>
    </w:p>
    <w:p>
      <w:pPr>
        <w:ind w:right="80" w:firstLine="346"/>
        <w:spacing w:after="0" w:line="259" w:lineRule="auto"/>
        <w:rPr>
          <w:sz w:val="20"/>
          <w:szCs w:val="20"/>
          <w:color w:val="auto"/>
        </w:rPr>
      </w:pPr>
      <w:r>
        <w:rPr>
          <w:rFonts w:ascii="Arial" w:cs="Arial" w:eastAsia="Arial" w:hAnsi="Arial"/>
          <w:sz w:val="16"/>
          <w:szCs w:val="16"/>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67" w:lineRule="exact"/>
        <w:rPr>
          <w:sz w:val="20"/>
          <w:szCs w:val="20"/>
          <w:color w:val="auto"/>
        </w:rPr>
      </w:pPr>
    </w:p>
    <w:p>
      <w:pPr>
        <w:ind w:right="140" w:firstLine="346"/>
        <w:spacing w:after="0" w:line="277" w:lineRule="auto"/>
        <w:rPr>
          <w:sz w:val="20"/>
          <w:szCs w:val="20"/>
          <w:color w:val="auto"/>
        </w:rPr>
      </w:pPr>
      <w:r>
        <w:rPr>
          <w:rFonts w:ascii="Arial" w:cs="Arial" w:eastAsia="Arial" w:hAnsi="Arial"/>
          <w:sz w:val="16"/>
          <w:szCs w:val="16"/>
          <w:color w:val="auto"/>
        </w:rPr>
        <w:t>We selected the Black-Scholes-Merton ("Black-Scholes") option-pricing model as a fair value method for our options awards. The option-pricing model requires a number of assumptions:</w:t>
      </w:r>
    </w:p>
    <w:p>
      <w:pPr>
        <w:spacing w:after="0" w:line="152" w:lineRule="exact"/>
        <w:rPr>
          <w:sz w:val="20"/>
          <w:szCs w:val="20"/>
          <w:color w:val="auto"/>
        </w:rPr>
      </w:pPr>
    </w:p>
    <w:p>
      <w:pPr>
        <w:ind w:left="560" w:right="640"/>
        <w:spacing w:after="0" w:line="277"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expected dividend yield assumption is based on our historical experience and expectation of no future dividend payouts.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not paid cash dividends and have no foreseeable plans to pay cash dividends in the future.</w:t>
      </w:r>
    </w:p>
    <w:p>
      <w:pPr>
        <w:spacing w:after="0" w:line="152" w:lineRule="exact"/>
        <w:rPr>
          <w:sz w:val="20"/>
          <w:szCs w:val="20"/>
          <w:color w:val="auto"/>
        </w:rPr>
      </w:pPr>
    </w:p>
    <w:p>
      <w:pPr>
        <w:ind w:left="560" w:right="200"/>
        <w:spacing w:after="0" w:line="277" w:lineRule="auto"/>
        <w:rPr>
          <w:sz w:val="20"/>
          <w:szCs w:val="20"/>
          <w:color w:val="auto"/>
        </w:rPr>
      </w:pPr>
      <w:r>
        <w:rPr>
          <w:rFonts w:ascii="Arial" w:cs="Arial" w:eastAsia="Arial" w:hAnsi="Arial"/>
          <w:sz w:val="16"/>
          <w:szCs w:val="16"/>
          <w:i w:val="1"/>
          <w:iCs w:val="1"/>
          <w:color w:val="auto"/>
        </w:rPr>
        <w:t xml:space="preserve">Volatility - </w:t>
      </w:r>
      <w:r>
        <w:rPr>
          <w:rFonts w:ascii="Arial" w:cs="Arial" w:eastAsia="Arial" w:hAnsi="Arial"/>
          <w:sz w:val="16"/>
          <w:szCs w:val="16"/>
          <w:color w:val="auto"/>
        </w:rPr>
        <w:t>Since the Company is not traded on any stock exchange market, quoted prices of our shares are unavailable. According to ASC 718-10-30-20, in case of no</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for a company, the expected volatility was based on similar companies' stock volatility.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sz w:val="20"/>
          <w:szCs w:val="20"/>
          <w:color w:val="auto"/>
        </w:rPr>
      </w:pPr>
    </w:p>
    <w:p>
      <w:pPr>
        <w:ind w:left="560" w:right="80"/>
        <w:spacing w:after="0" w:line="27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ASC 718 provides the factors to consider when estimating the expected term of an option: An option’s expected term must at least include the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5" w:name="page36"/>
    <w:bookmarkEnd w:id="35"/>
    <w:p>
      <w:pPr>
        <w:jc w:val="both"/>
        <w:ind w:left="560"/>
        <w:spacing w:after="0" w:line="277" w:lineRule="auto"/>
        <w:rPr>
          <w:sz w:val="20"/>
          <w:szCs w:val="20"/>
          <w:color w:val="auto"/>
        </w:rPr>
      </w:pPr>
      <w:r>
        <w:rPr>
          <w:rFonts w:ascii="Arial" w:cs="Arial" w:eastAsia="Arial" w:hAnsi="Arial"/>
          <w:sz w:val="16"/>
          <w:szCs w:val="16"/>
          <w:i w:val="1"/>
          <w:iCs w:val="1"/>
          <w:color w:val="auto"/>
        </w:rPr>
        <w:t xml:space="preserve">Share price </w:t>
      </w:r>
      <w:r>
        <w:rPr>
          <w:rFonts w:ascii="Arial" w:cs="Arial" w:eastAsia="Arial" w:hAnsi="Arial"/>
          <w:sz w:val="16"/>
          <w:szCs w:val="16"/>
          <w:color w:val="auto"/>
        </w:rPr>
        <w:t>- Because there has been no public market for our ordinary shares, the fair value of the ordinary shares underlying the options had been determined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using the assistance of an independent valuation firm.</w:t>
      </w:r>
    </w:p>
    <w:p>
      <w:pPr>
        <w:spacing w:after="0" w:line="152" w:lineRule="exact"/>
        <w:rPr>
          <w:sz w:val="20"/>
          <w:szCs w:val="20"/>
          <w:color w:val="auto"/>
        </w:rPr>
      </w:pPr>
    </w:p>
    <w:p>
      <w:pPr>
        <w:jc w:val="both"/>
        <w:ind w:left="560"/>
        <w:spacing w:after="0" w:line="25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68"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tcPr>
          <w:p>
            <w:pPr>
              <w:ind w:left="4960"/>
              <w:spacing w:after="0"/>
              <w:rPr>
                <w:sz w:val="20"/>
                <w:szCs w:val="20"/>
                <w:color w:val="auto"/>
              </w:rPr>
            </w:pPr>
            <w:r>
              <w:rPr>
                <w:rFonts w:ascii="Arial" w:cs="Arial" w:eastAsia="Arial" w:hAnsi="Arial"/>
                <w:sz w:val="16"/>
                <w:szCs w:val="16"/>
                <w:b w:val="1"/>
                <w:bCs w:val="1"/>
                <w:color w:val="auto"/>
              </w:rPr>
              <w:t>Results of Operations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(in thousands US$)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2,084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Operating loss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1,501</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Comprehensive loss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holders of ordinary shares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2012 to the Year Ended December 31, 2011</w:t>
            </w: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loss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As a result of the foregoing, our operating loss for the year ended December 31, 2012 was $1,501,000, as compared to an operating loss of $3,906,000 for the year ended December 31, 2011, a decrease of $2,405,000, or 62%.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expense</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We recognized financial expenses of $78,000 for the year ended December 31, 2012, representing an increase of $55,000, or 239%, compared to financial expenses of $23,000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w:t>
      </w:r>
    </w:p>
    <w:p>
      <w:pPr>
        <w:spacing w:after="0" w:line="200"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6"/>
          <w:szCs w:val="16"/>
          <w:color w:val="auto"/>
        </w:rPr>
        <w:t>As a result of the foregoing, our loss for the year ended December 31, 2012 was $1,579,000, as compared to $3,929,000 for the year ended December 31, 2011, a decrease of $2,350,000, or 62%.</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Years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6"/>
                <w:szCs w:val="16"/>
                <w:b w:val="1"/>
                <w:bCs w:val="1"/>
                <w:color w:val="auto"/>
                <w:w w:val="87"/>
              </w:rPr>
              <w:t>(in thousands US$)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Operating activities</w:t>
            </w:r>
          </w:p>
        </w:tc>
        <w:tc>
          <w:tcPr>
            <w:tcW w:w="3400" w:type="dxa"/>
            <w:vAlign w:val="bottom"/>
            <w:gridSpan w:val="2"/>
            <w:shd w:val="clear" w:color="auto" w:fill="CCFFCC"/>
          </w:tcPr>
          <w:p>
            <w:pPr>
              <w:jc w:val="right"/>
              <w:ind w:right="6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94"/>
              </w:rPr>
              <w:t>(1,585)</w:t>
            </w:r>
          </w:p>
        </w:tc>
        <w:tc>
          <w:tcPr>
            <w:tcW w:w="940" w:type="dxa"/>
            <w:vAlign w:val="bottom"/>
            <w:shd w:val="clear" w:color="auto" w:fill="CCFFCC"/>
          </w:tcPr>
          <w:p>
            <w:pPr>
              <w:jc w:val="right"/>
              <w:ind w:right="6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(2,361)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Investing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1,026</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(1,041)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Financing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601</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42</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jc w:val="both"/>
        <w:ind w:right="20" w:firstLine="577"/>
        <w:spacing w:after="0" w:line="351" w:lineRule="auto"/>
        <w:rPr>
          <w:sz w:val="20"/>
          <w:szCs w:val="20"/>
          <w:color w:val="auto"/>
        </w:rPr>
      </w:pPr>
      <w:r>
        <w:rPr>
          <w:rFonts w:ascii="Arial" w:cs="Arial" w:eastAsia="Arial" w:hAnsi="Arial"/>
          <w:sz w:val="14"/>
          <w:szCs w:val="14"/>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Outlook</w:t>
      </w:r>
    </w:p>
    <w:p>
      <w:pPr>
        <w:spacing w:after="0" w:line="20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8" w:name="page39"/>
    <w:bookmarkEnd w:id="38"/>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progress and costs of our preclinical studies, clinical trials and other research and development activities;</w:t>
      </w:r>
    </w:p>
    <w:p>
      <w:pPr>
        <w:spacing w:after="0" w:line="20"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scope, prioritization and number of our clinical trials and other research and development programs;</w:t>
      </w:r>
    </w:p>
    <w:p>
      <w:pPr>
        <w:spacing w:after="0" w:line="8"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costs and timing of obtaining regulatory approval for our drug candidate;</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costs of filing, prosecuting, enforcing and defending patent claims and other intellectual property rights;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and timing for, strengthening our manufacturing agreements for production of sufficient clinical and commercial quantities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acquiring or undertaking the development and commercialization efforts for additional, future therapeutic applications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magnitude of our general and administrative expenses;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any cost that we may incur under current and future in- and out-licensing arrangements relating to our drug candidate; and</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payments to the OCS.</w:t>
      </w:r>
    </w:p>
    <w:p>
      <w:pPr>
        <w:spacing w:after="0" w:line="188"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Contractual Obligations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4"/>
        </w:trPr>
        <w:tc>
          <w:tcPr>
            <w:tcW w:w="6720" w:type="dxa"/>
            <w:vAlign w:val="bottom"/>
            <w:gridSpan w:val="4"/>
          </w:tcPr>
          <w:p>
            <w:pPr>
              <w:jc w:val="right"/>
              <w:ind w:right="20"/>
              <w:spacing w:after="0"/>
              <w:rPr>
                <w:sz w:val="20"/>
                <w:szCs w:val="20"/>
                <w:color w:val="auto"/>
              </w:rPr>
            </w:pPr>
            <w:r>
              <w:rPr>
                <w:rFonts w:ascii="Arial" w:cs="Arial" w:eastAsia="Arial" w:hAnsi="Arial"/>
                <w:sz w:val="16"/>
                <w:szCs w:val="16"/>
                <w:color w:val="auto"/>
              </w:rPr>
              <w:t>The following table summarizes our significant contractual obligations at December 31, 2012:</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6"/>
        </w:trPr>
        <w:tc>
          <w:tcPr>
            <w:tcW w:w="368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24"/>
                <w:szCs w:val="24"/>
                <w:color w:val="auto"/>
              </w:rPr>
            </w:pP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Less than 1 year</w:t>
            </w:r>
          </w:p>
        </w:tc>
        <w:tc>
          <w:tcPr>
            <w:tcW w:w="1760" w:type="dxa"/>
            <w:vAlign w:val="bottom"/>
          </w:tcPr>
          <w:p>
            <w:pPr>
              <w:jc w:val="right"/>
              <w:ind w:right="580"/>
              <w:spacing w:after="0"/>
              <w:rPr>
                <w:sz w:val="20"/>
                <w:szCs w:val="20"/>
                <w:color w:val="auto"/>
              </w:rPr>
            </w:pPr>
            <w:r>
              <w:rPr>
                <w:rFonts w:ascii="Arial" w:cs="Arial" w:eastAsia="Arial" w:hAnsi="Arial"/>
                <w:sz w:val="16"/>
                <w:szCs w:val="16"/>
                <w:color w:val="auto"/>
              </w:rPr>
              <w:t>1-3 years</w:t>
            </w:r>
          </w:p>
        </w:tc>
        <w:tc>
          <w:tcPr>
            <w:tcW w:w="1440" w:type="dxa"/>
            <w:vAlign w:val="bottom"/>
          </w:tcPr>
          <w:p>
            <w:pPr>
              <w:jc w:val="right"/>
              <w:ind w:right="440"/>
              <w:spacing w:after="0"/>
              <w:rPr>
                <w:sz w:val="20"/>
                <w:szCs w:val="20"/>
                <w:color w:val="auto"/>
              </w:rPr>
            </w:pPr>
            <w:r>
              <w:rPr>
                <w:rFonts w:ascii="Arial" w:cs="Arial" w:eastAsia="Arial" w:hAnsi="Arial"/>
                <w:sz w:val="16"/>
                <w:szCs w:val="16"/>
                <w:color w:val="auto"/>
              </w:rPr>
              <w:t>3-5 years</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More than 5 years</w:t>
            </w:r>
          </w:p>
        </w:tc>
      </w:tr>
      <w:tr>
        <w:trPr>
          <w:trHeight w:val="184"/>
        </w:trPr>
        <w:tc>
          <w:tcPr>
            <w:tcW w:w="36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(in thousands US$)</w:t>
            </w:r>
          </w:p>
        </w:tc>
        <w:tc>
          <w:tcPr>
            <w:tcW w:w="1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Operating leases:</w:t>
            </w:r>
          </w:p>
        </w:tc>
        <w:tc>
          <w:tcPr>
            <w:tcW w:w="56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1440" w:type="dxa"/>
            <w:vAlign w:val="bottom"/>
            <w:shd w:val="clear" w:color="auto" w:fill="CCFFCC"/>
          </w:tcPr>
          <w:p>
            <w:pPr>
              <w:spacing w:after="0"/>
              <w:rPr>
                <w:sz w:val="16"/>
                <w:szCs w:val="16"/>
                <w:color w:val="auto"/>
              </w:rPr>
            </w:pPr>
          </w:p>
        </w:tc>
        <w:tc>
          <w:tcPr>
            <w:tcW w:w="14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620" w:type="dxa"/>
            <w:vAlign w:val="bottom"/>
            <w:gridSpan w:val="2"/>
          </w:tcPr>
          <w:p>
            <w:pPr>
              <w:ind w:left="80"/>
              <w:spacing w:after="0"/>
              <w:rPr>
                <w:sz w:val="20"/>
                <w:szCs w:val="20"/>
                <w:color w:val="auto"/>
              </w:rPr>
            </w:pPr>
            <w:r>
              <w:rPr>
                <w:rFonts w:ascii="Arial" w:cs="Arial" w:eastAsia="Arial" w:hAnsi="Arial"/>
                <w:sz w:val="16"/>
                <w:szCs w:val="16"/>
                <w:color w:val="auto"/>
              </w:rPr>
              <w:t>Facility</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7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Motor Vehicles</w:t>
            </w:r>
          </w:p>
        </w:tc>
        <w:tc>
          <w:tcPr>
            <w:tcW w:w="5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15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CFFCC"/>
          </w:tcPr>
          <w:p>
            <w:pPr>
              <w:jc w:val="right"/>
              <w:ind w:right="240"/>
              <w:spacing w:after="0"/>
              <w:rPr>
                <w:sz w:val="20"/>
                <w:szCs w:val="20"/>
                <w:color w:val="auto"/>
              </w:rPr>
            </w:pPr>
            <w:r>
              <w:rPr>
                <w:rFonts w:ascii="Arial" w:cs="Arial" w:eastAsia="Arial" w:hAnsi="Arial"/>
                <w:sz w:val="16"/>
                <w:szCs w:val="16"/>
                <w:color w:val="auto"/>
              </w:rPr>
              <w:t>3</w:t>
            </w:r>
          </w:p>
        </w:tc>
        <w:tc>
          <w:tcPr>
            <w:tcW w:w="1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do not have any off-balance sheet arrangements.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ind w:right="40" w:firstLine="346"/>
        <w:spacing w:after="0" w:line="297" w:lineRule="auto"/>
        <w:rPr>
          <w:sz w:val="20"/>
          <w:szCs w:val="20"/>
          <w:color w:val="auto"/>
        </w:rPr>
      </w:pPr>
      <w:r>
        <w:rPr>
          <w:rFonts w:ascii="Arial" w:cs="Arial" w:eastAsia="Arial" w:hAnsi="Arial"/>
          <w:sz w:val="14"/>
          <w:szCs w:val="14"/>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43" w:lineRule="exact"/>
        <w:rPr>
          <w:sz w:val="20"/>
          <w:szCs w:val="20"/>
          <w:color w:val="auto"/>
        </w:rPr>
      </w:pPr>
    </w:p>
    <w:p>
      <w:pPr>
        <w:ind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right="40" w:firstLine="346"/>
        <w:spacing w:after="0" w:line="276"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49" w:lineRule="exact"/>
        <w:rPr>
          <w:sz w:val="20"/>
          <w:szCs w:val="20"/>
          <w:color w:val="auto"/>
        </w:rPr>
      </w:pPr>
    </w:p>
    <w:p>
      <w:pPr>
        <w:ind w:right="60" w:firstLine="278"/>
        <w:spacing w:after="0" w:line="258" w:lineRule="auto"/>
        <w:rPr>
          <w:sz w:val="20"/>
          <w:szCs w:val="20"/>
          <w:color w:val="auto"/>
        </w:rPr>
      </w:pPr>
      <w:r>
        <w:rPr>
          <w:rFonts w:ascii="Arial" w:cs="Arial" w:eastAsia="Arial" w:hAnsi="Arial"/>
          <w:sz w:val="18"/>
          <w:szCs w:val="18"/>
          <w:color w:val="auto"/>
        </w:rPr>
        <w:t xml:space="preserve">The only non-stimulant drug approved to treat adult ADHD is Strattera. Strattera affects the chemical norepinephrine, which is a stress hormone that </w:t>
      </w:r>
      <w:r>
        <w:rPr>
          <w:rFonts w:ascii="Arial" w:cs="Arial" w:eastAsia="Arial" w:hAnsi="Arial"/>
          <w:sz w:val="15"/>
          <w:szCs w:val="15"/>
          <w:color w:val="auto"/>
        </w:rPr>
        <w:t>affects parts of the brain where attention and responses are controlled.</w:t>
      </w:r>
      <w:r>
        <w:rPr>
          <w:rFonts w:ascii="Arial" w:cs="Arial" w:eastAsia="Arial" w:hAnsi="Arial"/>
          <w:sz w:val="18"/>
          <w:szCs w:val="18"/>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55" w:lineRule="exact"/>
        <w:rPr>
          <w:sz w:val="20"/>
          <w:szCs w:val="20"/>
          <w:color w:val="auto"/>
        </w:rPr>
      </w:pPr>
    </w:p>
    <w:p>
      <w:pPr>
        <w:ind w:right="100" w:firstLine="346"/>
        <w:spacing w:after="0" w:line="255" w:lineRule="auto"/>
        <w:rPr>
          <w:sz w:val="20"/>
          <w:szCs w:val="20"/>
          <w:color w:val="auto"/>
        </w:rPr>
      </w:pPr>
      <w:r>
        <w:rPr>
          <w:rFonts w:ascii="Arial" w:cs="Arial" w:eastAsia="Arial" w:hAnsi="Arial"/>
          <w:sz w:val="16"/>
          <w:szCs w:val="16"/>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Overview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About ADHD</w:t>
      </w:r>
    </w:p>
    <w:p>
      <w:pPr>
        <w:spacing w:after="0" w:line="200" w:lineRule="exact"/>
        <w:rPr>
          <w:sz w:val="20"/>
          <w:szCs w:val="20"/>
          <w:color w:val="auto"/>
        </w:rPr>
      </w:pPr>
    </w:p>
    <w:p>
      <w:pPr>
        <w:jc w:val="both"/>
        <w:ind w:firstLine="346"/>
        <w:spacing w:after="0" w:line="293" w:lineRule="auto"/>
        <w:rPr>
          <w:sz w:val="20"/>
          <w:szCs w:val="20"/>
          <w:color w:val="auto"/>
        </w:rPr>
      </w:pPr>
      <w:r>
        <w:rPr>
          <w:rFonts w:ascii="Arial" w:cs="Arial" w:eastAsia="Arial" w:hAnsi="Arial"/>
          <w:sz w:val="14"/>
          <w:szCs w:val="14"/>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0" w:name="page41"/>
    <w:bookmarkEnd w:id="40"/>
    <w:p>
      <w:pPr>
        <w:ind w:left="360"/>
        <w:spacing w:after="0"/>
        <w:rPr>
          <w:sz w:val="20"/>
          <w:szCs w:val="20"/>
          <w:color w:val="auto"/>
        </w:rPr>
      </w:pPr>
      <w:r>
        <w:rPr>
          <w:rFonts w:ascii="Arial" w:cs="Arial" w:eastAsia="Arial" w:hAnsi="Arial"/>
          <w:sz w:val="16"/>
          <w:szCs w:val="16"/>
          <w:b w:val="1"/>
          <w:bCs w:val="1"/>
          <w:i w:val="1"/>
          <w:iCs w:val="1"/>
          <w:color w:val="auto"/>
        </w:rPr>
        <w:t>Development of ADHD Symptoms</w:t>
      </w:r>
    </w:p>
    <w:p>
      <w:pPr>
        <w:spacing w:after="0" w:line="2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Once perceived to only affect children, ADHD is now known to persist into adolescence and adulthood in a sizeable number of cases. The following graphic illustrates how the nature of ADHD symptoms change with age: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4"/>
              </w:rPr>
              <w:t>Adolescents</w:t>
            </w:r>
          </w:p>
        </w:tc>
        <w:tc>
          <w:tcPr>
            <w:tcW w:w="376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Adults</w:t>
            </w:r>
          </w:p>
        </w:tc>
      </w:tr>
      <w:tr>
        <w:trPr>
          <w:trHeight w:val="1213"/>
        </w:trPr>
        <w:tc>
          <w:tcPr>
            <w:tcW w:w="3900" w:type="dxa"/>
            <w:vAlign w:val="bottom"/>
            <w:tcBorders>
              <w:lef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tcBorders>
              <w:right w:val="single" w:sz="8" w:color="A6A6A6"/>
            </w:tcBorders>
          </w:tcPr>
          <w:p>
            <w:pPr>
              <w:spacing w:after="0"/>
              <w:rPr>
                <w:sz w:val="24"/>
                <w:szCs w:val="24"/>
                <w:color w:val="auto"/>
              </w:rPr>
            </w:pPr>
          </w:p>
        </w:tc>
      </w:tr>
      <w:tr>
        <w:trPr>
          <w:trHeight w:val="148"/>
        </w:trPr>
        <w:tc>
          <w:tcPr>
            <w:tcW w:w="3900" w:type="dxa"/>
            <w:vAlign w:val="bottom"/>
            <w:tcBorders>
              <w:top w:val="single" w:sz="8" w:color="auto"/>
              <w:left w:val="single" w:sz="8" w:color="A6A6A6"/>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0"/>
              </w:rPr>
              <w:t>Hyperactive</w:t>
            </w:r>
          </w:p>
        </w:tc>
        <w:tc>
          <w:tcPr>
            <w:tcW w:w="378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1"/>
              </w:rPr>
              <w:t>Easily distracted</w:t>
            </w:r>
          </w:p>
        </w:tc>
        <w:tc>
          <w:tcPr>
            <w:tcW w:w="376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88"/>
              </w:rPr>
              <w:t>Shifts activities</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5"/>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Inattentive</w:t>
            </w: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0"/>
              </w:rPr>
              <w:t>Easily bored</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Low frustration tolerance</w:t>
            </w:r>
          </w:p>
        </w:tc>
        <w:tc>
          <w:tcPr>
            <w:tcW w:w="3780" w:type="dxa"/>
            <w:vAlign w:val="bottom"/>
            <w:tcBorders>
              <w:right w:val="single" w:sz="8" w:color="A6A6A6"/>
            </w:tcBorders>
          </w:tcPr>
          <w:p>
            <w:pPr>
              <w:spacing w:after="0"/>
              <w:rPr>
                <w:sz w:val="16"/>
                <w:szCs w:val="16"/>
                <w:color w:val="auto"/>
              </w:rPr>
            </w:pP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Impatient</w:t>
            </w:r>
          </w:p>
        </w:tc>
      </w:tr>
      <w:tr>
        <w:trPr>
          <w:trHeight w:val="209"/>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9"/>
              </w:rPr>
              <w:t>Impulsive</w:t>
            </w:r>
          </w:p>
        </w:tc>
        <w:tc>
          <w:tcPr>
            <w:tcW w:w="3780" w:type="dxa"/>
            <w:vAlign w:val="bottom"/>
            <w:tcBorders>
              <w:bottom w:val="single" w:sz="8" w:color="A6A6A6"/>
              <w:right w:val="single" w:sz="8" w:color="A6A6A6"/>
            </w:tcBorders>
          </w:tcPr>
          <w:p>
            <w:pPr>
              <w:spacing w:after="0"/>
              <w:rPr>
                <w:sz w:val="18"/>
                <w:szCs w:val="18"/>
                <w:color w:val="auto"/>
              </w:rPr>
            </w:pPr>
          </w:p>
        </w:tc>
        <w:tc>
          <w:tcPr>
            <w:tcW w:w="37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1"/>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-1143635</wp:posOffset>
            </wp:positionV>
            <wp:extent cx="6254750" cy="518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54750" cy="51879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recent study showed that approximately 46% of adults who suffered from ADHD as children continue to have symptoms of the disorder as adults, with approximately</w:t>
      </w:r>
    </w:p>
    <w:p>
      <w:pPr>
        <w:spacing w:after="0" w:line="32" w:lineRule="exact"/>
        <w:rPr>
          <w:sz w:val="20"/>
          <w:szCs w:val="20"/>
          <w:color w:val="auto"/>
        </w:rPr>
      </w:pPr>
    </w:p>
    <w:p>
      <w:pPr>
        <w:ind w:right="520"/>
        <w:spacing w:after="0" w:line="333" w:lineRule="auto"/>
        <w:rPr>
          <w:sz w:val="20"/>
          <w:szCs w:val="20"/>
          <w:color w:val="auto"/>
        </w:rPr>
      </w:pPr>
      <w:r>
        <w:rPr>
          <w:rFonts w:ascii="Arial" w:cs="Arial" w:eastAsia="Arial" w:hAnsi="Arial"/>
          <w:sz w:val="14"/>
          <w:szCs w:val="14"/>
          <w:color w:val="auto"/>
        </w:rPr>
        <w:t>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4"/>
          <w:szCs w:val="14"/>
          <w:b w:val="1"/>
          <w:bCs w:val="1"/>
          <w:color w:val="auto"/>
        </w:rPr>
        <w:t>.</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Impact of Untreated and Undertreated ADHD</w:t>
      </w:r>
    </w:p>
    <w:p>
      <w:pPr>
        <w:spacing w:after="0" w:line="200"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illustrates the effects on society when ADHD remains untreated:</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96"/>
        </w:trPr>
        <w:tc>
          <w:tcPr>
            <w:tcW w:w="2720" w:type="dxa"/>
            <w:vAlign w:val="bottom"/>
          </w:tcPr>
          <w:p>
            <w:pPr>
              <w:jc w:val="center"/>
              <w:ind w:right="960"/>
              <w:spacing w:after="0"/>
              <w:rPr>
                <w:sz w:val="20"/>
                <w:szCs w:val="20"/>
                <w:color w:val="auto"/>
              </w:rPr>
            </w:pPr>
            <w:r>
              <w:rPr>
                <w:rFonts w:ascii="Arial" w:cs="Arial" w:eastAsia="Arial" w:hAnsi="Arial"/>
                <w:sz w:val="16"/>
                <w:szCs w:val="16"/>
                <w:b w:val="1"/>
                <w:bCs w:val="1"/>
                <w:color w:val="auto"/>
                <w:w w:val="89"/>
              </w:rPr>
              <w:t>Healthcare System</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Patient</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4"/>
              </w:rPr>
              <w:t>Family</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1"/>
              </w:rPr>
              <w:t>ñ 50% in bicycle accidents</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96"/>
              </w:rPr>
              <w:t>ñ criminal activity</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90"/>
              </w:rPr>
              <w:t>3-5x more divorce/separation</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3"/>
              </w:rPr>
              <w:t>ñ 33% in ER visits</w:t>
            </w:r>
          </w:p>
        </w:tc>
        <w:tc>
          <w:tcPr>
            <w:tcW w:w="4100" w:type="dxa"/>
            <w:vAlign w:val="bottom"/>
          </w:tcPr>
          <w:p>
            <w:pPr>
              <w:jc w:val="center"/>
              <w:ind w:left="500"/>
              <w:spacing w:after="0"/>
              <w:rPr>
                <w:sz w:val="20"/>
                <w:szCs w:val="20"/>
                <w:color w:val="auto"/>
              </w:rPr>
            </w:pPr>
            <w:r>
              <w:rPr>
                <w:rFonts w:ascii="Arial" w:cs="Arial" w:eastAsia="Arial" w:hAnsi="Arial"/>
                <w:sz w:val="16"/>
                <w:szCs w:val="16"/>
                <w:color w:val="auto"/>
                <w:w w:val="91"/>
              </w:rPr>
              <w:t>ñ incarceration</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3"/>
              </w:rPr>
              <w:t>2-4x more sibling fights</w:t>
            </w:r>
          </w:p>
        </w:tc>
      </w:tr>
      <w:tr>
        <w:trPr>
          <w:trHeight w:val="205"/>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2-4x more car accidents</w:t>
            </w:r>
          </w:p>
        </w:tc>
        <w:tc>
          <w:tcPr>
            <w:tcW w:w="41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72"/>
        </w:trPr>
        <w:tc>
          <w:tcPr>
            <w:tcW w:w="2720" w:type="dxa"/>
            <w:vAlign w:val="bottom"/>
          </w:tcPr>
          <w:p>
            <w:pPr>
              <w:jc w:val="center"/>
              <w:ind w:right="940"/>
              <w:spacing w:after="0"/>
              <w:rPr>
                <w:sz w:val="20"/>
                <w:szCs w:val="20"/>
                <w:color w:val="auto"/>
              </w:rPr>
            </w:pPr>
            <w:r>
              <w:rPr>
                <w:rFonts w:ascii="Arial" w:cs="Arial" w:eastAsia="Arial" w:hAnsi="Arial"/>
                <w:sz w:val="16"/>
                <w:szCs w:val="16"/>
                <w:b w:val="1"/>
                <w:bCs w:val="1"/>
                <w:color w:val="auto"/>
                <w:w w:val="88"/>
              </w:rPr>
              <w:t>School and Occupation</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87"/>
              </w:rPr>
              <w:t>Society</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3"/>
              </w:rPr>
              <w:t>Employer</w:t>
            </w:r>
          </w:p>
        </w:tc>
      </w:tr>
      <w:tr>
        <w:trPr>
          <w:trHeight w:val="192"/>
        </w:trPr>
        <w:tc>
          <w:tcPr>
            <w:tcW w:w="2720" w:type="dxa"/>
            <w:vAlign w:val="bottom"/>
          </w:tcPr>
          <w:p>
            <w:pPr>
              <w:ind w:left="580"/>
              <w:spacing w:after="0"/>
              <w:rPr>
                <w:sz w:val="20"/>
                <w:szCs w:val="20"/>
                <w:color w:val="auto"/>
              </w:rPr>
            </w:pPr>
            <w:r>
              <w:rPr>
                <w:rFonts w:ascii="Arial" w:cs="Arial" w:eastAsia="Arial" w:hAnsi="Arial"/>
                <w:sz w:val="16"/>
                <w:szCs w:val="16"/>
                <w:color w:val="auto"/>
              </w:rPr>
              <w:t>46% expelled</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87"/>
              </w:rPr>
              <w:t>Substance use disorders:</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88"/>
              </w:rPr>
              <w:t>Increased parental absenteeism and lower</w:t>
            </w:r>
          </w:p>
        </w:tc>
      </w:tr>
      <w:tr>
        <w:trPr>
          <w:trHeight w:val="192"/>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35% drop out</w:t>
            </w:r>
          </w:p>
        </w:tc>
        <w:tc>
          <w:tcPr>
            <w:tcW w:w="4100" w:type="dxa"/>
            <w:vAlign w:val="bottom"/>
          </w:tcPr>
          <w:p>
            <w:pPr>
              <w:ind w:left="1300"/>
              <w:spacing w:after="0"/>
              <w:rPr>
                <w:sz w:val="20"/>
                <w:szCs w:val="20"/>
                <w:color w:val="auto"/>
              </w:rPr>
            </w:pPr>
            <w:r>
              <w:rPr>
                <w:rFonts w:ascii="Arial" w:cs="Arial" w:eastAsia="Arial" w:hAnsi="Arial"/>
                <w:sz w:val="16"/>
                <w:szCs w:val="16"/>
                <w:color w:val="auto"/>
              </w:rPr>
              <w:t>2x risk and earlier onset</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6"/>
              </w:rPr>
              <w:t>productivity</w:t>
            </w:r>
          </w:p>
        </w:tc>
      </w:tr>
      <w:tr>
        <w:trPr>
          <w:trHeight w:val="205"/>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0"/>
              </w:rPr>
              <w:t>Lower occupational status</w:t>
            </w:r>
          </w:p>
        </w:tc>
        <w:tc>
          <w:tcPr>
            <w:tcW w:w="4100" w:type="dxa"/>
            <w:vAlign w:val="bottom"/>
          </w:tcPr>
          <w:p>
            <w:pPr>
              <w:ind w:left="1000"/>
              <w:spacing w:after="0"/>
              <w:rPr>
                <w:sz w:val="20"/>
                <w:szCs w:val="20"/>
                <w:color w:val="auto"/>
              </w:rPr>
            </w:pPr>
            <w:r>
              <w:rPr>
                <w:rFonts w:ascii="Arial" w:cs="Arial" w:eastAsia="Arial" w:hAnsi="Arial"/>
                <w:sz w:val="16"/>
                <w:szCs w:val="16"/>
                <w:color w:val="auto"/>
              </w:rPr>
              <w:t>Less likely to quit in adulthood</w:t>
            </w:r>
          </w:p>
        </w:tc>
        <w:tc>
          <w:tcPr>
            <w:tcW w:w="3640" w:type="dxa"/>
            <w:vAlign w:val="bottom"/>
          </w:tcPr>
          <w:p>
            <w:pPr>
              <w:spacing w:after="0"/>
              <w:rPr>
                <w:sz w:val="17"/>
                <w:szCs w:val="17"/>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Diagnosis of ADHD</w:t>
      </w:r>
    </w:p>
    <w:p>
      <w:pPr>
        <w:spacing w:after="0" w:line="20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62" w:lineRule="exact"/>
        <w:rPr>
          <w:sz w:val="20"/>
          <w:szCs w:val="20"/>
          <w:color w:val="auto"/>
        </w:rPr>
      </w:pPr>
    </w:p>
    <w:p>
      <w:pPr>
        <w:jc w:val="both"/>
        <w:ind w:left="360" w:right="140" w:hanging="4"/>
        <w:spacing w:after="0" w:line="264" w:lineRule="auto"/>
        <w:tabs>
          <w:tab w:leader="none" w:pos="640" w:val="left"/>
        </w:tabs>
        <w:numPr>
          <w:ilvl w:val="0"/>
          <w:numId w:val="38"/>
        </w:numPr>
        <w:rPr>
          <w:rFonts w:ascii="Arial" w:cs="Arial" w:eastAsia="Arial" w:hAnsi="Arial"/>
          <w:sz w:val="16"/>
          <w:szCs w:val="16"/>
          <w:color w:val="A6A6A6"/>
        </w:rPr>
      </w:pPr>
      <w:r>
        <w:rPr>
          <w:rFonts w:ascii="Arial" w:cs="Arial" w:eastAsia="Arial" w:hAnsi="Arial"/>
          <w:sz w:val="16"/>
          <w:szCs w:val="16"/>
          <w:i w:val="1"/>
          <w:iCs w:val="1"/>
          <w:color w:val="auto"/>
        </w:rPr>
        <w:t>DSM-IV criteria</w:t>
      </w:r>
      <w:r>
        <w:rPr>
          <w:rFonts w:ascii="Arial" w:cs="Arial" w:eastAsia="Arial" w:hAnsi="Arial"/>
          <w:sz w:val="16"/>
          <w:szCs w:val="16"/>
          <w:color w:val="auto"/>
        </w:rPr>
        <w:t>. The American Psychiatric Association provides a set of standardized criteria for classifying mental disorders known as the Diagnostic and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1" w:name="page42"/>
    <w:bookmarkEnd w:id="41"/>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Inattention – the patient makes careless mistakes in activities and is easily distracted</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Hyperactivity – the patients fidgets, squirms, talks excessively or displays restless behavior</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Impulsiveness – the patient interrupts others and cannot wait for a turn</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must be clear evidence of significant impairment in social, school, or work functioning</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of impairment present before 7 years of age and present in two or more settings (school/work and home)</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are not better accounted for by another mental disorder</w:t>
      </w:r>
    </w:p>
    <w:p>
      <w:pPr>
        <w:spacing w:after="0" w:line="20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6"/>
          <w:szCs w:val="16"/>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Products and Market Participants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principal pharmaceutical companies marketing drugs to treat ADHD are shown in the following table, together with the drug brand name, patent expiration date, class/method of action and reported 2011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Brand Name</w:t>
            </w:r>
          </w:p>
        </w:tc>
        <w:tc>
          <w:tcPr>
            <w:tcW w:w="54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Company</w:t>
            </w:r>
          </w:p>
        </w:tc>
        <w:tc>
          <w:tcPr>
            <w:tcW w:w="540" w:type="dxa"/>
            <w:vAlign w:val="bottom"/>
          </w:tcPr>
          <w:p>
            <w:pPr>
              <w:spacing w:after="0"/>
              <w:rPr>
                <w:sz w:val="16"/>
                <w:szCs w:val="16"/>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Patent Expires</w:t>
            </w:r>
          </w:p>
        </w:tc>
        <w:tc>
          <w:tcPr>
            <w:tcW w:w="900" w:type="dxa"/>
            <w:vAlign w:val="bottom"/>
          </w:tcPr>
          <w:p>
            <w:pPr>
              <w:spacing w:after="0"/>
              <w:rPr>
                <w:sz w:val="16"/>
                <w:szCs w:val="16"/>
                <w:color w:val="auto"/>
              </w:rPr>
            </w:pPr>
          </w:p>
        </w:tc>
        <w:tc>
          <w:tcPr>
            <w:tcW w:w="25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1"/>
              </w:rPr>
              <w:t>Class/Method of Action</w:t>
            </w:r>
          </w:p>
        </w:tc>
        <w:tc>
          <w:tcPr>
            <w:tcW w:w="2480" w:type="dxa"/>
            <w:vAlign w:val="bottom"/>
            <w:gridSpan w:val="3"/>
          </w:tcPr>
          <w:p>
            <w:pPr>
              <w:jc w:val="center"/>
              <w:ind w:left="100"/>
              <w:spacing w:after="0"/>
              <w:rPr>
                <w:sz w:val="20"/>
                <w:szCs w:val="20"/>
                <w:color w:val="auto"/>
              </w:rPr>
            </w:pPr>
            <w:r>
              <w:rPr>
                <w:rFonts w:ascii="Arial" w:cs="Arial" w:eastAsia="Arial" w:hAnsi="Arial"/>
                <w:sz w:val="16"/>
                <w:szCs w:val="16"/>
                <w:b w:val="1"/>
                <w:bCs w:val="1"/>
                <w:color w:val="auto"/>
                <w:w w:val="85"/>
              </w:rPr>
              <w:t>2011 Sales</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0" w:type="dxa"/>
            <w:vAlign w:val="bottom"/>
            <w:shd w:val="clear" w:color="auto" w:fill="CCFFCC"/>
          </w:tcPr>
          <w:p>
            <w:pPr>
              <w:spacing w:after="0"/>
              <w:rPr>
                <w:sz w:val="16"/>
                <w:szCs w:val="16"/>
                <w:color w:val="auto"/>
              </w:rPr>
            </w:pPr>
          </w:p>
        </w:tc>
        <w:tc>
          <w:tcPr>
            <w:tcW w:w="88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Vyvanse</w:t>
            </w:r>
          </w:p>
        </w:tc>
        <w:tc>
          <w:tcPr>
            <w:tcW w:w="540" w:type="dxa"/>
            <w:vAlign w:val="bottom"/>
            <w:vMerge w:val="restart"/>
            <w:shd w:val="clear" w:color="auto" w:fill="CCFFCC"/>
          </w:tcPr>
          <w:p>
            <w:pPr>
              <w:spacing w:after="0"/>
              <w:rPr>
                <w:sz w:val="16"/>
                <w:szCs w:val="16"/>
                <w:color w:val="auto"/>
              </w:rPr>
            </w:pPr>
          </w:p>
        </w:tc>
        <w:tc>
          <w:tcPr>
            <w:tcW w:w="360" w:type="dxa"/>
            <w:vAlign w:val="bottom"/>
            <w:shd w:val="clear" w:color="auto" w:fill="CCFFCC"/>
          </w:tcPr>
          <w:p>
            <w:pPr>
              <w:spacing w:after="0"/>
              <w:rPr>
                <w:sz w:val="16"/>
                <w:szCs w:val="16"/>
                <w:color w:val="auto"/>
              </w:rPr>
            </w:pPr>
          </w:p>
        </w:tc>
        <w:tc>
          <w:tcPr>
            <w:tcW w:w="660" w:type="dxa"/>
            <w:vAlign w:val="bottom"/>
            <w:vMerge w:val="restart"/>
            <w:shd w:val="clear" w:color="auto" w:fill="CCFFCC"/>
          </w:tcPr>
          <w:p>
            <w:pPr>
              <w:ind w:left="80"/>
              <w:spacing w:after="0"/>
              <w:rPr>
                <w:sz w:val="20"/>
                <w:szCs w:val="20"/>
                <w:color w:val="auto"/>
              </w:rPr>
            </w:pPr>
            <w:r>
              <w:rPr>
                <w:rFonts w:ascii="Arial" w:cs="Arial" w:eastAsia="Arial" w:hAnsi="Arial"/>
                <w:sz w:val="16"/>
                <w:szCs w:val="16"/>
                <w:color w:val="auto"/>
              </w:rPr>
              <w:t>Shire</w:t>
            </w:r>
          </w:p>
        </w:tc>
        <w:tc>
          <w:tcPr>
            <w:tcW w:w="520" w:type="dxa"/>
            <w:vAlign w:val="bottom"/>
            <w:vMerge w:val="restart"/>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00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June 2023</w:t>
            </w:r>
          </w:p>
        </w:tc>
        <w:tc>
          <w:tcPr>
            <w:tcW w:w="700" w:type="dxa"/>
            <w:vAlign w:val="bottom"/>
            <w:vMerge w:val="restart"/>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620" w:type="dxa"/>
            <w:vAlign w:val="bottom"/>
            <w:shd w:val="clear" w:color="auto" w:fill="CCFFCC"/>
          </w:tcPr>
          <w:p>
            <w:pPr>
              <w:jc w:val="center"/>
              <w:ind w:right="60"/>
              <w:spacing w:after="0"/>
              <w:rPr>
                <w:sz w:val="20"/>
                <w:szCs w:val="20"/>
                <w:color w:val="auto"/>
              </w:rPr>
            </w:pPr>
            <w:r>
              <w:rPr>
                <w:rFonts w:ascii="Arial" w:cs="Arial" w:eastAsia="Arial" w:hAnsi="Arial"/>
                <w:sz w:val="16"/>
                <w:szCs w:val="16"/>
                <w:color w:val="auto"/>
                <w:w w:val="95"/>
              </w:rPr>
              <w:t>Stimulant</w:t>
            </w:r>
          </w:p>
        </w:tc>
        <w:tc>
          <w:tcPr>
            <w:tcW w:w="940" w:type="dxa"/>
            <w:vAlign w:val="bottom"/>
            <w:shd w:val="clear" w:color="auto" w:fill="CCFFCC"/>
          </w:tcPr>
          <w:p>
            <w:pPr>
              <w:spacing w:after="0"/>
              <w:rPr>
                <w:sz w:val="16"/>
                <w:szCs w:val="16"/>
                <w:color w:val="auto"/>
              </w:rPr>
            </w:pPr>
          </w:p>
        </w:tc>
        <w:tc>
          <w:tcPr>
            <w:tcW w:w="2480" w:type="dxa"/>
            <w:vAlign w:val="bottom"/>
            <w:gridSpan w:val="3"/>
            <w:vMerge w:val="restart"/>
            <w:shd w:val="clear" w:color="auto" w:fill="CCFFCC"/>
          </w:tcPr>
          <w:p>
            <w:pPr>
              <w:ind w:left="800"/>
              <w:spacing w:after="0"/>
              <w:rPr>
                <w:sz w:val="20"/>
                <w:szCs w:val="20"/>
                <w:color w:val="auto"/>
              </w:rPr>
            </w:pPr>
            <w:r>
              <w:rPr>
                <w:rFonts w:ascii="Arial" w:cs="Arial" w:eastAsia="Arial" w:hAnsi="Arial"/>
                <w:sz w:val="16"/>
                <w:szCs w:val="16"/>
                <w:color w:val="auto"/>
              </w:rPr>
              <w:t>$1272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880" w:type="dxa"/>
            <w:vAlign w:val="bottom"/>
            <w:vMerge w:val="continue"/>
            <w:shd w:val="clear" w:color="auto" w:fill="CCFFCC"/>
          </w:tcPr>
          <w:p>
            <w:pPr>
              <w:spacing w:after="0"/>
              <w:rPr>
                <w:sz w:val="9"/>
                <w:szCs w:val="9"/>
                <w:color w:val="auto"/>
              </w:rPr>
            </w:pPr>
          </w:p>
        </w:tc>
        <w:tc>
          <w:tcPr>
            <w:tcW w:w="540" w:type="dxa"/>
            <w:vAlign w:val="bottom"/>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vMerge w:val="continue"/>
            <w:shd w:val="clear" w:color="auto" w:fill="CCFFCC"/>
          </w:tcPr>
          <w:p>
            <w:pPr>
              <w:spacing w:after="0"/>
              <w:rPr>
                <w:sz w:val="9"/>
                <w:szCs w:val="9"/>
                <w:color w:val="auto"/>
              </w:rPr>
            </w:pPr>
          </w:p>
        </w:tc>
        <w:tc>
          <w:tcPr>
            <w:tcW w:w="520" w:type="dxa"/>
            <w:vAlign w:val="bottom"/>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vMerge w:val="continue"/>
            <w:shd w:val="clear" w:color="auto" w:fill="CCFFCC"/>
          </w:tcPr>
          <w:p>
            <w:pPr>
              <w:spacing w:after="0"/>
              <w:rPr>
                <w:sz w:val="9"/>
                <w:szCs w:val="9"/>
                <w:color w:val="auto"/>
              </w:rPr>
            </w:pPr>
          </w:p>
        </w:tc>
        <w:tc>
          <w:tcPr>
            <w:tcW w:w="700" w:type="dxa"/>
            <w:vAlign w:val="bottom"/>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9"/>
              </w:rPr>
              <w:t>Concerta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89"/>
              </w:rPr>
              <w:t>J&amp;J</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w w:val="91"/>
              </w:rPr>
              <w:t>May 2011</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$682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8"/>
              </w:rPr>
              <w:t>Adderall XR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2012</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$953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1"/>
              </w:rPr>
              <w:t>Strattera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rPr>
              <w:t>Eli Lilly</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20"/>
              <w:spacing w:after="0"/>
              <w:rPr>
                <w:sz w:val="20"/>
                <w:szCs w:val="20"/>
                <w:color w:val="auto"/>
              </w:rPr>
            </w:pPr>
            <w:r>
              <w:rPr>
                <w:rFonts w:ascii="Arial" w:cs="Arial" w:eastAsia="Arial" w:hAnsi="Arial"/>
                <w:sz w:val="16"/>
                <w:szCs w:val="16"/>
                <w:color w:val="auto"/>
                <w:w w:val="91"/>
              </w:rPr>
              <w:t>August 2010</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$620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940"/>
              <w:spacing w:after="0"/>
              <w:rPr>
                <w:sz w:val="20"/>
                <w:szCs w:val="20"/>
                <w:color w:val="auto"/>
              </w:rPr>
            </w:pPr>
            <w:r>
              <w:rPr>
                <w:rFonts w:ascii="Arial" w:cs="Arial" w:eastAsia="Arial" w:hAnsi="Arial"/>
                <w:sz w:val="16"/>
                <w:szCs w:val="16"/>
                <w:color w:val="auto"/>
                <w:w w:val="93"/>
              </w:rPr>
              <w:t>(NE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2"/>
              </w:rPr>
              <w:t>Focalin</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224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89"/>
              </w:rPr>
              <w:t>December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$340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20" w:type="dxa"/>
            <w:vAlign w:val="bottom"/>
            <w:gridSpan w:val="3"/>
            <w:vMerge w:val="restart"/>
            <w:shd w:val="clear" w:color="auto" w:fill="CCFFCC"/>
          </w:tcPr>
          <w:p>
            <w:pPr>
              <w:ind w:left="160"/>
              <w:spacing w:after="0"/>
              <w:rPr>
                <w:sz w:val="20"/>
                <w:szCs w:val="20"/>
                <w:color w:val="auto"/>
              </w:rPr>
            </w:pPr>
            <w:r>
              <w:rPr>
                <w:rFonts w:ascii="Arial" w:cs="Arial" w:eastAsia="Arial" w:hAnsi="Arial"/>
                <w:sz w:val="16"/>
                <w:szCs w:val="16"/>
                <w:color w:val="auto"/>
              </w:rPr>
              <w:t>Ritalin/ Ritalin LA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2015</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$490 million</w:t>
            </w:r>
          </w:p>
        </w:tc>
        <w:tc>
          <w:tcPr>
            <w:tcW w:w="0" w:type="dxa"/>
            <w:vAlign w:val="bottom"/>
          </w:tcPr>
          <w:p>
            <w:pPr>
              <w:spacing w:after="0"/>
              <w:rPr>
                <w:sz w:val="1"/>
                <w:szCs w:val="1"/>
                <w:color w:val="auto"/>
              </w:rPr>
            </w:pPr>
          </w:p>
        </w:tc>
      </w:tr>
      <w:tr>
        <w:trPr>
          <w:trHeight w:val="109"/>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rPr>
              <w:t>Intuniv</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2240" w:type="dxa"/>
            <w:vAlign w:val="bottom"/>
            <w:gridSpan w:val="3"/>
            <w:vMerge w:val="restart"/>
            <w:shd w:val="clear" w:color="auto" w:fill="CCFFCC"/>
          </w:tcPr>
          <w:p>
            <w:pPr>
              <w:jc w:val="center"/>
              <w:ind w:right="160"/>
              <w:spacing w:after="0"/>
              <w:rPr>
                <w:sz w:val="20"/>
                <w:szCs w:val="20"/>
                <w:color w:val="auto"/>
              </w:rPr>
            </w:pPr>
            <w:r>
              <w:rPr>
                <w:rFonts w:ascii="Arial" w:cs="Arial" w:eastAsia="Arial" w:hAnsi="Arial"/>
                <w:sz w:val="16"/>
                <w:szCs w:val="16"/>
                <w:color w:val="auto"/>
                <w:w w:val="87"/>
              </w:rPr>
              <w:t>September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00"/>
              <w:spacing w:after="0" w:line="180" w:lineRule="exact"/>
              <w:rPr>
                <w:sz w:val="20"/>
                <w:szCs w:val="20"/>
                <w:color w:val="auto"/>
              </w:rPr>
            </w:pPr>
            <w:r>
              <w:rPr>
                <w:rFonts w:ascii="Arial" w:cs="Arial" w:eastAsia="Arial" w:hAnsi="Arial"/>
                <w:sz w:val="16"/>
                <w:szCs w:val="16"/>
                <w:color w:val="auto"/>
                <w:w w:val="94"/>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$223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1000"/>
              <w:spacing w:after="0"/>
              <w:rPr>
                <w:sz w:val="20"/>
                <w:szCs w:val="20"/>
                <w:color w:val="auto"/>
              </w:rPr>
            </w:pPr>
            <w:r>
              <w:rPr>
                <w:rFonts w:ascii="Arial" w:cs="Arial" w:eastAsia="Arial" w:hAnsi="Arial"/>
                <w:sz w:val="16"/>
                <w:szCs w:val="16"/>
                <w:color w:val="auto"/>
                <w:w w:val="92"/>
              </w:rPr>
              <w:t>(NE receptor agonist)</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center"/>
              <w:ind w:right="520"/>
              <w:spacing w:after="0" w:line="180" w:lineRule="exact"/>
              <w:rPr>
                <w:sz w:val="20"/>
                <w:szCs w:val="20"/>
                <w:color w:val="auto"/>
              </w:rPr>
            </w:pPr>
            <w:r>
              <w:rPr>
                <w:rFonts w:ascii="Arial" w:cs="Arial" w:eastAsia="Arial" w:hAnsi="Arial"/>
                <w:sz w:val="16"/>
                <w:szCs w:val="16"/>
                <w:color w:val="auto"/>
                <w:w w:val="95"/>
              </w:rPr>
              <w:t>Dextro-</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$269 million</w:t>
            </w:r>
          </w:p>
        </w:tc>
        <w:tc>
          <w:tcPr>
            <w:tcW w:w="0" w:type="dxa"/>
            <w:vAlign w:val="bottom"/>
          </w:tcPr>
          <w:p>
            <w:pPr>
              <w:spacing w:after="0"/>
              <w:rPr>
                <w:sz w:val="1"/>
                <w:szCs w:val="1"/>
                <w:color w:val="auto"/>
              </w:rPr>
            </w:pPr>
          </w:p>
        </w:tc>
      </w:tr>
      <w:tr>
        <w:trPr>
          <w:trHeight w:val="109"/>
        </w:trPr>
        <w:tc>
          <w:tcPr>
            <w:tcW w:w="1720" w:type="dxa"/>
            <w:vAlign w:val="bottom"/>
            <w:gridSpan w:val="3"/>
            <w:vMerge w:val="restart"/>
            <w:shd w:val="clear" w:color="auto" w:fill="CCFFCC"/>
          </w:tcPr>
          <w:p>
            <w:pPr>
              <w:jc w:val="center"/>
              <w:ind w:right="240"/>
              <w:spacing w:after="0"/>
              <w:rPr>
                <w:sz w:val="20"/>
                <w:szCs w:val="20"/>
                <w:color w:val="auto"/>
              </w:rPr>
            </w:pPr>
            <w:r>
              <w:rPr>
                <w:rFonts w:ascii="Arial" w:cs="Arial" w:eastAsia="Arial" w:hAnsi="Arial"/>
                <w:sz w:val="16"/>
                <w:szCs w:val="16"/>
                <w:color w:val="auto"/>
                <w:w w:val="90"/>
              </w:rPr>
              <w:t>amphetamine ER</w:t>
            </w: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continue"/>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Adderall IR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$29 million</w:t>
            </w:r>
          </w:p>
        </w:tc>
        <w:tc>
          <w:tcPr>
            <w:tcW w:w="0" w:type="dxa"/>
            <w:vAlign w:val="bottom"/>
          </w:tcPr>
          <w:p>
            <w:pPr>
              <w:spacing w:after="0"/>
              <w:rPr>
                <w:sz w:val="1"/>
                <w:szCs w:val="1"/>
                <w:color w:val="auto"/>
              </w:rPr>
            </w:pPr>
          </w:p>
        </w:tc>
      </w:tr>
      <w:tr>
        <w:trPr>
          <w:trHeight w:val="121"/>
        </w:trPr>
        <w:tc>
          <w:tcPr>
            <w:tcW w:w="300" w:type="dxa"/>
            <w:vAlign w:val="bottom"/>
            <w:shd w:val="clear" w:color="auto" w:fill="CCFFCC"/>
          </w:tcPr>
          <w:p>
            <w:pPr>
              <w:spacing w:after="0"/>
              <w:rPr>
                <w:sz w:val="10"/>
                <w:szCs w:val="10"/>
                <w:color w:val="auto"/>
              </w:rPr>
            </w:pPr>
          </w:p>
        </w:tc>
        <w:tc>
          <w:tcPr>
            <w:tcW w:w="1420" w:type="dxa"/>
            <w:vAlign w:val="bottom"/>
            <w:gridSpan w:val="2"/>
            <w:vMerge w:val="continue"/>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80" w:type="dxa"/>
            <w:vAlign w:val="bottom"/>
            <w:gridSpan w:val="2"/>
            <w:vMerge w:val="continue"/>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700" w:type="dxa"/>
            <w:vAlign w:val="bottom"/>
            <w:gridSpan w:val="2"/>
            <w:vMerge w:val="continue"/>
            <w:shd w:val="clear" w:color="auto" w:fill="CCFFCC"/>
          </w:tcPr>
          <w:p>
            <w:pPr>
              <w:spacing w:after="0"/>
              <w:rPr>
                <w:sz w:val="10"/>
                <w:szCs w:val="10"/>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10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3460" w:type="dxa"/>
            <w:vAlign w:val="bottom"/>
            <w:gridSpan w:val="3"/>
            <w:vMerge w:val="continue"/>
            <w:shd w:val="clear" w:color="auto" w:fill="CCFFCC"/>
          </w:tcPr>
          <w:p>
            <w:pPr>
              <w:spacing w:after="0"/>
              <w:rPr>
                <w:sz w:val="7"/>
                <w:szCs w:val="7"/>
                <w:color w:val="auto"/>
              </w:rPr>
            </w:pPr>
          </w:p>
        </w:tc>
        <w:tc>
          <w:tcPr>
            <w:tcW w:w="98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540" w:firstLine="288"/>
        <w:spacing w:after="0" w:line="277" w:lineRule="auto"/>
        <w:rPr>
          <w:sz w:val="20"/>
          <w:szCs w:val="20"/>
          <w:color w:val="auto"/>
        </w:rPr>
      </w:pPr>
      <w:r>
        <w:rPr>
          <w:rFonts w:ascii="Arial" w:cs="Arial" w:eastAsia="Arial" w:hAnsi="Arial"/>
          <w:sz w:val="16"/>
          <w:szCs w:val="16"/>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Limitations of Current Treatment Options for ADHD</w:t>
      </w:r>
    </w:p>
    <w:p>
      <w:pPr>
        <w:spacing w:after="0" w:line="20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52" w:lineRule="exact"/>
        <w:rPr>
          <w:sz w:val="20"/>
          <w:szCs w:val="20"/>
          <w:color w:val="auto"/>
        </w:rPr>
      </w:pPr>
    </w:p>
    <w:p>
      <w:pPr>
        <w:ind w:right="60" w:firstLine="357"/>
        <w:spacing w:after="0" w:line="255"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2" w:name="page43"/>
    <w:bookmarkEnd w:id="42"/>
    <w:p>
      <w:pPr>
        <w:jc w:val="both"/>
        <w:ind w:right="80" w:firstLine="357"/>
        <w:spacing w:after="0" w:line="319" w:lineRule="auto"/>
        <w:rPr>
          <w:sz w:val="20"/>
          <w:szCs w:val="20"/>
          <w:color w:val="auto"/>
        </w:rPr>
      </w:pPr>
      <w:r>
        <w:rPr>
          <w:rFonts w:ascii="Arial" w:cs="Arial" w:eastAsia="Arial" w:hAnsi="Arial"/>
          <w:sz w:val="14"/>
          <w:szCs w:val="14"/>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right="20" w:firstLine="335"/>
        <w:spacing w:after="0" w:line="256"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8" w:lineRule="exact"/>
        <w:rPr>
          <w:sz w:val="20"/>
          <w:szCs w:val="20"/>
          <w:color w:val="auto"/>
        </w:rPr>
      </w:pPr>
    </w:p>
    <w:p>
      <w:pPr>
        <w:ind w:left="580" w:right="24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2014 and expected completion in the second quarter of 2015)</w:t>
      </w:r>
    </w:p>
    <w:p>
      <w:pPr>
        <w:spacing w:after="0" w:line="151" w:lineRule="exact"/>
        <w:rPr>
          <w:rFonts w:ascii="Arial" w:cs="Arial" w:eastAsia="Arial" w:hAnsi="Arial"/>
          <w:sz w:val="16"/>
          <w:szCs w:val="16"/>
          <w:color w:val="A6A6A6"/>
        </w:rPr>
      </w:pPr>
    </w:p>
    <w:p>
      <w:pPr>
        <w:ind w:left="580" w:right="3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51" w:lineRule="exact"/>
        <w:rPr>
          <w:rFonts w:ascii="Arial" w:cs="Arial" w:eastAsia="Arial" w:hAnsi="Arial"/>
          <w:sz w:val="16"/>
          <w:szCs w:val="16"/>
          <w:color w:val="A6A6A6"/>
        </w:rPr>
      </w:pPr>
    </w:p>
    <w:p>
      <w:pPr>
        <w:ind w:left="580" w:right="36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51"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Alcobra's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MG01CI Overview and Mechanism of Action</w:t>
      </w:r>
    </w:p>
    <w:p>
      <w:pPr>
        <w:spacing w:after="0" w:line="204"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5"/>
          <w:szCs w:val="15"/>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55"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(including one application that has been allowed by the U.S. PTO) that, if issued, would prevent the use by others of Metadoxine to treat ADHD and all other cognitive disorders.</w:t>
      </w:r>
    </w:p>
    <w:p>
      <w:pPr>
        <w:spacing w:after="0" w:line="168" w:lineRule="exact"/>
        <w:rPr>
          <w:sz w:val="20"/>
          <w:szCs w:val="20"/>
          <w:color w:val="auto"/>
        </w:rPr>
      </w:pPr>
    </w:p>
    <w:p>
      <w:pPr>
        <w:ind w:right="20" w:firstLine="360"/>
        <w:spacing w:after="0" w:line="273" w:lineRule="auto"/>
        <w:rPr>
          <w:sz w:val="20"/>
          <w:szCs w:val="20"/>
          <w:color w:val="auto"/>
        </w:rPr>
      </w:pPr>
      <w:r>
        <w:rPr>
          <w:rFonts w:ascii="Arial" w:cs="Arial" w:eastAsia="Arial" w:hAnsi="Arial"/>
          <w:sz w:val="15"/>
          <w:szCs w:val="15"/>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3" w:name="page44"/>
    <w:bookmarkEnd w:id="43"/>
    <w:p>
      <w:pPr>
        <w:ind w:right="140" w:firstLine="346"/>
        <w:spacing w:after="0" w:line="289" w:lineRule="auto"/>
        <w:rPr>
          <w:sz w:val="20"/>
          <w:szCs w:val="20"/>
          <w:color w:val="auto"/>
        </w:rPr>
      </w:pPr>
      <w:r>
        <w:rPr>
          <w:rFonts w:ascii="Arial" w:cs="Arial" w:eastAsia="Arial" w:hAnsi="Arial"/>
          <w:sz w:val="14"/>
          <w:szCs w:val="14"/>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52" w:lineRule="exact"/>
        <w:rPr>
          <w:sz w:val="20"/>
          <w:szCs w:val="20"/>
          <w:color w:val="auto"/>
        </w:rPr>
      </w:pPr>
    </w:p>
    <w:p>
      <w:pPr>
        <w:ind w:right="40" w:firstLine="346"/>
        <w:spacing w:after="0" w:line="252" w:lineRule="auto"/>
        <w:rPr>
          <w:sz w:val="20"/>
          <w:szCs w:val="20"/>
          <w:color w:val="auto"/>
        </w:rPr>
      </w:pPr>
      <w:r>
        <w:rPr>
          <w:rFonts w:ascii="Arial" w:cs="Arial" w:eastAsia="Arial" w:hAnsi="Arial"/>
          <w:sz w:val="19"/>
          <w:szCs w:val="19"/>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59" w:lineRule="exact"/>
        <w:rPr>
          <w:sz w:val="20"/>
          <w:szCs w:val="20"/>
          <w:color w:val="auto"/>
        </w:rPr>
      </w:pPr>
    </w:p>
    <w:p>
      <w:pPr>
        <w:jc w:val="both"/>
        <w:ind w:right="20" w:firstLine="346"/>
        <w:spacing w:after="0" w:line="264" w:lineRule="auto"/>
        <w:rPr>
          <w:sz w:val="20"/>
          <w:szCs w:val="20"/>
          <w:color w:val="auto"/>
        </w:rPr>
      </w:pPr>
      <w:r>
        <w:rPr>
          <w:rFonts w:ascii="Arial" w:cs="Arial" w:eastAsia="Arial" w:hAnsi="Arial"/>
          <w:sz w:val="16"/>
          <w:szCs w:val="16"/>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Data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Symptom and Clinical Efficacy Measurement</w:t>
      </w:r>
    </w:p>
    <w:p>
      <w:pPr>
        <w:spacing w:after="0" w:line="200" w:lineRule="exact"/>
        <w:rPr>
          <w:sz w:val="20"/>
          <w:szCs w:val="20"/>
          <w:color w:val="auto"/>
        </w:rPr>
      </w:pPr>
    </w:p>
    <w:p>
      <w:pPr>
        <w:jc w:val="both"/>
        <w:ind w:right="20" w:firstLine="346"/>
        <w:spacing w:after="0" w:line="351" w:lineRule="auto"/>
        <w:rPr>
          <w:sz w:val="20"/>
          <w:szCs w:val="20"/>
          <w:color w:val="auto"/>
        </w:rPr>
      </w:pPr>
      <w:r>
        <w:rPr>
          <w:rFonts w:ascii="Arial" w:cs="Arial" w:eastAsia="Arial" w:hAnsi="Arial"/>
          <w:sz w:val="14"/>
          <w:szCs w:val="14"/>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06" w:lineRule="exact"/>
        <w:rPr>
          <w:sz w:val="20"/>
          <w:szCs w:val="20"/>
          <w:color w:val="auto"/>
        </w:rPr>
      </w:pPr>
    </w:p>
    <w:p>
      <w:pPr>
        <w:jc w:val="both"/>
        <w:ind w:left="360" w:right="20" w:hanging="4"/>
        <w:spacing w:after="0" w:line="259" w:lineRule="auto"/>
        <w:tabs>
          <w:tab w:leader="none" w:pos="452"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Conners’ Adult ADHD Rating Scales (CAARS). </w:t>
      </w:r>
      <w:r>
        <w:rPr>
          <w:rFonts w:ascii="Arial" w:cs="Arial" w:eastAsia="Arial" w:hAnsi="Arial"/>
          <w:sz w:val="16"/>
          <w:szCs w:val="16"/>
          <w:color w:val="auto"/>
        </w:rPr>
        <w:t>CAARS measure the presence and severity of ADHD symptoms to determine whether or not ADHD is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66" w:lineRule="exact"/>
        <w:rPr>
          <w:rFonts w:ascii="Arial" w:cs="Arial" w:eastAsia="Arial" w:hAnsi="Arial"/>
          <w:sz w:val="16"/>
          <w:szCs w:val="16"/>
          <w:color w:val="A6A6A6"/>
        </w:rPr>
      </w:pPr>
    </w:p>
    <w:p>
      <w:pPr>
        <w:jc w:val="both"/>
        <w:ind w:left="360" w:hanging="4"/>
        <w:spacing w:after="0" w:line="264" w:lineRule="auto"/>
        <w:tabs>
          <w:tab w:leader="none" w:pos="440"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Adult ADHD Quality of Life Questionnaire (AAQoL). </w:t>
      </w:r>
      <w:r>
        <w:rPr>
          <w:rFonts w:ascii="Arial" w:cs="Arial" w:eastAsia="Arial" w:hAnsi="Arial"/>
          <w:sz w:val="16"/>
          <w:szCs w:val="16"/>
          <w:color w:val="auto"/>
        </w:rPr>
        <w:t>AAQoL provides a validated disease-specific measure of the impact of ADHD on the quality of life. It is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61" w:lineRule="exact"/>
        <w:rPr>
          <w:rFonts w:ascii="Arial" w:cs="Arial" w:eastAsia="Arial" w:hAnsi="Arial"/>
          <w:sz w:val="16"/>
          <w:szCs w:val="16"/>
          <w:color w:val="A6A6A6"/>
        </w:rPr>
      </w:pPr>
    </w:p>
    <w:p>
      <w:pPr>
        <w:jc w:val="both"/>
        <w:ind w:left="360" w:hanging="4"/>
        <w:spacing w:after="0" w:line="273" w:lineRule="auto"/>
        <w:tabs>
          <w:tab w:leader="none" w:pos="440" w:val="left"/>
        </w:tabs>
        <w:numPr>
          <w:ilvl w:val="0"/>
          <w:numId w:val="41"/>
        </w:numPr>
        <w:rPr>
          <w:rFonts w:ascii="Arial" w:cs="Arial" w:eastAsia="Arial" w:hAnsi="Arial"/>
          <w:sz w:val="15"/>
          <w:szCs w:val="15"/>
          <w:color w:val="A6A6A6"/>
        </w:rPr>
      </w:pPr>
      <w:r>
        <w:rPr>
          <w:rFonts w:ascii="Arial" w:cs="Arial" w:eastAsia="Arial" w:hAnsi="Arial"/>
          <w:sz w:val="15"/>
          <w:szCs w:val="15"/>
          <w:i w:val="1"/>
          <w:iCs w:val="1"/>
          <w:color w:val="auto"/>
        </w:rPr>
        <w:t xml:space="preserve">Test of Variables of Attention (TOVA). </w:t>
      </w:r>
      <w:r>
        <w:rPr>
          <w:rFonts w:ascii="Arial" w:cs="Arial" w:eastAsia="Arial" w:hAnsi="Arial"/>
          <w:sz w:val="15"/>
          <w:szCs w:val="15"/>
          <w:color w:val="auto"/>
        </w:rPr>
        <w:t>TOVA is a computerized test that assists in the screening, diagnosis, and treatment monitoring of attention disorders such as ADHD.</w:t>
      </w:r>
      <w:r>
        <w:rPr>
          <w:rFonts w:ascii="Arial" w:cs="Arial" w:eastAsia="Arial" w:hAnsi="Arial"/>
          <w:sz w:val="15"/>
          <w:szCs w:val="15"/>
          <w:i w:val="1"/>
          <w:iCs w:val="1"/>
          <w:color w:val="auto"/>
        </w:rPr>
        <w:t xml:space="preserve"> </w:t>
      </w:r>
      <w:r>
        <w:rPr>
          <w:rFonts w:ascii="Arial" w:cs="Arial" w:eastAsia="Arial" w:hAnsi="Arial"/>
          <w:sz w:val="15"/>
          <w:szCs w:val="15"/>
          <w:color w:val="auto"/>
        </w:rPr>
        <w:t>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Results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We have conducted several clinical trials in adult ADHD patients in Israel testing the safety and efficacy of our novel non-stimulant drug candidate, MG01CI. These trials included: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6" w:right="219" w:bottom="1440" w:gutter="0" w:footer="0" w:header="0"/>
        </w:sectPr>
      </w:pPr>
    </w:p>
    <w:bookmarkStart w:id="44" w:name="page45"/>
    <w:bookmarkEnd w:id="44"/>
    <w:p>
      <w:pPr>
        <w:ind w:left="940" w:hanging="295"/>
        <w:spacing w:after="0"/>
        <w:tabs>
          <w:tab w:leader="none" w:pos="940" w:val="left"/>
        </w:tabs>
        <w:numPr>
          <w:ilvl w:val="0"/>
          <w:numId w:val="42"/>
        </w:numPr>
        <w:rPr>
          <w:rFonts w:ascii="Arial" w:cs="Arial" w:eastAsia="Arial" w:hAnsi="Arial"/>
          <w:sz w:val="15"/>
          <w:szCs w:val="15"/>
          <w:color w:val="A6A6A6"/>
        </w:rPr>
      </w:pPr>
      <w:r>
        <w:rPr>
          <w:rFonts w:ascii="Arial" w:cs="Arial" w:eastAsia="Arial" w:hAnsi="Arial"/>
          <w:sz w:val="15"/>
          <w:szCs w:val="15"/>
          <w:color w:val="auto"/>
        </w:rPr>
        <w:t>A Phase IIa proof of concept study of 38 adult ADHD patients, followed by two extension studies to determine length of efficacy and optimized dosages; and</w:t>
      </w:r>
    </w:p>
    <w:p>
      <w:pPr>
        <w:spacing w:after="0" w:line="211" w:lineRule="exact"/>
        <w:rPr>
          <w:rFonts w:ascii="Arial" w:cs="Arial" w:eastAsia="Arial" w:hAnsi="Arial"/>
          <w:sz w:val="15"/>
          <w:szCs w:val="15"/>
          <w:color w:val="A6A6A6"/>
        </w:rPr>
      </w:pPr>
    </w:p>
    <w:p>
      <w:pPr>
        <w:ind w:left="940" w:right="20" w:hanging="295"/>
        <w:spacing w:after="0" w:line="277" w:lineRule="auto"/>
        <w:tabs>
          <w:tab w:leader="none" w:pos="94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information about our clinical trials is shown in the following chart.</w:t>
      </w:r>
    </w:p>
    <w:p>
      <w:pPr>
        <w:spacing w:after="0" w:line="21"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38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color w:val="auto"/>
              </w:rPr>
              <w:t>Phase IIa</w:t>
            </w:r>
          </w:p>
        </w:tc>
        <w:tc>
          <w:tcPr>
            <w:tcW w:w="38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color w:val="auto"/>
              </w:rPr>
              <w:t>Phase IIb</w:t>
            </w:r>
          </w:p>
        </w:tc>
      </w:tr>
      <w:tr>
        <w:trPr>
          <w:trHeight w:val="184"/>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When the clinical study was held</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Q2-Q3 2011</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How long the clinical study was active</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4 months</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rPr>
              <w:t>How we targeted patients to enroll</w:t>
            </w:r>
          </w:p>
        </w:tc>
        <w:tc>
          <w:tcPr>
            <w:tcW w:w="284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ADHD</w:t>
            </w:r>
          </w:p>
        </w:tc>
        <w:tc>
          <w:tcPr>
            <w:tcW w:w="38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clinics; online</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advertisement; newspaper advertisement</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w w:val="93"/>
              </w:rPr>
              <w:t>Whether we conducted the study with any other parties</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w w:val="97"/>
              </w:rPr>
              <w:t>The steps taken to ensure the accuracy of the results</w:t>
            </w:r>
          </w:p>
        </w:tc>
        <w:tc>
          <w:tcPr>
            <w:tcW w:w="6720" w:type="dxa"/>
            <w:vAlign w:val="bottom"/>
            <w:tcBorders>
              <w:right w:val="single" w:sz="8" w:color="auto"/>
            </w:tcBorders>
            <w:gridSpan w:val="2"/>
          </w:tcPr>
          <w:p>
            <w:pPr>
              <w:ind w:left="80"/>
              <w:spacing w:after="0" w:line="171" w:lineRule="exact"/>
              <w:rPr>
                <w:sz w:val="20"/>
                <w:szCs w:val="20"/>
                <w:color w:val="auto"/>
              </w:rPr>
            </w:pPr>
            <w:r>
              <w:rPr>
                <w:rFonts w:ascii="Arial" w:cs="Arial" w:eastAsia="Arial" w:hAnsi="Arial"/>
                <w:sz w:val="16"/>
                <w:szCs w:val="16"/>
                <w:color w:val="auto"/>
                <w:w w:val="93"/>
              </w:rPr>
              <w:t>Outside contract research organization (CRO) oversight, including monitoring visits; outside medical</w:t>
            </w:r>
          </w:p>
        </w:tc>
      </w:tr>
      <w:tr>
        <w:trPr>
          <w:trHeight w:val="192"/>
        </w:trPr>
        <w:tc>
          <w:tcPr>
            <w:tcW w:w="3800" w:type="dxa"/>
            <w:vAlign w:val="bottom"/>
            <w:tcBorders>
              <w:left w:val="single" w:sz="8" w:color="auto"/>
              <w:right w:val="single" w:sz="8" w:color="auto"/>
            </w:tcBorders>
          </w:tcPr>
          <w:p>
            <w:pPr>
              <w:spacing w:after="0"/>
              <w:rPr>
                <w:sz w:val="16"/>
                <w:szCs w:val="16"/>
                <w:color w:val="auto"/>
              </w:rPr>
            </w:pPr>
          </w:p>
        </w:tc>
        <w:tc>
          <w:tcPr>
            <w:tcW w:w="67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monitor; double-typing of data in the data management system; automatic and manual query</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generation; and external expert review</w:t>
            </w: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5"/>
          <w:szCs w:val="15"/>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5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991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9918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bottom w:val="single" w:sz="8" w:color="auto"/>
            </w:tcBorders>
            <w:shd w:val="clear" w:color="auto" w:fill="000000"/>
          </w:tcPr>
          <w:p>
            <w:pPr>
              <w:jc w:val="center"/>
              <w:ind w:right="40"/>
              <w:spacing w:after="0"/>
              <w:rPr>
                <w:sz w:val="20"/>
                <w:szCs w:val="20"/>
                <w:color w:val="auto"/>
              </w:rPr>
            </w:pPr>
            <w:r>
              <w:rPr>
                <w:rFonts w:ascii="Arial" w:cs="Arial" w:eastAsia="Arial" w:hAnsi="Arial"/>
                <w:sz w:val="16"/>
                <w:szCs w:val="16"/>
                <w:b w:val="1"/>
                <w:bCs w:val="1"/>
                <w:color w:val="FFFFFF"/>
                <w:w w:val="93"/>
              </w:rPr>
              <w:t>Parameter (n=38)</w:t>
            </w:r>
          </w:p>
        </w:tc>
        <w:tc>
          <w:tcPr>
            <w:tcW w:w="3880" w:type="dxa"/>
            <w:vAlign w:val="bottom"/>
            <w:tcBorders>
              <w:bottom w:val="single" w:sz="8" w:color="auto"/>
            </w:tcBorders>
            <w:gridSpan w:val="2"/>
            <w:shd w:val="clear" w:color="auto" w:fill="000000"/>
          </w:tcPr>
          <w:p>
            <w:pPr>
              <w:jc w:val="center"/>
              <w:ind w:right="280"/>
              <w:spacing w:after="0"/>
              <w:rPr>
                <w:sz w:val="20"/>
                <w:szCs w:val="20"/>
                <w:color w:val="auto"/>
              </w:rPr>
            </w:pPr>
            <w:r>
              <w:rPr>
                <w:rFonts w:ascii="Arial" w:cs="Arial" w:eastAsia="Arial" w:hAnsi="Arial"/>
                <w:sz w:val="16"/>
                <w:szCs w:val="16"/>
                <w:b w:val="1"/>
                <w:bCs w:val="1"/>
                <w:color w:val="FFFFFF"/>
                <w:w w:val="88"/>
              </w:rPr>
              <w:t>Change from baseline</w:t>
            </w:r>
          </w:p>
        </w:tc>
        <w:tc>
          <w:tcPr>
            <w:tcW w:w="3520" w:type="dxa"/>
            <w:vAlign w:val="bottom"/>
            <w:tcBorders>
              <w:bottom w:val="single" w:sz="8" w:color="auto"/>
            </w:tcBorders>
            <w:shd w:val="clear" w:color="auto" w:fill="000000"/>
          </w:tcPr>
          <w:p>
            <w:pPr>
              <w:ind w:left="1600"/>
              <w:spacing w:after="0"/>
              <w:rPr>
                <w:sz w:val="20"/>
                <w:szCs w:val="20"/>
                <w:color w:val="auto"/>
              </w:rPr>
            </w:pPr>
            <w:r>
              <w:rPr>
                <w:rFonts w:ascii="Arial" w:cs="Arial" w:eastAsia="Arial" w:hAnsi="Arial"/>
                <w:sz w:val="16"/>
                <w:szCs w:val="16"/>
                <w:b w:val="1"/>
                <w:bCs w:val="1"/>
                <w:color w:val="FFFFFF"/>
              </w:rPr>
              <w:t>p</w:t>
            </w:r>
          </w:p>
        </w:tc>
      </w:tr>
      <w:tr>
        <w:trPr>
          <w:trHeight w:val="264"/>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0"/>
              </w:rPr>
              <w:t>Omission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+12.9</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(+16.6%)</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p&lt;0.03</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Commission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(+7.1%)</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3"/>
              </w:rPr>
              <w:t>p&lt;0.01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87"/>
              </w:rPr>
              <w:t>Response Time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(+12.4%)</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p&lt;0.02</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Response Time Variability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+17.1</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(+38.6%)</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2"/>
              </w:rPr>
              <w:t>p&lt;0.001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3"/>
              </w:rPr>
              <w:t>ADHD Score</w:t>
            </w:r>
          </w:p>
        </w:tc>
        <w:tc>
          <w:tcPr>
            <w:tcW w:w="3880" w:type="dxa"/>
            <w:vAlign w:val="bottom"/>
            <w:gridSpan w:val="2"/>
            <w:shd w:val="clear" w:color="auto" w:fill="CBCBCB"/>
          </w:tcPr>
          <w:p>
            <w:pPr>
              <w:jc w:val="right"/>
              <w:ind w:right="1560"/>
              <w:spacing w:after="0"/>
              <w:rPr>
                <w:sz w:val="20"/>
                <w:szCs w:val="20"/>
                <w:color w:val="auto"/>
              </w:rPr>
            </w:pPr>
            <w:r>
              <w:rPr>
                <w:rFonts w:ascii="Arial" w:cs="Arial" w:eastAsia="Arial" w:hAnsi="Arial"/>
                <w:sz w:val="16"/>
                <w:szCs w:val="16"/>
                <w:color w:val="auto"/>
              </w:rPr>
              <w:t>+3.9 (+65.8%)</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2"/>
              </w:rPr>
              <w:t>p&lt;0.001</w:t>
            </w: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TOVA Subscores</w:t>
      </w:r>
    </w:p>
    <w:p>
      <w:pPr>
        <w:spacing w:after="0" w:line="21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1532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3289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WAIS-R subtest</w:t>
            </w:r>
          </w:p>
        </w:tc>
        <w:tc>
          <w:tcPr>
            <w:tcW w:w="2560" w:type="dxa"/>
            <w:vAlign w:val="bottom"/>
            <w:vMerge w:val="restart"/>
            <w:shd w:val="clear" w:color="auto" w:fill="000000"/>
          </w:tcPr>
          <w:p>
            <w:pPr>
              <w:ind w:left="460"/>
              <w:spacing w:after="0"/>
              <w:rPr>
                <w:sz w:val="20"/>
                <w:szCs w:val="20"/>
                <w:color w:val="auto"/>
              </w:rPr>
            </w:pPr>
            <w:r>
              <w:rPr>
                <w:rFonts w:ascii="Arial" w:cs="Arial" w:eastAsia="Arial" w:hAnsi="Arial"/>
                <w:sz w:val="16"/>
                <w:szCs w:val="16"/>
                <w:b w:val="1"/>
                <w:bCs w:val="1"/>
                <w:color w:val="FFFFFF"/>
              </w:rPr>
              <w:t>Baseline mean (min,max)</w:t>
            </w:r>
          </w:p>
        </w:tc>
        <w:tc>
          <w:tcPr>
            <w:tcW w:w="3100" w:type="dxa"/>
            <w:vAlign w:val="bottom"/>
            <w:gridSpan w:val="2"/>
            <w:vMerge w:val="restart"/>
            <w:shd w:val="clear" w:color="auto" w:fill="000000"/>
          </w:tcPr>
          <w:p>
            <w:pPr>
              <w:ind w:left="380"/>
              <w:spacing w:after="0"/>
              <w:rPr>
                <w:sz w:val="20"/>
                <w:szCs w:val="20"/>
                <w:color w:val="auto"/>
              </w:rPr>
            </w:pPr>
            <w:r>
              <w:rPr>
                <w:rFonts w:ascii="Arial" w:cs="Arial" w:eastAsia="Arial" w:hAnsi="Arial"/>
                <w:sz w:val="16"/>
                <w:szCs w:val="16"/>
                <w:b w:val="1"/>
                <w:bCs w:val="1"/>
                <w:color w:val="FFFFFF"/>
              </w:rPr>
              <w:t>Post medication mean (min,max)</w:t>
            </w:r>
          </w:p>
        </w:tc>
        <w:tc>
          <w:tcPr>
            <w:tcW w:w="1620" w:type="dxa"/>
            <w:vAlign w:val="bottom"/>
            <w:vMerge w:val="restart"/>
            <w:shd w:val="clear" w:color="auto" w:fill="000000"/>
          </w:tcPr>
          <w:p>
            <w:pPr>
              <w:jc w:val="center"/>
              <w:ind w:right="100"/>
              <w:spacing w:after="0"/>
              <w:rPr>
                <w:sz w:val="20"/>
                <w:szCs w:val="20"/>
                <w:color w:val="auto"/>
              </w:rPr>
            </w:pPr>
            <w:r>
              <w:rPr>
                <w:rFonts w:ascii="Arial" w:cs="Arial" w:eastAsia="Arial" w:hAnsi="Arial"/>
                <w:sz w:val="16"/>
                <w:szCs w:val="16"/>
                <w:b w:val="1"/>
                <w:bCs w:val="1"/>
                <w:color w:val="FFFFFF"/>
                <w:w w:val="88"/>
              </w:rPr>
              <w:t>Change</w:t>
            </w:r>
          </w:p>
        </w:tc>
        <w:tc>
          <w:tcPr>
            <w:tcW w:w="2020" w:type="dxa"/>
            <w:vAlign w:val="bottom"/>
            <w:vMerge w:val="restart"/>
            <w:shd w:val="clear" w:color="auto" w:fill="000000"/>
          </w:tcPr>
          <w:p>
            <w:pPr>
              <w:ind w:left="860"/>
              <w:spacing w:after="0"/>
              <w:rPr>
                <w:sz w:val="20"/>
                <w:szCs w:val="20"/>
                <w:color w:val="auto"/>
              </w:rPr>
            </w:pPr>
            <w:r>
              <w:rPr>
                <w:rFonts w:ascii="Arial" w:cs="Arial" w:eastAsia="Arial" w:hAnsi="Arial"/>
                <w:sz w:val="16"/>
                <w:szCs w:val="16"/>
                <w:b w:val="1"/>
                <w:bCs w:val="1"/>
                <w:color w:val="FFFFFF"/>
              </w:rPr>
              <w:t>p</w:t>
            </w:r>
          </w:p>
        </w:tc>
        <w:tc>
          <w:tcPr>
            <w:tcW w:w="0" w:type="dxa"/>
            <w:vAlign w:val="bottom"/>
          </w:tcPr>
          <w:p>
            <w:pPr>
              <w:spacing w:after="0"/>
              <w:rPr>
                <w:sz w:val="1"/>
                <w:szCs w:val="1"/>
                <w:color w:val="auto"/>
              </w:rPr>
            </w:pPr>
          </w:p>
        </w:tc>
      </w:tr>
      <w:tr>
        <w:trPr>
          <w:trHeight w:val="209"/>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(n-38)</w:t>
            </w:r>
          </w:p>
        </w:tc>
        <w:tc>
          <w:tcPr>
            <w:tcW w:w="2560" w:type="dxa"/>
            <w:vAlign w:val="bottom"/>
            <w:vMerge w:val="continue"/>
            <w:shd w:val="clear" w:color="auto" w:fill="000000"/>
          </w:tcPr>
          <w:p>
            <w:pPr>
              <w:spacing w:after="0"/>
              <w:rPr>
                <w:sz w:val="18"/>
                <w:szCs w:val="18"/>
                <w:color w:val="auto"/>
              </w:rPr>
            </w:pPr>
          </w:p>
        </w:tc>
        <w:tc>
          <w:tcPr>
            <w:tcW w:w="3100" w:type="dxa"/>
            <w:vAlign w:val="bottom"/>
            <w:gridSpan w:val="2"/>
            <w:vMerge w:val="continue"/>
            <w:shd w:val="clear" w:color="auto" w:fill="000000"/>
          </w:tcPr>
          <w:p>
            <w:pPr>
              <w:spacing w:after="0"/>
              <w:rPr>
                <w:sz w:val="18"/>
                <w:szCs w:val="18"/>
                <w:color w:val="auto"/>
              </w:rPr>
            </w:pPr>
          </w:p>
        </w:tc>
        <w:tc>
          <w:tcPr>
            <w:tcW w:w="1620" w:type="dxa"/>
            <w:vAlign w:val="bottom"/>
            <w:vMerge w:val="continue"/>
            <w:shd w:val="clear" w:color="auto" w:fill="000000"/>
          </w:tcPr>
          <w:p>
            <w:pPr>
              <w:spacing w:after="0"/>
              <w:rPr>
                <w:sz w:val="18"/>
                <w:szCs w:val="18"/>
                <w:color w:val="auto"/>
              </w:rPr>
            </w:pPr>
          </w:p>
        </w:tc>
        <w:tc>
          <w:tcPr>
            <w:tcW w:w="2020" w:type="dxa"/>
            <w:vAlign w:val="bottom"/>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000000"/>
          </w:tcPr>
          <w:p>
            <w:pPr>
              <w:spacing w:after="0"/>
              <w:rPr>
                <w:sz w:val="18"/>
                <w:szCs w:val="18"/>
                <w:color w:val="auto"/>
              </w:rPr>
            </w:pPr>
          </w:p>
        </w:tc>
        <w:tc>
          <w:tcPr>
            <w:tcW w:w="2560" w:type="dxa"/>
            <w:vAlign w:val="bottom"/>
            <w:shd w:val="clear" w:color="auto" w:fill="000000"/>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1700" w:type="dxa"/>
            <w:vAlign w:val="bottom"/>
            <w:shd w:val="clear" w:color="auto" w:fill="000000"/>
          </w:tcPr>
          <w:p>
            <w:pPr>
              <w:spacing w:after="0"/>
              <w:rPr>
                <w:sz w:val="18"/>
                <w:szCs w:val="18"/>
                <w:color w:val="auto"/>
              </w:rPr>
            </w:pPr>
          </w:p>
        </w:tc>
        <w:tc>
          <w:tcPr>
            <w:tcW w:w="1620" w:type="dxa"/>
            <w:vAlign w:val="bottom"/>
            <w:shd w:val="clear" w:color="auto" w:fill="000000"/>
          </w:tcPr>
          <w:p>
            <w:pPr>
              <w:spacing w:after="0"/>
              <w:rPr>
                <w:sz w:val="18"/>
                <w:szCs w:val="18"/>
                <w:color w:val="auto"/>
              </w:rPr>
            </w:pPr>
          </w:p>
        </w:tc>
        <w:tc>
          <w:tcPr>
            <w:tcW w:w="20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1"/>
              </w:rPr>
              <w:t>Correct Symbols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37.9</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(22,57)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+3.4</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8"/>
              </w:rPr>
              <w:t>Symbol Search</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0"/>
              </w:rPr>
              <w:t>74.6 (54,119)</w:t>
            </w:r>
          </w:p>
        </w:tc>
        <w:tc>
          <w:tcPr>
            <w:tcW w:w="3100" w:type="dxa"/>
            <w:vAlign w:val="bottom"/>
            <w:gridSpan w:val="2"/>
            <w:shd w:val="clear" w:color="auto" w:fill="D9D9D9"/>
          </w:tcPr>
          <w:p>
            <w:pPr>
              <w:jc w:val="right"/>
              <w:ind w:right="1100"/>
              <w:spacing w:after="0"/>
              <w:rPr>
                <w:sz w:val="20"/>
                <w:szCs w:val="20"/>
                <w:color w:val="auto"/>
              </w:rPr>
            </w:pPr>
            <w:r>
              <w:rPr>
                <w:rFonts w:ascii="Arial" w:cs="Arial" w:eastAsia="Arial" w:hAnsi="Arial"/>
                <w:sz w:val="16"/>
                <w:szCs w:val="16"/>
                <w:color w:val="auto"/>
              </w:rPr>
              <w:t>81.7 (61,112)</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+7.2</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2"/>
              </w:rPr>
              <w:t>p&lt;0.001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00" w:type="dxa"/>
            <w:vAlign w:val="bottom"/>
            <w:gridSpan w:val="2"/>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3"/>
              </w:rPr>
              <w:t>Digits Forward</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10.0 (5,14)</w:t>
            </w:r>
          </w:p>
        </w:tc>
        <w:tc>
          <w:tcPr>
            <w:tcW w:w="3100" w:type="dxa"/>
            <w:vAlign w:val="bottom"/>
            <w:gridSpan w:val="2"/>
            <w:shd w:val="clear" w:color="auto" w:fill="BFBFBF"/>
          </w:tcPr>
          <w:p>
            <w:pPr>
              <w:jc w:val="right"/>
              <w:ind w:right="1160"/>
              <w:spacing w:after="0"/>
              <w:rPr>
                <w:sz w:val="20"/>
                <w:szCs w:val="20"/>
                <w:color w:val="auto"/>
              </w:rPr>
            </w:pPr>
            <w:r>
              <w:rPr>
                <w:rFonts w:ascii="Arial" w:cs="Arial" w:eastAsia="Arial" w:hAnsi="Arial"/>
                <w:sz w:val="16"/>
                <w:szCs w:val="16"/>
                <w:color w:val="auto"/>
              </w:rPr>
              <w:t>10.7 (7,14)</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+0.7</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p&lt;0.003</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00" w:type="dxa"/>
            <w:vAlign w:val="bottom"/>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4"/>
              </w:rPr>
              <w:t>Digits Backward</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3"/>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w:t>
            </w:r>
          </w:p>
        </w:tc>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(2,14)</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+0.9</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3"/>
              </w:rPr>
              <w:t>p&lt;0.01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0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4"/>
              </w:rPr>
              <w:t>Total Digits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18.6</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(10,27)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+1.6</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b w:val="1"/>
                <w:bCs w:val="1"/>
                <w:color w:val="auto"/>
              </w:rPr>
              <w:t>Wechsler Subscores</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110490</wp:posOffset>
            </wp:positionV>
            <wp:extent cx="3173095" cy="1853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309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Following Single MG01CI Dosing</w:t>
      </w:r>
    </w:p>
    <w:p>
      <w:pPr>
        <w:spacing w:after="0" w:line="20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6"/>
          <w:szCs w:val="16"/>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ectPr>
          <w:pgSz w:w="11900" w:h="16838" w:orient="portrait"/>
          <w:cols w:equalWidth="0" w:num="1">
            <w:col w:w="11440"/>
          </w:cols>
          <w:pgMar w:left="240" w:top="824" w:right="219" w:bottom="0" w:gutter="0" w:footer="0" w:header="0"/>
        </w:sectPr>
      </w:pPr>
    </w:p>
    <w:bookmarkStart w:id="45" w:name="page46"/>
    <w:bookmarkEnd w:id="45"/>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653415</wp:posOffset>
            </wp:positionV>
            <wp:extent cx="7317740" cy="5492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Before and 90 Minutes Following One of Three MG01CI Doses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Phase IIb Clinical Study</w:t>
      </w:r>
    </w:p>
    <w:p>
      <w:pPr>
        <w:spacing w:after="0" w:line="204" w:lineRule="exact"/>
        <w:rPr>
          <w:sz w:val="20"/>
          <w:szCs w:val="20"/>
          <w:color w:val="auto"/>
        </w:rPr>
      </w:pPr>
    </w:p>
    <w:p>
      <w:pPr>
        <w:ind w:right="260" w:firstLine="360"/>
        <w:spacing w:after="0" w:line="312" w:lineRule="auto"/>
        <w:rPr>
          <w:sz w:val="20"/>
          <w:szCs w:val="20"/>
          <w:color w:val="auto"/>
        </w:rPr>
      </w:pPr>
      <w:r>
        <w:rPr>
          <w:rFonts w:ascii="Arial" w:cs="Arial" w:eastAsia="Arial" w:hAnsi="Arial"/>
          <w:sz w:val="15"/>
          <w:szCs w:val="15"/>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2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6"/>
          <w:szCs w:val="16"/>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52"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492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60"/>
        <w:spacing w:after="0" w:line="319" w:lineRule="auto"/>
        <w:rPr>
          <w:sz w:val="20"/>
          <w:szCs w:val="20"/>
          <w:color w:val="auto"/>
        </w:rPr>
      </w:pPr>
      <w:r>
        <w:rPr>
          <w:rFonts w:ascii="Arial" w:cs="Arial" w:eastAsia="Arial" w:hAnsi="Arial"/>
          <w:sz w:val="14"/>
          <w:szCs w:val="14"/>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Summary of Clinical Data and Key Conclusions</w:t>
      </w:r>
    </w:p>
    <w:p>
      <w:pPr>
        <w:spacing w:after="0" w:line="20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Subjects treated with MG01CI showed statistically significant improvement in CAARS Total ADHD Symptoms Score, as well as higher response rates on the CAARS Total ADHD Symptom Score over subjects treated with placebo.</w:t>
      </w:r>
    </w:p>
    <w:p>
      <w:pPr>
        <w:spacing w:after="0" w:line="15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Improvements in ADHD symptoms (scored by CAARS) were significantly different in subjects treated with MG01Cl vs. placebo as early as 2 weeks following treatment initiation.</w:t>
      </w:r>
    </w:p>
    <w:p>
      <w:pPr>
        <w:spacing w:after="0" w:line="152" w:lineRule="exact"/>
        <w:rPr>
          <w:sz w:val="20"/>
          <w:szCs w:val="20"/>
          <w:color w:val="auto"/>
        </w:rPr>
      </w:pPr>
    </w:p>
    <w:p>
      <w:pPr>
        <w:ind w:right="360" w:firstLine="360"/>
        <w:spacing w:after="0" w:line="259"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67" w:lineRule="exact"/>
        <w:rPr>
          <w:sz w:val="20"/>
          <w:szCs w:val="20"/>
          <w:color w:val="auto"/>
        </w:rPr>
      </w:pPr>
    </w:p>
    <w:p>
      <w:pPr>
        <w:ind w:right="100" w:firstLine="360"/>
        <w:spacing w:after="0" w:line="351" w:lineRule="auto"/>
        <w:rPr>
          <w:sz w:val="20"/>
          <w:szCs w:val="20"/>
          <w:color w:val="auto"/>
        </w:rPr>
      </w:pPr>
      <w:r>
        <w:rPr>
          <w:rFonts w:ascii="Arial" w:cs="Arial" w:eastAsia="Arial" w:hAnsi="Arial"/>
          <w:sz w:val="14"/>
          <w:szCs w:val="14"/>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Adverse Events</w:t>
      </w:r>
    </w:p>
    <w:p>
      <w:pPr>
        <w:spacing w:after="0" w:line="20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products containing Metadoxine outside the United States cite either complete lack of adverse events or infrequent diarrhea and moderate skin rash.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Commercialization</w:t>
      </w:r>
    </w:p>
    <w:p>
      <w:pPr>
        <w:spacing w:after="0" w:line="2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6"/>
          <w:szCs w:val="16"/>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204" w:lineRule="exact"/>
        <w:rPr>
          <w:sz w:val="20"/>
          <w:szCs w:val="20"/>
          <w:color w:val="auto"/>
        </w:rPr>
      </w:pPr>
    </w:p>
    <w:p>
      <w:pPr>
        <w:ind w:right="120" w:firstLine="369"/>
        <w:spacing w:after="0" w:line="264"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62" w:lineRule="exact"/>
        <w:rPr>
          <w:sz w:val="20"/>
          <w:szCs w:val="20"/>
          <w:color w:val="auto"/>
        </w:rPr>
      </w:pPr>
    </w:p>
    <w:p>
      <w:pPr>
        <w:ind w:right="20" w:firstLine="369"/>
        <w:spacing w:after="0" w:line="25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68" w:lineRule="exact"/>
        <w:rPr>
          <w:sz w:val="20"/>
          <w:szCs w:val="20"/>
          <w:color w:val="auto"/>
        </w:rPr>
      </w:pPr>
    </w:p>
    <w:p>
      <w:pPr>
        <w:ind w:right="140" w:firstLine="370"/>
        <w:spacing w:after="0" w:line="278" w:lineRule="auto"/>
        <w:rPr>
          <w:sz w:val="20"/>
          <w:szCs w:val="20"/>
          <w:color w:val="auto"/>
        </w:rPr>
      </w:pPr>
      <w:r>
        <w:rPr>
          <w:rFonts w:ascii="Arial" w:cs="Arial" w:eastAsia="Arial" w:hAnsi="Arial"/>
          <w:sz w:val="15"/>
          <w:szCs w:val="15"/>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4" w:lineRule="exact"/>
        <w:rPr>
          <w:sz w:val="20"/>
          <w:szCs w:val="20"/>
          <w:color w:val="auto"/>
        </w:rPr>
      </w:pPr>
    </w:p>
    <w:p>
      <w:pPr>
        <w:ind w:firstLine="370"/>
        <w:spacing w:after="0" w:line="289" w:lineRule="auto"/>
        <w:rPr>
          <w:sz w:val="20"/>
          <w:szCs w:val="20"/>
          <w:color w:val="auto"/>
        </w:rPr>
      </w:pPr>
      <w:r>
        <w:rPr>
          <w:rFonts w:ascii="Arial" w:cs="Arial" w:eastAsia="Arial" w:hAnsi="Arial"/>
          <w:sz w:val="15"/>
          <w:szCs w:val="15"/>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46"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from the Office of the Israeli Chief Scientist</w:t>
      </w:r>
    </w:p>
    <w:p>
      <w:pPr>
        <w:spacing w:after="0" w:line="204" w:lineRule="exact"/>
        <w:rPr>
          <w:sz w:val="20"/>
          <w:szCs w:val="20"/>
          <w:color w:val="auto"/>
        </w:rPr>
      </w:pPr>
    </w:p>
    <w:p>
      <w:pPr>
        <w:ind w:right="140" w:firstLine="370"/>
        <w:spacing w:after="0" w:line="25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Strategic Relationship with Teva Pharmaceuticals</w:t>
      </w:r>
    </w:p>
    <w:p>
      <w:pPr>
        <w:spacing w:after="0" w:line="204" w:lineRule="exact"/>
        <w:rPr>
          <w:sz w:val="20"/>
          <w:szCs w:val="20"/>
          <w:color w:val="auto"/>
        </w:rPr>
      </w:pPr>
    </w:p>
    <w:p>
      <w:pPr>
        <w:ind w:right="40" w:firstLine="370"/>
        <w:spacing w:after="0" w:line="259"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4" w:lineRule="exact"/>
        <w:rPr>
          <w:sz w:val="20"/>
          <w:szCs w:val="20"/>
          <w:color w:val="auto"/>
        </w:rPr>
      </w:pPr>
    </w:p>
    <w:p>
      <w:pPr>
        <w:ind w:right="240" w:firstLine="370"/>
        <w:spacing w:after="0" w:line="278" w:lineRule="auto"/>
        <w:rPr>
          <w:sz w:val="20"/>
          <w:szCs w:val="20"/>
          <w:color w:val="auto"/>
        </w:rPr>
      </w:pPr>
      <w:r>
        <w:rPr>
          <w:rFonts w:ascii="Arial" w:cs="Arial" w:eastAsia="Arial" w:hAnsi="Arial"/>
          <w:sz w:val="15"/>
          <w:szCs w:val="15"/>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9" w:name="page50"/>
    <w:bookmarkEnd w:id="49"/>
    <w:p>
      <w:pPr>
        <w:ind w:right="160" w:firstLine="370"/>
        <w:spacing w:after="0" w:line="312" w:lineRule="auto"/>
        <w:rPr>
          <w:sz w:val="20"/>
          <w:szCs w:val="20"/>
          <w:color w:val="auto"/>
        </w:rPr>
      </w:pPr>
      <w:r>
        <w:rPr>
          <w:rFonts w:ascii="Arial" w:cs="Arial" w:eastAsia="Arial" w:hAnsi="Arial"/>
          <w:sz w:val="15"/>
          <w:szCs w:val="15"/>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28"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4"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67" w:lineRule="exact"/>
        <w:rPr>
          <w:sz w:val="20"/>
          <w:szCs w:val="20"/>
          <w:color w:val="auto"/>
        </w:rPr>
      </w:pPr>
    </w:p>
    <w:p>
      <w:pPr>
        <w:ind w:right="80" w:firstLine="370"/>
        <w:spacing w:after="0" w:line="255" w:lineRule="auto"/>
        <w:rPr>
          <w:sz w:val="20"/>
          <w:szCs w:val="20"/>
          <w:color w:val="auto"/>
        </w:rPr>
      </w:pPr>
      <w:r>
        <w:rPr>
          <w:rFonts w:ascii="Arial" w:cs="Arial" w:eastAsia="Arial" w:hAnsi="Arial"/>
          <w:sz w:val="16"/>
          <w:szCs w:val="16"/>
          <w:color w:val="auto"/>
        </w:rPr>
        <w:t>One of our patent applications has been allowed by the U.S. PTO, and we expect the patent to be issued shortly. 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69"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success depends in part on our ability to:</w:t>
      </w:r>
    </w:p>
    <w:p>
      <w:pPr>
        <w:spacing w:after="0" w:line="200" w:lineRule="exact"/>
        <w:rPr>
          <w:sz w:val="20"/>
          <w:szCs w:val="20"/>
          <w:color w:val="auto"/>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preserve trade secrets;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prevent third parties from infringing upon our proprietary rights;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0" w:name="page51"/>
    <w:bookmarkEnd w:id="50"/>
    <w:p>
      <w:pPr>
        <w:ind w:right="60" w:firstLine="370"/>
        <w:spacing w:after="0" w:line="282"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00"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8" w:lineRule="exact"/>
        <w:rPr>
          <w:sz w:val="20"/>
          <w:szCs w:val="20"/>
          <w:color w:val="auto"/>
        </w:rPr>
      </w:pPr>
    </w:p>
    <w:p>
      <w:pPr>
        <w:ind w:right="280" w:firstLine="370"/>
        <w:spacing w:after="0" w:line="319" w:lineRule="auto"/>
        <w:rPr>
          <w:sz w:val="20"/>
          <w:szCs w:val="20"/>
          <w:color w:val="auto"/>
        </w:rPr>
      </w:pPr>
      <w:r>
        <w:rPr>
          <w:rFonts w:ascii="Arial" w:cs="Arial" w:eastAsia="Arial" w:hAnsi="Arial"/>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27" w:lineRule="exact"/>
        <w:rPr>
          <w:sz w:val="20"/>
          <w:szCs w:val="20"/>
          <w:color w:val="auto"/>
        </w:rPr>
      </w:pPr>
    </w:p>
    <w:p>
      <w:pPr>
        <w:jc w:val="both"/>
        <w:ind w:right="200" w:firstLine="370"/>
        <w:spacing w:after="0" w:line="26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Marketing Approval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drugs may be marketed in the United States generally involves the following:</w:t>
      </w:r>
    </w:p>
    <w:p>
      <w:pPr>
        <w:spacing w:after="0" w:line="200" w:lineRule="exact"/>
        <w:rPr>
          <w:sz w:val="20"/>
          <w:szCs w:val="20"/>
          <w:color w:val="auto"/>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nonclinical laboratory and animal tests;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submission of an Investigational New Drug, or IND, application which must become effective before clinical trials may begin;</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adequate and well-controlled human clinical trials to establish the safety and efficacy of the proposed drug for its intended use or uses;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pre-approval inspection of manufacturing facilities and clinical trial sites;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FDA approval of a new drug application (NDA) which must occur before a drug can be marketed or sold.</w:t>
      </w:r>
    </w:p>
    <w:p>
      <w:pPr>
        <w:spacing w:after="0" w:line="20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6"/>
          <w:szCs w:val="16"/>
          <w:color w:val="auto"/>
        </w:rPr>
        <w:t>The testing and approval process requires substantial time and financial resources, and we cannot be certain that any approvals for MG01CI will be granted on a timely basis if at all.</w:t>
      </w:r>
    </w:p>
    <w:p>
      <w:pPr>
        <w:spacing w:after="0" w:line="152" w:lineRule="exact"/>
        <w:rPr>
          <w:sz w:val="20"/>
          <w:szCs w:val="20"/>
          <w:color w:val="auto"/>
        </w:rPr>
      </w:pPr>
    </w:p>
    <w:p>
      <w:pPr>
        <w:ind w:right="460" w:firstLine="370"/>
        <w:spacing w:after="0" w:line="312" w:lineRule="auto"/>
        <w:rPr>
          <w:sz w:val="20"/>
          <w:szCs w:val="20"/>
          <w:color w:val="auto"/>
        </w:rPr>
      </w:pPr>
      <w:r>
        <w:rPr>
          <w:rFonts w:ascii="Arial" w:cs="Arial" w:eastAsia="Arial" w:hAnsi="Arial"/>
          <w:sz w:val="15"/>
          <w:szCs w:val="15"/>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28" w:lineRule="exact"/>
        <w:rPr>
          <w:sz w:val="20"/>
          <w:szCs w:val="20"/>
          <w:color w:val="auto"/>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regulatory approval to commence a study;</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5"/>
          <w:szCs w:val="15"/>
          <w:color w:val="A6A6A6"/>
        </w:rPr>
      </w:pPr>
      <w:r>
        <w:rPr>
          <w:rFonts w:ascii="Arial" w:cs="Arial" w:eastAsia="Arial" w:hAnsi="Arial"/>
          <w:sz w:val="15"/>
          <w:szCs w:val="15"/>
          <w:color w:val="auto"/>
        </w:rPr>
        <w:t>reaching agreement with third-party clinical trial sites and their subsequent performance in conducting accurate and reliable studies on a timely basis;</w:t>
      </w:r>
    </w:p>
    <w:p>
      <w:pPr>
        <w:spacing w:after="0" w:line="211" w:lineRule="exact"/>
        <w:rPr>
          <w:rFonts w:ascii="Arial" w:cs="Arial" w:eastAsia="Arial" w:hAnsi="Arial"/>
          <w:sz w:val="15"/>
          <w:szCs w:val="15"/>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institutional review board approval to conduct a study at a prospective site;</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recruiting patients to participate in a study;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supply of the drug.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1" w:name="page52"/>
    <w:bookmarkEnd w:id="51"/>
    <w:p>
      <w:pPr>
        <w:ind w:right="240" w:firstLine="369"/>
        <w:spacing w:after="0" w:line="257" w:lineRule="auto"/>
        <w:rPr>
          <w:sz w:val="20"/>
          <w:szCs w:val="20"/>
          <w:color w:val="auto"/>
        </w:rPr>
      </w:pPr>
      <w:r>
        <w:rPr>
          <w:rFonts w:ascii="Arial" w:cs="Arial" w:eastAsia="Arial" w:hAnsi="Arial"/>
          <w:sz w:val="16"/>
          <w:szCs w:val="16"/>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68" w:lineRule="exact"/>
        <w:rPr>
          <w:sz w:val="20"/>
          <w:szCs w:val="20"/>
          <w:color w:val="auto"/>
        </w:rPr>
      </w:pPr>
    </w:p>
    <w:p>
      <w:pPr>
        <w:ind w:right="20" w:firstLine="335"/>
        <w:spacing w:after="0" w:line="259" w:lineRule="auto"/>
        <w:rPr>
          <w:sz w:val="20"/>
          <w:szCs w:val="20"/>
          <w:color w:val="auto"/>
        </w:rPr>
      </w:pPr>
      <w:r>
        <w:rPr>
          <w:rFonts w:ascii="Arial" w:cs="Arial" w:eastAsia="Arial" w:hAnsi="Arial"/>
          <w:sz w:val="16"/>
          <w:szCs w:val="16"/>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NDA approval, human clinical trials are typically conducted in phases that may overlap.</w:t>
      </w:r>
    </w:p>
    <w:p>
      <w:pPr>
        <w:spacing w:after="0" w:line="200" w:lineRule="exact"/>
        <w:rPr>
          <w:sz w:val="20"/>
          <w:szCs w:val="20"/>
          <w:color w:val="auto"/>
        </w:rPr>
      </w:pPr>
    </w:p>
    <w:p>
      <w:pPr>
        <w:jc w:val="both"/>
        <w:ind w:left="360" w:hanging="4"/>
        <w:spacing w:after="0" w:line="264" w:lineRule="auto"/>
        <w:tabs>
          <w:tab w:leader="none" w:pos="640" w:val="left"/>
        </w:tabs>
        <w:numPr>
          <w:ilvl w:val="0"/>
          <w:numId w:val="46"/>
        </w:numPr>
        <w:rPr>
          <w:rFonts w:ascii="Arial" w:cs="Arial" w:eastAsia="Arial" w:hAnsi="Arial"/>
          <w:sz w:val="16"/>
          <w:szCs w:val="16"/>
          <w:color w:val="BFBFBF"/>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The drug is initially introduced into healthy human subjects and tested for safety, dosage tolerance, absorption, metabolism, distribution and excretion.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w:t>
      </w:r>
    </w:p>
    <w:p>
      <w:pPr>
        <w:spacing w:after="0" w:line="161" w:lineRule="exact"/>
        <w:rPr>
          <w:rFonts w:ascii="Arial" w:cs="Arial" w:eastAsia="Arial" w:hAnsi="Arial"/>
          <w:sz w:val="16"/>
          <w:szCs w:val="16"/>
          <w:color w:val="BFBFBF"/>
        </w:rPr>
      </w:pPr>
    </w:p>
    <w:p>
      <w:pPr>
        <w:ind w:left="360" w:right="60" w:hanging="4"/>
        <w:spacing w:after="0" w:line="319"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 </w:t>
      </w:r>
      <w:r>
        <w:rPr>
          <w:rFonts w:ascii="Arial" w:cs="Arial" w:eastAsia="Arial" w:hAnsi="Arial"/>
          <w:sz w:val="14"/>
          <w:szCs w:val="14"/>
          <w:color w:val="auto"/>
        </w:rPr>
        <w:t>This phase involves trials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19" w:lineRule="exact"/>
        <w:rPr>
          <w:rFonts w:ascii="Arial" w:cs="Arial" w:eastAsia="Arial" w:hAnsi="Arial"/>
          <w:sz w:val="14"/>
          <w:szCs w:val="14"/>
          <w:color w:val="BFBFBF"/>
        </w:rPr>
      </w:pPr>
    </w:p>
    <w:p>
      <w:pPr>
        <w:ind w:left="360" w:right="320" w:hanging="4"/>
        <w:spacing w:after="0" w:line="351"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III. </w:t>
      </w:r>
      <w:r>
        <w:rPr>
          <w:rFonts w:ascii="Arial" w:cs="Arial" w:eastAsia="Arial" w:hAnsi="Arial"/>
          <w:sz w:val="14"/>
          <w:szCs w:val="14"/>
          <w:color w:val="auto"/>
        </w:rPr>
        <w:t>This phase involves trials undertaken to further evaluate dosage, clinical efficacy and safety in an expanded patient population, often at geographically</w:t>
      </w:r>
      <w:r>
        <w:rPr>
          <w:rFonts w:ascii="Arial" w:cs="Arial" w:eastAsia="Arial" w:hAnsi="Arial"/>
          <w:sz w:val="14"/>
          <w:szCs w:val="14"/>
          <w:i w:val="1"/>
          <w:iCs w:val="1"/>
          <w:color w:val="auto"/>
        </w:rPr>
        <w:t xml:space="preserve"> </w:t>
      </w:r>
      <w:r>
        <w:rPr>
          <w:rFonts w:ascii="Arial" w:cs="Arial" w:eastAsia="Arial" w:hAnsi="Arial"/>
          <w:sz w:val="14"/>
          <w:szCs w:val="14"/>
          <w:color w:val="auto"/>
        </w:rPr>
        <w:t>dispersed clinical trial sites. These trials are intended to establish the overall risk/benefit ratio of the product and provide an adequate basis for product labeling.</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of these trials must be conducted in accordance with good clinical practice requirements in order for the data to be considered reliable for regulatory purposes.</w:t>
      </w:r>
    </w:p>
    <w:p>
      <w:pPr>
        <w:spacing w:after="0" w:line="212" w:lineRule="exact"/>
        <w:rPr>
          <w:sz w:val="20"/>
          <w:szCs w:val="20"/>
          <w:color w:val="auto"/>
        </w:rPr>
      </w:pPr>
    </w:p>
    <w:p>
      <w:pPr>
        <w:ind w:right="100" w:firstLine="370"/>
        <w:spacing w:after="0" w:line="278" w:lineRule="auto"/>
        <w:rPr>
          <w:sz w:val="20"/>
          <w:szCs w:val="20"/>
          <w:color w:val="auto"/>
        </w:rPr>
      </w:pPr>
      <w:r>
        <w:rPr>
          <w:rFonts w:ascii="Arial" w:cs="Arial" w:eastAsia="Arial" w:hAnsi="Arial"/>
          <w:sz w:val="15"/>
          <w:szCs w:val="15"/>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NDA Approval Process</w:t>
      </w:r>
    </w:p>
    <w:p>
      <w:pPr>
        <w:spacing w:after="0" w:line="200" w:lineRule="exact"/>
        <w:rPr>
          <w:sz w:val="20"/>
          <w:szCs w:val="20"/>
          <w:color w:val="auto"/>
        </w:rPr>
      </w:pPr>
    </w:p>
    <w:p>
      <w:pPr>
        <w:ind w:right="120" w:firstLine="370"/>
        <w:spacing w:after="0" w:line="256"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8" w:lineRule="exact"/>
        <w:rPr>
          <w:sz w:val="20"/>
          <w:szCs w:val="20"/>
          <w:color w:val="auto"/>
        </w:rPr>
      </w:pPr>
    </w:p>
    <w:p>
      <w:pPr>
        <w:ind w:right="40" w:firstLine="370"/>
        <w:spacing w:after="0" w:line="274" w:lineRule="auto"/>
        <w:rPr>
          <w:sz w:val="20"/>
          <w:szCs w:val="20"/>
          <w:color w:val="auto"/>
        </w:rPr>
      </w:pPr>
      <w:r>
        <w:rPr>
          <w:rFonts w:ascii="Arial" w:cs="Arial" w:eastAsia="Arial" w:hAnsi="Arial"/>
          <w:sz w:val="15"/>
          <w:szCs w:val="15"/>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2" w:name="page53"/>
    <w:bookmarkEnd w:id="52"/>
    <w:p>
      <w:pPr>
        <w:ind w:right="60" w:firstLine="370"/>
        <w:spacing w:after="0" w:line="282" w:lineRule="auto"/>
        <w:rPr>
          <w:sz w:val="20"/>
          <w:szCs w:val="20"/>
          <w:color w:val="auto"/>
        </w:rPr>
      </w:pPr>
      <w:r>
        <w:rPr>
          <w:rFonts w:ascii="Arial" w:cs="Arial" w:eastAsia="Arial" w:hAnsi="Arial"/>
          <w:sz w:val="15"/>
          <w:szCs w:val="15"/>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50" w:lineRule="exact"/>
        <w:rPr>
          <w:sz w:val="20"/>
          <w:szCs w:val="20"/>
          <w:color w:val="auto"/>
        </w:rPr>
      </w:pPr>
    </w:p>
    <w:p>
      <w:pPr>
        <w:jc w:val="both"/>
        <w:ind w:right="20" w:firstLine="370"/>
        <w:spacing w:after="0" w:line="289" w:lineRule="auto"/>
        <w:rPr>
          <w:sz w:val="20"/>
          <w:szCs w:val="20"/>
          <w:color w:val="auto"/>
        </w:rPr>
      </w:pPr>
      <w:r>
        <w:rPr>
          <w:rFonts w:ascii="Arial" w:cs="Arial" w:eastAsia="Arial" w:hAnsi="Arial"/>
          <w:sz w:val="15"/>
          <w:szCs w:val="15"/>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6" w:lineRule="exact"/>
        <w:rPr>
          <w:sz w:val="20"/>
          <w:szCs w:val="20"/>
          <w:color w:val="auto"/>
        </w:rPr>
      </w:pPr>
    </w:p>
    <w:p>
      <w:pPr>
        <w:ind w:right="320" w:firstLine="256"/>
        <w:spacing w:after="0" w:line="351" w:lineRule="auto"/>
        <w:rPr>
          <w:sz w:val="20"/>
          <w:szCs w:val="20"/>
          <w:color w:val="auto"/>
        </w:rPr>
      </w:pPr>
      <w:r>
        <w:rPr>
          <w:rFonts w:ascii="Arial" w:cs="Arial" w:eastAsia="Arial" w:hAnsi="Arial"/>
          <w:sz w:val="14"/>
          <w:szCs w:val="14"/>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06" w:lineRule="exact"/>
        <w:rPr>
          <w:sz w:val="20"/>
          <w:szCs w:val="20"/>
          <w:color w:val="auto"/>
        </w:rPr>
      </w:pPr>
    </w:p>
    <w:p>
      <w:pPr>
        <w:ind w:firstLine="216"/>
        <w:spacing w:after="0" w:line="278" w:lineRule="auto"/>
        <w:rPr>
          <w:sz w:val="20"/>
          <w:szCs w:val="20"/>
          <w:color w:val="auto"/>
        </w:rPr>
      </w:pPr>
      <w:r>
        <w:rPr>
          <w:rFonts w:ascii="Arial" w:cs="Arial" w:eastAsia="Arial" w:hAnsi="Arial"/>
          <w:sz w:val="15"/>
          <w:szCs w:val="15"/>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67" w:lineRule="exact"/>
        <w:rPr>
          <w:sz w:val="20"/>
          <w:szCs w:val="20"/>
          <w:color w:val="auto"/>
        </w:rPr>
      </w:pPr>
    </w:p>
    <w:p>
      <w:pPr>
        <w:jc w:val="both"/>
        <w:ind w:right="380" w:firstLine="370"/>
        <w:spacing w:after="0" w:line="319" w:lineRule="auto"/>
        <w:rPr>
          <w:sz w:val="20"/>
          <w:szCs w:val="20"/>
          <w:color w:val="auto"/>
        </w:rPr>
      </w:pPr>
      <w:r>
        <w:rPr>
          <w:rFonts w:ascii="Arial" w:cs="Arial" w:eastAsia="Arial" w:hAnsi="Arial"/>
          <w:sz w:val="14"/>
          <w:szCs w:val="14"/>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27" w:lineRule="exact"/>
        <w:rPr>
          <w:sz w:val="20"/>
          <w:szCs w:val="20"/>
          <w:color w:val="auto"/>
        </w:rPr>
      </w:pPr>
    </w:p>
    <w:p>
      <w:pPr>
        <w:ind w:right="140" w:firstLine="370"/>
        <w:spacing w:after="0" w:line="277" w:lineRule="auto"/>
        <w:rPr>
          <w:sz w:val="20"/>
          <w:szCs w:val="20"/>
          <w:color w:val="auto"/>
        </w:rPr>
      </w:pPr>
      <w:r>
        <w:rPr>
          <w:rFonts w:ascii="Arial" w:cs="Arial" w:eastAsia="Arial" w:hAnsi="Arial"/>
          <w:sz w:val="16"/>
          <w:szCs w:val="16"/>
          <w:color w:val="auto"/>
        </w:rPr>
        <w:t>Any approvals that we may ultimately receive could be withdrawn if required post-marketing trials or analyses do not meet the FDA requirements, which could materially harm the commercial prospects for MG01CI.</w:t>
      </w:r>
    </w:p>
    <w:p>
      <w:pPr>
        <w:spacing w:after="0" w:line="152" w:lineRule="exact"/>
        <w:rPr>
          <w:sz w:val="20"/>
          <w:szCs w:val="20"/>
          <w:color w:val="auto"/>
        </w:rPr>
      </w:pPr>
    </w:p>
    <w:p>
      <w:pPr>
        <w:ind w:right="40" w:firstLine="370"/>
        <w:spacing w:after="0" w:line="278" w:lineRule="auto"/>
        <w:rPr>
          <w:sz w:val="20"/>
          <w:szCs w:val="20"/>
          <w:color w:val="auto"/>
        </w:rPr>
      </w:pPr>
      <w:r>
        <w:rPr>
          <w:rFonts w:ascii="Arial" w:cs="Arial" w:eastAsia="Arial" w:hAnsi="Arial"/>
          <w:sz w:val="15"/>
          <w:szCs w:val="15"/>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5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3" w:name="page54"/>
    <w:bookmarkEnd w:id="53"/>
    <w:p>
      <w:pPr>
        <w:ind w:left="320"/>
        <w:spacing w:after="0"/>
        <w:rPr>
          <w:sz w:val="20"/>
          <w:szCs w:val="20"/>
          <w:color w:val="auto"/>
        </w:rPr>
      </w:pPr>
      <w:r>
        <w:rPr>
          <w:rFonts w:ascii="Arial" w:cs="Arial" w:eastAsia="Arial" w:hAnsi="Arial"/>
          <w:sz w:val="16"/>
          <w:szCs w:val="16"/>
          <w:b w:val="1"/>
          <w:bCs w:val="1"/>
          <w:i w:val="1"/>
          <w:iCs w:val="1"/>
          <w:color w:val="auto"/>
        </w:rPr>
        <w:t>FDA Post-Approval Requirements</w:t>
      </w:r>
    </w:p>
    <w:p>
      <w:pPr>
        <w:spacing w:after="0" w:line="200" w:lineRule="exact"/>
        <w:rPr>
          <w:sz w:val="20"/>
          <w:szCs w:val="20"/>
          <w:color w:val="auto"/>
        </w:rPr>
      </w:pPr>
    </w:p>
    <w:p>
      <w:pPr>
        <w:ind w:right="20" w:firstLine="369"/>
        <w:spacing w:after="0" w:line="272" w:lineRule="auto"/>
        <w:rPr>
          <w:sz w:val="20"/>
          <w:szCs w:val="20"/>
          <w:color w:val="auto"/>
        </w:rPr>
      </w:pPr>
      <w:r>
        <w:rPr>
          <w:rFonts w:ascii="Arial" w:cs="Arial" w:eastAsia="Arial" w:hAnsi="Arial"/>
          <w:sz w:val="15"/>
          <w:szCs w:val="15"/>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Labeling, Marketing and Promotion</w:t>
      </w:r>
    </w:p>
    <w:p>
      <w:pPr>
        <w:spacing w:after="0" w:line="200" w:lineRule="exact"/>
        <w:rPr>
          <w:sz w:val="20"/>
          <w:szCs w:val="20"/>
          <w:color w:val="auto"/>
        </w:rPr>
      </w:pPr>
    </w:p>
    <w:p>
      <w:pPr>
        <w:ind w:right="80" w:firstLine="369"/>
        <w:spacing w:after="0" w:line="302" w:lineRule="auto"/>
        <w:rPr>
          <w:sz w:val="20"/>
          <w:szCs w:val="20"/>
          <w:color w:val="auto"/>
        </w:rPr>
      </w:pPr>
      <w:r>
        <w:rPr>
          <w:rFonts w:ascii="Arial" w:cs="Arial" w:eastAsia="Arial" w:hAnsi="Arial"/>
          <w:sz w:val="14"/>
          <w:szCs w:val="14"/>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Pediatric Research Equity Act</w:t>
      </w:r>
    </w:p>
    <w:p>
      <w:pPr>
        <w:spacing w:after="0" w:line="200" w:lineRule="exact"/>
        <w:rPr>
          <w:sz w:val="20"/>
          <w:szCs w:val="20"/>
          <w:color w:val="auto"/>
        </w:rPr>
      </w:pPr>
    </w:p>
    <w:p>
      <w:pPr>
        <w:ind w:firstLine="369"/>
        <w:spacing w:after="0" w:line="289" w:lineRule="auto"/>
        <w:rPr>
          <w:sz w:val="20"/>
          <w:szCs w:val="20"/>
          <w:color w:val="auto"/>
        </w:rPr>
      </w:pPr>
      <w:r>
        <w:rPr>
          <w:rFonts w:ascii="Arial" w:cs="Arial" w:eastAsia="Arial" w:hAnsi="Arial"/>
          <w:sz w:val="15"/>
          <w:szCs w:val="15"/>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Anti-Kickback and False Claims Laws</w:t>
      </w:r>
    </w:p>
    <w:p>
      <w:pPr>
        <w:spacing w:after="0" w:line="200" w:lineRule="exact"/>
        <w:rPr>
          <w:sz w:val="20"/>
          <w:szCs w:val="20"/>
          <w:color w:val="auto"/>
        </w:rPr>
      </w:pPr>
    </w:p>
    <w:p>
      <w:pPr>
        <w:ind w:firstLine="369"/>
        <w:spacing w:after="0" w:line="295" w:lineRule="auto"/>
        <w:rPr>
          <w:sz w:val="20"/>
          <w:szCs w:val="20"/>
          <w:color w:val="auto"/>
        </w:rPr>
      </w:pPr>
      <w:r>
        <w:rPr>
          <w:rFonts w:ascii="Arial" w:cs="Arial" w:eastAsia="Arial" w:hAnsi="Arial"/>
          <w:sz w:val="14"/>
          <w:szCs w:val="14"/>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7" w:lineRule="exact"/>
        <w:rPr>
          <w:sz w:val="20"/>
          <w:szCs w:val="20"/>
          <w:color w:val="auto"/>
        </w:rPr>
      </w:pPr>
    </w:p>
    <w:p>
      <w:pPr>
        <w:ind w:right="20" w:firstLine="369"/>
        <w:spacing w:after="0" w:line="282" w:lineRule="auto"/>
        <w:rPr>
          <w:sz w:val="20"/>
          <w:szCs w:val="20"/>
          <w:color w:val="auto"/>
        </w:rPr>
      </w:pPr>
      <w:r>
        <w:rPr>
          <w:rFonts w:ascii="Arial" w:cs="Arial" w:eastAsia="Arial" w:hAnsi="Arial"/>
          <w:sz w:val="15"/>
          <w:szCs w:val="15"/>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0" w:lineRule="exact"/>
        <w:rPr>
          <w:sz w:val="20"/>
          <w:szCs w:val="20"/>
          <w:color w:val="auto"/>
        </w:rPr>
      </w:pPr>
    </w:p>
    <w:p>
      <w:pPr>
        <w:ind w:right="40" w:firstLine="369"/>
        <w:spacing w:after="0" w:line="264"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4" w:name="page55"/>
    <w:bookmarkEnd w:id="54"/>
    <w:p>
      <w:pPr>
        <w:ind w:firstLine="369"/>
        <w:spacing w:after="0" w:line="278" w:lineRule="auto"/>
        <w:rPr>
          <w:sz w:val="20"/>
          <w:szCs w:val="20"/>
          <w:color w:val="auto"/>
        </w:rPr>
      </w:pPr>
      <w:r>
        <w:rPr>
          <w:rFonts w:ascii="Arial" w:cs="Arial" w:eastAsia="Arial" w:hAnsi="Arial"/>
          <w:sz w:val="15"/>
          <w:szCs w:val="15"/>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Patient Protection and Affordable Health Care Act</w:t>
      </w:r>
    </w:p>
    <w:p>
      <w:pPr>
        <w:spacing w:after="0" w:line="200" w:lineRule="exact"/>
        <w:rPr>
          <w:sz w:val="20"/>
          <w:szCs w:val="20"/>
          <w:color w:val="auto"/>
        </w:rPr>
      </w:pPr>
    </w:p>
    <w:p>
      <w:pPr>
        <w:jc w:val="both"/>
        <w:ind w:right="100" w:firstLine="370"/>
        <w:spacing w:after="0" w:line="264"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62" w:lineRule="exact"/>
        <w:rPr>
          <w:sz w:val="20"/>
          <w:szCs w:val="20"/>
          <w:color w:val="auto"/>
        </w:rPr>
      </w:pPr>
    </w:p>
    <w:p>
      <w:pPr>
        <w:ind w:right="280" w:firstLine="369"/>
        <w:spacing w:after="0" w:line="277" w:lineRule="auto"/>
        <w:rPr>
          <w:sz w:val="20"/>
          <w:szCs w:val="20"/>
          <w:color w:val="auto"/>
        </w:rPr>
      </w:pPr>
      <w:r>
        <w:rPr>
          <w:rFonts w:ascii="Arial" w:cs="Arial" w:eastAsia="Arial" w:hAnsi="Arial"/>
          <w:sz w:val="16"/>
          <w:szCs w:val="16"/>
          <w:color w:val="auto"/>
        </w:rPr>
        <w:t>Many of the details regarding the implementation of PPACA are yet to be determined, and at this time, it remains unclear the full effect that PPACA would have on our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200" w:lineRule="exact"/>
        <w:rPr>
          <w:sz w:val="20"/>
          <w:szCs w:val="20"/>
          <w:color w:val="auto"/>
        </w:rPr>
      </w:pPr>
    </w:p>
    <w:p>
      <w:pPr>
        <w:ind w:right="200" w:firstLine="370"/>
        <w:spacing w:after="0" w:line="35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4" w:lineRule="exact"/>
        <w:rPr>
          <w:sz w:val="20"/>
          <w:szCs w:val="20"/>
          <w:color w:val="auto"/>
        </w:rPr>
      </w:pPr>
    </w:p>
    <w:p>
      <w:pPr>
        <w:ind w:right="20" w:firstLine="370"/>
        <w:spacing w:after="0" w:line="25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Facilities</w:t>
      </w:r>
    </w:p>
    <w:p>
      <w:pPr>
        <w:spacing w:after="0" w:line="204"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subject to any material legal proceedings.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jc w:val="center"/>
        <w:ind w:right="8080"/>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our executive officers, directors and director nominees as of February 15, 2013:</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144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70</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Chairman of the Board of Directors</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Yaron Daniely</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37</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Chief Executive Officer, President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Ehud (Udi) Gilboa</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46</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w w:val="94"/>
              </w:rPr>
              <w:t>Chief Financial Officer, Chief Accounting Officer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Dalia Megiddo</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61</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Howard B. Rosen</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55</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Daniel E. Geffken (1) (2)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56</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Audit Committee upon establishment thereof.</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Compensation Committee upon establishment thereof after completion of this offering.</w:t>
      </w:r>
    </w:p>
    <w:p>
      <w:pPr>
        <w:spacing w:after="0" w:line="18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46" w:lineRule="exact"/>
        <w:rPr>
          <w:sz w:val="20"/>
          <w:szCs w:val="20"/>
          <w:color w:val="auto"/>
        </w:rPr>
      </w:pPr>
    </w:p>
    <w:p>
      <w:pPr>
        <w:ind w:right="40" w:firstLine="577"/>
        <w:spacing w:after="0" w:line="302" w:lineRule="auto"/>
        <w:rPr>
          <w:sz w:val="20"/>
          <w:szCs w:val="20"/>
          <w:color w:val="auto"/>
        </w:rPr>
      </w:pPr>
      <w:r>
        <w:rPr>
          <w:rFonts w:ascii="Arial" w:cs="Arial" w:eastAsia="Arial" w:hAnsi="Arial"/>
          <w:sz w:val="14"/>
          <w:szCs w:val="14"/>
          <w:i w:val="1"/>
          <w:iCs w:val="1"/>
          <w:color w:val="auto"/>
        </w:rPr>
        <w:t xml:space="preserve">Dr. Aharon Schwartz </w:t>
      </w:r>
      <w:r>
        <w:rPr>
          <w:rFonts w:ascii="Arial" w:cs="Arial" w:eastAsia="Arial" w:hAnsi="Arial"/>
          <w:sz w:val="14"/>
          <w:szCs w:val="14"/>
          <w:color w:val="auto"/>
        </w:rPr>
        <w:t>joined our Board as Chairman in January 2013. He retired from Teva Pharmaceutical Industries Ltd where he served in a number of positions from</w:t>
      </w:r>
      <w:r>
        <w:rPr>
          <w:rFonts w:ascii="Arial" w:cs="Arial" w:eastAsia="Arial" w:hAnsi="Arial"/>
          <w:sz w:val="14"/>
          <w:szCs w:val="14"/>
          <w:i w:val="1"/>
          <w:iCs w:val="1"/>
          <w:color w:val="auto"/>
        </w:rPr>
        <w:t xml:space="preserve"> </w:t>
      </w:r>
      <w:r>
        <w:rPr>
          <w:rFonts w:ascii="Arial" w:cs="Arial" w:eastAsia="Arial" w:hAnsi="Arial"/>
          <w:sz w:val="14"/>
          <w:szCs w:val="14"/>
          <w:color w:val="auto"/>
        </w:rPr>
        <w:t>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40" w:lineRule="exact"/>
        <w:rPr>
          <w:sz w:val="20"/>
          <w:szCs w:val="20"/>
          <w:color w:val="auto"/>
        </w:rPr>
      </w:pPr>
    </w:p>
    <w:p>
      <w:pPr>
        <w:ind w:right="40" w:firstLine="577"/>
        <w:spacing w:after="0" w:line="295" w:lineRule="auto"/>
        <w:rPr>
          <w:sz w:val="20"/>
          <w:szCs w:val="20"/>
          <w:color w:val="auto"/>
        </w:rPr>
      </w:pPr>
      <w:r>
        <w:rPr>
          <w:rFonts w:ascii="Arial" w:cs="Arial" w:eastAsia="Arial" w:hAnsi="Arial"/>
          <w:sz w:val="14"/>
          <w:szCs w:val="14"/>
          <w:i w:val="1"/>
          <w:iCs w:val="1"/>
          <w:color w:val="auto"/>
        </w:rPr>
        <w:t xml:space="preserve">Dr. Yaron Daniely </w:t>
      </w:r>
      <w:r>
        <w:rPr>
          <w:rFonts w:ascii="Arial" w:cs="Arial" w:eastAsia="Arial" w:hAnsi="Arial"/>
          <w:sz w:val="14"/>
          <w:szCs w:val="14"/>
          <w:color w:val="auto"/>
        </w:rPr>
        <w:t>became our President and Chief Executive Officer and a Director in March 2010. Immediately prior to joining us and since 2007, Dr. Daniely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47" w:lineRule="exact"/>
        <w:rPr>
          <w:sz w:val="20"/>
          <w:szCs w:val="20"/>
          <w:color w:val="auto"/>
        </w:rPr>
      </w:pPr>
    </w:p>
    <w:p>
      <w:pPr>
        <w:ind w:right="40" w:firstLine="617"/>
        <w:spacing w:after="0" w:line="278" w:lineRule="auto"/>
        <w:rPr>
          <w:sz w:val="20"/>
          <w:szCs w:val="20"/>
          <w:color w:val="auto"/>
        </w:rPr>
      </w:pPr>
      <w:r>
        <w:rPr>
          <w:rFonts w:ascii="Arial" w:cs="Arial" w:eastAsia="Arial" w:hAnsi="Arial"/>
          <w:sz w:val="15"/>
          <w:szCs w:val="15"/>
          <w:i w:val="1"/>
          <w:iCs w:val="1"/>
          <w:color w:val="auto"/>
        </w:rPr>
        <w:t xml:space="preserve">Udi Gilboa </w:t>
      </w:r>
      <w:r>
        <w:rPr>
          <w:rFonts w:ascii="Arial" w:cs="Arial" w:eastAsia="Arial" w:hAnsi="Arial"/>
          <w:sz w:val="15"/>
          <w:szCs w:val="15"/>
          <w:color w:val="auto"/>
        </w:rPr>
        <w:t>co-founded the Company in February 2008 and became a director at that time. He has served as our Chief Financial Officer and Chief Accounting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54"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 medicine.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68" w:lineRule="exact"/>
        <w:rPr>
          <w:sz w:val="20"/>
          <w:szCs w:val="20"/>
          <w:color w:val="auto"/>
        </w:rPr>
      </w:pPr>
    </w:p>
    <w:p>
      <w:pPr>
        <w:ind w:right="120" w:firstLine="577"/>
        <w:spacing w:after="0" w:line="308" w:lineRule="auto"/>
        <w:rPr>
          <w:sz w:val="20"/>
          <w:szCs w:val="20"/>
          <w:color w:val="auto"/>
        </w:rPr>
      </w:pPr>
      <w:r>
        <w:rPr>
          <w:rFonts w:ascii="Arial" w:cs="Arial" w:eastAsia="Arial" w:hAnsi="Arial"/>
          <w:sz w:val="14"/>
          <w:szCs w:val="14"/>
          <w:i w:val="1"/>
          <w:iCs w:val="1"/>
          <w:color w:val="auto"/>
        </w:rPr>
        <w:t xml:space="preserve">Hanna Ron </w:t>
      </w:r>
      <w:r>
        <w:rPr>
          <w:rFonts w:ascii="Arial" w:cs="Arial" w:eastAsia="Arial" w:hAnsi="Arial"/>
          <w:sz w:val="14"/>
          <w:szCs w:val="14"/>
          <w:color w:val="auto"/>
        </w:rPr>
        <w:t>is a key employee of the Company. She has over 26 years of experience in the pharmaceutical industry and is an expert in chemistry, manufacturing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35" w:lineRule="exact"/>
        <w:rPr>
          <w:sz w:val="20"/>
          <w:szCs w:val="20"/>
          <w:color w:val="auto"/>
        </w:rPr>
      </w:pPr>
    </w:p>
    <w:p>
      <w:pPr>
        <w:ind w:right="60" w:firstLine="577"/>
        <w:spacing w:after="0" w:line="271" w:lineRule="auto"/>
        <w:rPr>
          <w:sz w:val="20"/>
          <w:szCs w:val="20"/>
          <w:color w:val="auto"/>
        </w:rPr>
      </w:pPr>
      <w:r>
        <w:rPr>
          <w:rFonts w:ascii="Arial" w:cs="Arial" w:eastAsia="Arial" w:hAnsi="Arial"/>
          <w:sz w:val="15"/>
          <w:szCs w:val="15"/>
          <w:i w:val="1"/>
          <w:iCs w:val="1"/>
          <w:color w:val="auto"/>
        </w:rPr>
        <w:t xml:space="preserve">Howard B. Rosen </w:t>
      </w:r>
      <w:r>
        <w:rPr>
          <w:rFonts w:ascii="Arial" w:cs="Arial" w:eastAsia="Arial" w:hAnsi="Arial"/>
          <w:sz w:val="15"/>
          <w:szCs w:val="15"/>
          <w:color w:val="auto"/>
        </w:rPr>
        <w:t>has consented to being elected as a director of the Company, immediately following the closing of this offering. Since 2008, Mr. Rosen has served as a</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1" w:lineRule="exact"/>
        <w:rPr>
          <w:sz w:val="20"/>
          <w:szCs w:val="20"/>
          <w:color w:val="auto"/>
        </w:rPr>
      </w:pPr>
    </w:p>
    <w:p>
      <w:pPr>
        <w:jc w:val="both"/>
        <w:ind w:right="40" w:firstLine="577"/>
        <w:spacing w:after="0" w:line="292" w:lineRule="auto"/>
        <w:rPr>
          <w:sz w:val="20"/>
          <w:szCs w:val="20"/>
          <w:color w:val="auto"/>
        </w:rPr>
      </w:pPr>
      <w:r>
        <w:rPr>
          <w:rFonts w:ascii="Arial" w:cs="Arial" w:eastAsia="Arial" w:hAnsi="Arial"/>
          <w:sz w:val="14"/>
          <w:szCs w:val="14"/>
          <w:i w:val="1"/>
          <w:iCs w:val="1"/>
          <w:color w:val="auto"/>
        </w:rPr>
        <w:t xml:space="preserve">Daniel E. Geffken </w:t>
      </w:r>
      <w:r>
        <w:rPr>
          <w:rFonts w:ascii="Arial" w:cs="Arial" w:eastAsia="Arial" w:hAnsi="Arial"/>
          <w:sz w:val="14"/>
          <w:szCs w:val="14"/>
          <w:color w:val="auto"/>
        </w:rPr>
        <w:t>has consented to being elected as a director of the Company, effective immediately after this registration statement becomes effective and execution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w:t>
      </w:r>
    </w:p>
    <w:p>
      <w:pPr>
        <w:spacing w:after="0" w:line="1"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auto"/>
        </w:rPr>
        <w:t>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731"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Arrangements Concerning Election of Directors; Family Relationships</w:t>
      </w:r>
    </w:p>
    <w:p>
      <w:pPr>
        <w:spacing w:after="0" w:line="204"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Advisory Board</w:t>
      </w:r>
    </w:p>
    <w:p>
      <w:pPr>
        <w:spacing w:after="0" w:line="204" w:lineRule="exact"/>
        <w:rPr>
          <w:sz w:val="20"/>
          <w:szCs w:val="20"/>
          <w:color w:val="auto"/>
        </w:rPr>
      </w:pPr>
    </w:p>
    <w:p>
      <w:pPr>
        <w:ind w:right="80" w:firstLine="360"/>
        <w:spacing w:after="0" w:line="302" w:lineRule="auto"/>
        <w:rPr>
          <w:sz w:val="20"/>
          <w:szCs w:val="20"/>
          <w:color w:val="auto"/>
        </w:rPr>
      </w:pPr>
      <w:r>
        <w:rPr>
          <w:rFonts w:ascii="Arial" w:cs="Arial" w:eastAsia="Arial" w:hAnsi="Arial"/>
          <w:sz w:val="14"/>
          <w:szCs w:val="14"/>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204" w:lineRule="exact"/>
        <w:rPr>
          <w:sz w:val="20"/>
          <w:szCs w:val="20"/>
          <w:color w:val="auto"/>
        </w:rPr>
      </w:pPr>
    </w:p>
    <w:p>
      <w:pPr>
        <w:ind w:right="100" w:firstLine="360"/>
        <w:spacing w:after="0" w:line="274" w:lineRule="auto"/>
        <w:rPr>
          <w:sz w:val="20"/>
          <w:szCs w:val="20"/>
          <w:color w:val="auto"/>
        </w:rPr>
      </w:pPr>
      <w:r>
        <w:rPr>
          <w:rFonts w:ascii="Arial" w:cs="Arial" w:eastAsia="Arial" w:hAnsi="Arial"/>
          <w:sz w:val="15"/>
          <w:szCs w:val="15"/>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Practices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0"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6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6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6"/>
          <w:szCs w:val="16"/>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7"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7" w:name="page58"/>
    <w:bookmarkEnd w:id="57"/>
    <w:p>
      <w:pPr>
        <w:ind w:left="4" w:right="60" w:firstLine="360"/>
        <w:spacing w:after="0" w:line="273" w:lineRule="auto"/>
        <w:rPr>
          <w:sz w:val="20"/>
          <w:szCs w:val="20"/>
          <w:color w:val="auto"/>
        </w:rPr>
      </w:pPr>
      <w:r>
        <w:rPr>
          <w:rFonts w:ascii="Arial" w:cs="Arial" w:eastAsia="Arial" w:hAnsi="Arial"/>
          <w:sz w:val="15"/>
          <w:szCs w:val="15"/>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200" w:lineRule="exact"/>
        <w:rPr>
          <w:sz w:val="20"/>
          <w:szCs w:val="20"/>
          <w:color w:val="auto"/>
        </w:rPr>
      </w:pPr>
    </w:p>
    <w:p>
      <w:pPr>
        <w:ind w:left="4" w:right="140" w:firstLine="360"/>
        <w:spacing w:after="0" w:line="259"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67" w:lineRule="exact"/>
        <w:rPr>
          <w:sz w:val="20"/>
          <w:szCs w:val="20"/>
          <w:color w:val="auto"/>
        </w:rPr>
      </w:pPr>
    </w:p>
    <w:p>
      <w:pPr>
        <w:ind w:left="4" w:right="360" w:firstLine="360"/>
        <w:spacing w:after="0" w:line="277" w:lineRule="auto"/>
        <w:rPr>
          <w:sz w:val="20"/>
          <w:szCs w:val="20"/>
          <w:color w:val="auto"/>
        </w:rPr>
      </w:pPr>
      <w:r>
        <w:rPr>
          <w:rFonts w:ascii="Arial" w:cs="Arial" w:eastAsia="Arial" w:hAnsi="Arial"/>
          <w:sz w:val="16"/>
          <w:szCs w:val="16"/>
          <w:color w:val="auto"/>
        </w:rPr>
        <w:t>The Israeli Companies Law provides that external directors must be elected by a majority vote of the shares present and voting at a shareholders meeting, provided that either:</w:t>
      </w:r>
    </w:p>
    <w:p>
      <w:pPr>
        <w:spacing w:after="0" w:line="152" w:lineRule="exact"/>
        <w:rPr>
          <w:sz w:val="20"/>
          <w:szCs w:val="20"/>
          <w:color w:val="auto"/>
        </w:rPr>
      </w:pPr>
    </w:p>
    <w:p>
      <w:pPr>
        <w:ind w:left="644" w:right="180" w:hanging="284"/>
        <w:spacing w:after="0" w:line="264"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1" w:lineRule="exact"/>
        <w:rPr>
          <w:rFonts w:ascii="Arial" w:cs="Arial" w:eastAsia="Arial" w:hAnsi="Arial"/>
          <w:sz w:val="16"/>
          <w:szCs w:val="16"/>
          <w:color w:val="A6A6A6"/>
        </w:rPr>
      </w:pPr>
    </w:p>
    <w:p>
      <w:pPr>
        <w:ind w:left="644" w:right="280" w:hanging="284"/>
        <w:spacing w:after="0" w:line="277"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52" w:lineRule="exact"/>
        <w:rPr>
          <w:sz w:val="20"/>
          <w:szCs w:val="20"/>
          <w:color w:val="auto"/>
        </w:rPr>
      </w:pPr>
    </w:p>
    <w:p>
      <w:pPr>
        <w:ind w:left="4" w:right="120" w:firstLine="360"/>
        <w:spacing w:after="0" w:line="25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68" w:lineRule="exact"/>
        <w:rPr>
          <w:sz w:val="20"/>
          <w:szCs w:val="20"/>
          <w:color w:val="auto"/>
        </w:rPr>
      </w:pPr>
    </w:p>
    <w:p>
      <w:pPr>
        <w:ind w:left="4" w:right="40" w:firstLine="360"/>
        <w:spacing w:after="0" w:line="290"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w:t>
      </w:r>
    </w:p>
    <w:p>
      <w:pPr>
        <w:spacing w:after="0" w:line="1" w:lineRule="exact"/>
        <w:rPr>
          <w:sz w:val="20"/>
          <w:szCs w:val="20"/>
          <w:color w:val="auto"/>
        </w:rPr>
      </w:pPr>
    </w:p>
    <w:p>
      <w:pPr>
        <w:ind w:left="4" w:hanging="4"/>
        <w:spacing w:after="0" w:line="272" w:lineRule="auto"/>
        <w:tabs>
          <w:tab w:leader="none" w:pos="2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8" w:name="page59"/>
    <w:bookmarkEnd w:id="58"/>
    <w:p>
      <w:pPr>
        <w:ind w:firstLine="360"/>
        <w:spacing w:after="0" w:line="277" w:lineRule="auto"/>
        <w:rPr>
          <w:sz w:val="20"/>
          <w:szCs w:val="20"/>
          <w:color w:val="auto"/>
        </w:rPr>
      </w:pPr>
      <w:r>
        <w:rPr>
          <w:rFonts w:ascii="Arial" w:cs="Arial" w:eastAsia="Arial" w:hAnsi="Arial"/>
          <w:sz w:val="16"/>
          <w:szCs w:val="16"/>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52" w:lineRule="exact"/>
        <w:rPr>
          <w:sz w:val="20"/>
          <w:szCs w:val="20"/>
          <w:color w:val="auto"/>
        </w:rPr>
      </w:pPr>
    </w:p>
    <w:p>
      <w:pPr>
        <w:ind w:right="180" w:firstLine="360"/>
        <w:spacing w:after="0" w:line="25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68"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relative is defined as a spouse, sibling, parent, grandparent or descendant; spouse's sibling, parent or descendant; and the spouse of each of the foregoing persons.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term affiliation and the similar types of prohibited relationships include (subject to certain exemptions):</w:t>
      </w:r>
    </w:p>
    <w:p>
      <w:pPr>
        <w:spacing w:after="0" w:line="188" w:lineRule="exact"/>
        <w:rPr>
          <w:sz w:val="20"/>
          <w:szCs w:val="20"/>
          <w:color w:val="auto"/>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an employment relationship;</w:t>
      </w:r>
    </w:p>
    <w:p>
      <w:pPr>
        <w:spacing w:after="0" w:line="20"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8"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control; and</w:t>
      </w:r>
    </w:p>
    <w:p>
      <w:pPr>
        <w:spacing w:after="0" w:line="8" w:lineRule="exact"/>
        <w:rPr>
          <w:rFonts w:ascii="Arial" w:cs="Arial" w:eastAsia="Arial" w:hAnsi="Arial"/>
          <w:sz w:val="16"/>
          <w:szCs w:val="16"/>
          <w:color w:val="A6A6A6"/>
        </w:rPr>
      </w:pPr>
    </w:p>
    <w:p>
      <w:pPr>
        <w:ind w:left="640" w:hanging="284"/>
        <w:spacing w:after="0" w:line="261" w:lineRule="auto"/>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9" w:name="page60"/>
    <w:bookmarkEnd w:id="59"/>
    <w:p>
      <w:pPr>
        <w:ind w:right="260" w:firstLine="360"/>
        <w:spacing w:after="0" w:line="264"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2" w:lineRule="exact"/>
        <w:rPr>
          <w:sz w:val="20"/>
          <w:szCs w:val="20"/>
          <w:color w:val="auto"/>
        </w:rPr>
      </w:pPr>
    </w:p>
    <w:p>
      <w:pPr>
        <w:jc w:val="both"/>
        <w:ind w:right="100" w:firstLine="360"/>
        <w:spacing w:after="0" w:line="278"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0"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4" w:lineRule="exact"/>
        <w:rPr>
          <w:sz w:val="20"/>
          <w:szCs w:val="20"/>
          <w:color w:val="auto"/>
        </w:rPr>
      </w:pPr>
    </w:p>
    <w:p>
      <w:pPr>
        <w:ind w:right="120" w:firstLine="360"/>
        <w:spacing w:after="0" w:line="278"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0" w:lineRule="exact"/>
        <w:rPr>
          <w:sz w:val="20"/>
          <w:szCs w:val="20"/>
          <w:color w:val="auto"/>
        </w:rPr>
      </w:pPr>
    </w:p>
    <w:p>
      <w:pPr>
        <w:ind w:right="80" w:firstLine="360"/>
        <w:spacing w:after="0" w:line="282" w:lineRule="auto"/>
        <w:rPr>
          <w:sz w:val="20"/>
          <w:szCs w:val="20"/>
          <w:color w:val="auto"/>
        </w:rPr>
      </w:pPr>
      <w:r>
        <w:rPr>
          <w:rFonts w:ascii="Arial" w:cs="Arial" w:eastAsia="Arial" w:hAnsi="Arial"/>
          <w:sz w:val="15"/>
          <w:szCs w:val="15"/>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5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0" w:name="page61"/>
    <w:bookmarkEnd w:id="60"/>
    <w:p>
      <w:pPr>
        <w:jc w:val="both"/>
        <w:ind w:left="644" w:hanging="284"/>
        <w:spacing w:after="0" w:line="289" w:lineRule="auto"/>
        <w:tabs>
          <w:tab w:leader="none" w:pos="644" w:val="left"/>
        </w:tabs>
        <w:numPr>
          <w:ilvl w:val="0"/>
          <w:numId w:val="51"/>
        </w:numPr>
        <w:rPr>
          <w:rFonts w:ascii="Arial" w:cs="Arial" w:eastAsia="Arial" w:hAnsi="Arial"/>
          <w:sz w:val="15"/>
          <w:szCs w:val="15"/>
          <w:color w:val="A6A6A6"/>
        </w:rPr>
      </w:pPr>
      <w:r>
        <w:rPr>
          <w:rFonts w:ascii="Arial" w:cs="Arial" w:eastAsia="Arial" w:hAnsi="Arial"/>
          <w:sz w:val="15"/>
          <w:szCs w:val="15"/>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45" w:lineRule="exact"/>
        <w:rPr>
          <w:rFonts w:ascii="Arial" w:cs="Arial" w:eastAsia="Arial" w:hAnsi="Arial"/>
          <w:sz w:val="15"/>
          <w:szCs w:val="15"/>
          <w:color w:val="A6A6A6"/>
        </w:rPr>
      </w:pPr>
    </w:p>
    <w:p>
      <w:pPr>
        <w:ind w:left="644" w:hanging="284"/>
        <w:spacing w:after="0" w:line="277" w:lineRule="auto"/>
        <w:tabs>
          <w:tab w:leader="none" w:pos="644"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2" w:lineRule="exact"/>
        <w:rPr>
          <w:sz w:val="20"/>
          <w:szCs w:val="20"/>
          <w:color w:val="auto"/>
        </w:rPr>
      </w:pPr>
    </w:p>
    <w:p>
      <w:pPr>
        <w:ind w:left="4" w:right="200" w:firstLine="360"/>
        <w:spacing w:after="0" w:line="312" w:lineRule="auto"/>
        <w:rPr>
          <w:sz w:val="20"/>
          <w:szCs w:val="20"/>
          <w:color w:val="auto"/>
        </w:rPr>
      </w:pPr>
      <w:r>
        <w:rPr>
          <w:rFonts w:ascii="Arial" w:cs="Arial" w:eastAsia="Arial" w:hAnsi="Arial"/>
          <w:sz w:val="15"/>
          <w:szCs w:val="15"/>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28" w:lineRule="exact"/>
        <w:rPr>
          <w:sz w:val="20"/>
          <w:szCs w:val="20"/>
          <w:color w:val="auto"/>
        </w:rPr>
      </w:pPr>
    </w:p>
    <w:p>
      <w:pPr>
        <w:ind w:left="4" w:right="60" w:firstLine="360"/>
        <w:spacing w:after="0" w:line="255"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69" w:lineRule="exact"/>
        <w:rPr>
          <w:sz w:val="20"/>
          <w:szCs w:val="20"/>
          <w:color w:val="auto"/>
        </w:rPr>
      </w:pPr>
    </w:p>
    <w:p>
      <w:pPr>
        <w:jc w:val="both"/>
        <w:ind w:left="4" w:right="480" w:firstLine="360"/>
        <w:spacing w:after="0" w:line="295" w:lineRule="auto"/>
        <w:rPr>
          <w:sz w:val="20"/>
          <w:szCs w:val="20"/>
          <w:color w:val="auto"/>
        </w:rPr>
      </w:pPr>
      <w:r>
        <w:rPr>
          <w:rFonts w:ascii="Arial" w:cs="Arial" w:eastAsia="Arial" w:hAnsi="Arial"/>
          <w:sz w:val="14"/>
          <w:szCs w:val="14"/>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 w:lineRule="exact"/>
        <w:rPr>
          <w:sz w:val="20"/>
          <w:szCs w:val="20"/>
          <w:color w:val="auto"/>
        </w:rPr>
      </w:pPr>
    </w:p>
    <w:p>
      <w:pPr>
        <w:ind w:left="4" w:right="20" w:hanging="4"/>
        <w:spacing w:after="0" w:line="291" w:lineRule="auto"/>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50"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0" w:lineRule="exact"/>
        <w:rPr>
          <w:sz w:val="20"/>
          <w:szCs w:val="20"/>
          <w:color w:val="auto"/>
        </w:rPr>
      </w:pPr>
    </w:p>
    <w:p>
      <w:pPr>
        <w:ind w:left="4" w:right="280" w:firstLine="360"/>
        <w:spacing w:after="0" w:line="259" w:lineRule="auto"/>
        <w:rPr>
          <w:sz w:val="20"/>
          <w:szCs w:val="20"/>
          <w:color w:val="auto"/>
        </w:rPr>
      </w:pPr>
      <w:r>
        <w:rPr>
          <w:rFonts w:ascii="Arial" w:cs="Arial" w:eastAsia="Arial" w:hAnsi="Arial"/>
          <w:sz w:val="16"/>
          <w:szCs w:val="16"/>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67" w:lineRule="exact"/>
        <w:rPr>
          <w:sz w:val="20"/>
          <w:szCs w:val="20"/>
          <w:color w:val="auto"/>
        </w:rPr>
      </w:pPr>
    </w:p>
    <w:p>
      <w:pPr>
        <w:ind w:left="4" w:right="20" w:firstLine="360"/>
        <w:spacing w:after="0" w:line="278" w:lineRule="auto"/>
        <w:rPr>
          <w:sz w:val="20"/>
          <w:szCs w:val="20"/>
          <w:color w:val="auto"/>
        </w:rPr>
      </w:pPr>
      <w:r>
        <w:rPr>
          <w:rFonts w:ascii="Arial" w:cs="Arial" w:eastAsia="Arial" w:hAnsi="Arial"/>
          <w:sz w:val="15"/>
          <w:szCs w:val="15"/>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54" w:lineRule="exact"/>
        <w:rPr>
          <w:sz w:val="20"/>
          <w:szCs w:val="20"/>
          <w:color w:val="auto"/>
        </w:rPr>
      </w:pPr>
    </w:p>
    <w:p>
      <w:pPr>
        <w:ind w:left="4" w:right="100" w:firstLine="360"/>
        <w:spacing w:after="0" w:line="264" w:lineRule="auto"/>
        <w:rPr>
          <w:sz w:val="20"/>
          <w:szCs w:val="20"/>
          <w:color w:val="auto"/>
        </w:rPr>
      </w:pPr>
      <w:r>
        <w:rPr>
          <w:rFonts w:ascii="Arial" w:cs="Arial" w:eastAsia="Arial" w:hAnsi="Arial"/>
          <w:sz w:val="16"/>
          <w:szCs w:val="16"/>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1" w:name="page62"/>
    <w:bookmarkEnd w:id="61"/>
    <w:p>
      <w:pPr>
        <w:ind w:left="360"/>
        <w:spacing w:after="0"/>
        <w:rPr>
          <w:sz w:val="20"/>
          <w:szCs w:val="20"/>
          <w:color w:val="auto"/>
        </w:rPr>
      </w:pPr>
      <w:r>
        <w:rPr>
          <w:rFonts w:ascii="Arial" w:cs="Arial" w:eastAsia="Arial" w:hAnsi="Arial"/>
          <w:sz w:val="16"/>
          <w:szCs w:val="16"/>
          <w:color w:val="auto"/>
        </w:rPr>
        <w:t>We plan to form a compensation committee shortly after the election of external directors to our board.</w:t>
      </w:r>
    </w:p>
    <w:p>
      <w:pPr>
        <w:spacing w:after="0" w:line="200"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9 months from the consummation of this offering.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200" w:lineRule="exact"/>
        <w:rPr>
          <w:sz w:val="20"/>
          <w:szCs w:val="20"/>
          <w:color w:val="auto"/>
        </w:rPr>
      </w:pPr>
    </w:p>
    <w:p>
      <w:pPr>
        <w:ind w:right="40" w:firstLine="360"/>
        <w:spacing w:after="0" w:line="282" w:lineRule="auto"/>
        <w:rPr>
          <w:sz w:val="20"/>
          <w:szCs w:val="20"/>
          <w:color w:val="auto"/>
        </w:rPr>
      </w:pPr>
      <w:r>
        <w:rPr>
          <w:rFonts w:ascii="Arial" w:cs="Arial" w:eastAsia="Arial" w:hAnsi="Arial"/>
          <w:sz w:val="15"/>
          <w:szCs w:val="15"/>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50" w:lineRule="exact"/>
        <w:rPr>
          <w:sz w:val="20"/>
          <w:szCs w:val="20"/>
          <w:color w:val="auto"/>
        </w:rPr>
      </w:pPr>
    </w:p>
    <w:p>
      <w:pPr>
        <w:ind w:right="140" w:firstLine="360"/>
        <w:spacing w:after="0" w:line="289" w:lineRule="auto"/>
        <w:rPr>
          <w:sz w:val="20"/>
          <w:szCs w:val="20"/>
          <w:color w:val="auto"/>
        </w:rPr>
      </w:pPr>
      <w:r>
        <w:rPr>
          <w:rFonts w:ascii="Arial" w:cs="Arial" w:eastAsia="Arial" w:hAnsi="Arial"/>
          <w:sz w:val="15"/>
          <w:szCs w:val="15"/>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 —Agreements and Arrangements with, and Compensation of, Directors and Executive Officers" for a summary of these agreements.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0" w:lineRule="exact"/>
        <w:rPr>
          <w:sz w:val="20"/>
          <w:szCs w:val="20"/>
          <w:color w:val="auto"/>
        </w:rPr>
      </w:pPr>
    </w:p>
    <w:p>
      <w:pPr>
        <w:ind w:right="60" w:firstLine="360"/>
        <w:spacing w:after="0" w:line="277"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2" w:lineRule="exact"/>
        <w:rPr>
          <w:sz w:val="20"/>
          <w:szCs w:val="20"/>
          <w:color w:val="auto"/>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holds more than 5% of the Company's outstanding shares or voting rights;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has the power to appoint a director or the general manager of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an office holder (including a director) of the Company (or a relative thereof);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member of the Company's independent accounting firm, or anyone on his or her behalf.</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0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4"/>
          <w:szCs w:val="14"/>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3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62" w:lineRule="exact"/>
        <w:rPr>
          <w:sz w:val="20"/>
          <w:szCs w:val="20"/>
          <w:color w:val="auto"/>
        </w:rPr>
      </w:pPr>
    </w:p>
    <w:p>
      <w:pPr>
        <w:ind w:left="360" w:hanging="4"/>
        <w:spacing w:after="0" w:line="278" w:lineRule="auto"/>
        <w:tabs>
          <w:tab w:leader="none" w:pos="640" w:val="left"/>
        </w:tabs>
        <w:numPr>
          <w:ilvl w:val="0"/>
          <w:numId w:val="54"/>
        </w:numPr>
        <w:rPr>
          <w:rFonts w:ascii="Arial" w:cs="Arial" w:eastAsia="Arial" w:hAnsi="Arial"/>
          <w:sz w:val="15"/>
          <w:szCs w:val="15"/>
          <w:color w:val="A6A6A6"/>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Listing Rules of the NASDAQ Stock Market, which require listed issuers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2" w:name="page63"/>
    <w:bookmarkEnd w:id="62"/>
    <w:p>
      <w:pPr>
        <w:ind w:left="360" w:right="40" w:hanging="4"/>
        <w:spacing w:after="0" w:line="278"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Nomination of our directors. </w:t>
      </w:r>
      <w:r>
        <w:rPr>
          <w:rFonts w:ascii="Arial" w:cs="Arial" w:eastAsia="Arial" w:hAnsi="Arial"/>
          <w:sz w:val="15"/>
          <w:szCs w:val="15"/>
          <w:color w:val="auto"/>
        </w:rPr>
        <w:t>With the exception of our external directors and directors elected by our Board of Directors due to vacancy, our directors are elected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54" w:lineRule="exact"/>
        <w:rPr>
          <w:rFonts w:ascii="Arial" w:cs="Arial" w:eastAsia="Arial" w:hAnsi="Arial"/>
          <w:sz w:val="15"/>
          <w:szCs w:val="15"/>
          <w:color w:val="A6A6A6"/>
        </w:rPr>
      </w:pPr>
    </w:p>
    <w:p>
      <w:pPr>
        <w:jc w:val="both"/>
        <w:ind w:left="360" w:hanging="4"/>
        <w:spacing w:after="0" w:line="289"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Compensation of officers. </w:t>
      </w:r>
      <w:r>
        <w:rPr>
          <w:rFonts w:ascii="Arial" w:cs="Arial" w:eastAsia="Arial" w:hAnsi="Arial"/>
          <w:sz w:val="15"/>
          <w:szCs w:val="15"/>
          <w:color w:val="auto"/>
        </w:rPr>
        <w:t>Israeli law and our amended and restated articles of association do not require that the independent members of our Board of Directors (or a</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5"/>
          <w:szCs w:val="15"/>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55"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72" w:lineRule="exact"/>
        <w:rPr>
          <w:sz w:val="20"/>
          <w:szCs w:val="20"/>
          <w:color w:val="auto"/>
        </w:rPr>
      </w:pPr>
    </w:p>
    <w:p>
      <w:pPr>
        <w:ind w:right="520" w:firstLine="360"/>
        <w:spacing w:after="0" w:line="312" w:lineRule="auto"/>
        <w:rPr>
          <w:sz w:val="20"/>
          <w:szCs w:val="20"/>
          <w:color w:val="auto"/>
        </w:rPr>
      </w:pPr>
      <w:r>
        <w:rPr>
          <w:rFonts w:ascii="Arial" w:cs="Arial" w:eastAsia="Arial" w:hAnsi="Arial"/>
          <w:sz w:val="15"/>
          <w:szCs w:val="15"/>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8" w:lineRule="exact"/>
        <w:rPr>
          <w:sz w:val="20"/>
          <w:szCs w:val="20"/>
          <w:color w:val="auto"/>
        </w:rPr>
      </w:pPr>
    </w:p>
    <w:p>
      <w:pPr>
        <w:ind w:left="360" w:right="20" w:hanging="4"/>
        <w:spacing w:after="0" w:line="255" w:lineRule="auto"/>
        <w:tabs>
          <w:tab w:leader="none" w:pos="640"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 under NASDAQ</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3" w:name="page64"/>
    <w:bookmarkEnd w:id="63"/>
    <w:p>
      <w:pPr>
        <w:ind w:left="360" w:hanging="4"/>
        <w:spacing w:after="0" w:line="291" w:lineRule="auto"/>
        <w:tabs>
          <w:tab w:leader="none" w:pos="640" w:val="left"/>
        </w:tabs>
        <w:numPr>
          <w:ilvl w:val="0"/>
          <w:numId w:val="57"/>
        </w:numPr>
        <w:rPr>
          <w:rFonts w:ascii="Arial" w:cs="Arial" w:eastAsia="Arial" w:hAnsi="Arial"/>
          <w:sz w:val="14"/>
          <w:szCs w:val="14"/>
          <w:color w:val="A6A6A6"/>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In addition, under the Israeli Companies Law, a merger requires approval of the shareholders of each of the merging companies.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Fiduciary duties of directors and executive officers</w:t>
      </w: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5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2" w:lineRule="exact"/>
        <w:rPr>
          <w:sz w:val="20"/>
          <w:szCs w:val="20"/>
          <w:color w:val="auto"/>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a duty to:</w:t>
      </w:r>
    </w:p>
    <w:p>
      <w:pPr>
        <w:spacing w:after="0" w:line="200" w:lineRule="exact"/>
        <w:rPr>
          <w:sz w:val="20"/>
          <w:szCs w:val="20"/>
          <w:color w:val="auto"/>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activity that is competitive with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Personal Interests of an Office Holder</w:t>
      </w:r>
    </w:p>
    <w:p>
      <w:pPr>
        <w:spacing w:after="0" w:line="200" w:lineRule="exact"/>
        <w:rPr>
          <w:sz w:val="20"/>
          <w:szCs w:val="20"/>
          <w:color w:val="auto"/>
        </w:rPr>
      </w:pPr>
    </w:p>
    <w:p>
      <w:pPr>
        <w:ind w:right="40" w:firstLine="357"/>
        <w:spacing w:after="0" w:line="294"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other than in the ordinary course of business;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is not on market terms;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may have a material impact on a company's profitability, assets or liabilities.</w:t>
      </w:r>
    </w:p>
    <w:p>
      <w:pPr>
        <w:spacing w:after="0" w:line="200" w:lineRule="exact"/>
        <w:rPr>
          <w:sz w:val="20"/>
          <w:szCs w:val="20"/>
          <w:color w:val="auto"/>
        </w:rPr>
      </w:pPr>
    </w:p>
    <w:p>
      <w:pPr>
        <w:ind w:right="220" w:firstLine="360"/>
        <w:spacing w:after="0" w:line="254"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72"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Disclosure of Personal Interests of Controlling Shareholders</w:t>
      </w:r>
    </w:p>
    <w:p>
      <w:pPr>
        <w:spacing w:after="0" w:line="200" w:lineRule="exact"/>
        <w:rPr>
          <w:sz w:val="20"/>
          <w:szCs w:val="20"/>
          <w:color w:val="auto"/>
        </w:rPr>
      </w:pPr>
    </w:p>
    <w:p>
      <w:pPr>
        <w:ind w:firstLine="360"/>
        <w:spacing w:after="0" w:line="297"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43" w:lineRule="exact"/>
        <w:rPr>
          <w:sz w:val="20"/>
          <w:szCs w:val="20"/>
          <w:color w:val="auto"/>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disinterested majority; or</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5" w:name="page66"/>
    <w:bookmarkEnd w:id="65"/>
    <w:p>
      <w:pPr>
        <w:ind w:left="360"/>
        <w:spacing w:after="0"/>
        <w:rPr>
          <w:sz w:val="20"/>
          <w:szCs w:val="20"/>
          <w:color w:val="auto"/>
        </w:rPr>
      </w:pPr>
      <w:r>
        <w:rPr>
          <w:rFonts w:ascii="Arial" w:cs="Arial" w:eastAsia="Arial" w:hAnsi="Arial"/>
          <w:sz w:val="16"/>
          <w:szCs w:val="16"/>
          <w:i w:val="1"/>
          <w:iCs w:val="1"/>
          <w:color w:val="auto"/>
        </w:rPr>
        <w:t>Shareholder Duties</w:t>
      </w:r>
    </w:p>
    <w:p>
      <w:pPr>
        <w:spacing w:after="0" w:line="20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2" w:lineRule="exact"/>
        <w:rPr>
          <w:sz w:val="20"/>
          <w:szCs w:val="20"/>
          <w:color w:val="auto"/>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amendment to the Company's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increase of the Company's authorized share capital;</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 merger;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approval of interested party transactions and acts of office holders that require shareholder approval.</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shareholder also has a general duty to refrain from discriminating against other shareholders.</w:t>
      </w:r>
    </w:p>
    <w:p>
      <w:pPr>
        <w:spacing w:after="0" w:line="200" w:lineRule="exact"/>
        <w:rPr>
          <w:sz w:val="20"/>
          <w:szCs w:val="20"/>
          <w:color w:val="auto"/>
        </w:rPr>
      </w:pPr>
    </w:p>
    <w:p>
      <w:pPr>
        <w:ind w:firstLine="360"/>
        <w:spacing w:after="0" w:line="282" w:lineRule="auto"/>
        <w:rPr>
          <w:sz w:val="20"/>
          <w:szCs w:val="20"/>
          <w:color w:val="auto"/>
        </w:rPr>
      </w:pPr>
      <w:r>
        <w:rPr>
          <w:rFonts w:ascii="Arial" w:cs="Arial" w:eastAsia="Arial" w:hAnsi="Arial"/>
          <w:sz w:val="15"/>
          <w:szCs w:val="15"/>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204"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67" w:lineRule="exact"/>
        <w:rPr>
          <w:sz w:val="20"/>
          <w:szCs w:val="20"/>
          <w:color w:val="auto"/>
        </w:rPr>
      </w:pPr>
    </w:p>
    <w:p>
      <w:pPr>
        <w:ind w:right="80" w:firstLine="360"/>
        <w:spacing w:after="0" w:line="264" w:lineRule="auto"/>
        <w:rPr>
          <w:sz w:val="20"/>
          <w:szCs w:val="20"/>
          <w:color w:val="auto"/>
        </w:rPr>
      </w:pPr>
      <w:r>
        <w:rPr>
          <w:rFonts w:ascii="Arial" w:cs="Arial" w:eastAsia="Arial" w:hAnsi="Arial"/>
          <w:sz w:val="16"/>
          <w:szCs w:val="16"/>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62" w:lineRule="exact"/>
        <w:rPr>
          <w:sz w:val="20"/>
          <w:szCs w:val="20"/>
          <w:color w:val="auto"/>
        </w:rPr>
      </w:pPr>
    </w:p>
    <w:p>
      <w:pPr>
        <w:ind w:left="360" w:right="80" w:hanging="4"/>
        <w:spacing w:after="0" w:line="257"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8" w:lineRule="exact"/>
        <w:rPr>
          <w:rFonts w:ascii="Arial" w:cs="Arial" w:eastAsia="Arial" w:hAnsi="Arial"/>
          <w:sz w:val="16"/>
          <w:szCs w:val="16"/>
          <w:color w:val="A6A6A6"/>
        </w:rPr>
      </w:pPr>
    </w:p>
    <w:p>
      <w:pPr>
        <w:ind w:left="360" w:right="120" w:hanging="4"/>
        <w:spacing w:after="0" w:line="308" w:lineRule="auto"/>
        <w:tabs>
          <w:tab w:leader="none" w:pos="640" w:val="left"/>
        </w:tabs>
        <w:numPr>
          <w:ilvl w:val="0"/>
          <w:numId w:val="63"/>
        </w:numPr>
        <w:rPr>
          <w:rFonts w:ascii="Arial" w:cs="Arial" w:eastAsia="Arial" w:hAnsi="Arial"/>
          <w:sz w:val="14"/>
          <w:szCs w:val="14"/>
          <w:color w:val="A6A6A6"/>
        </w:rPr>
      </w:pPr>
      <w:r>
        <w:rPr>
          <w:rFonts w:ascii="Arial" w:cs="Arial" w:eastAsia="Arial" w:hAnsi="Arial"/>
          <w:sz w:val="14"/>
          <w:szCs w:val="14"/>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34" w:lineRule="exact"/>
        <w:rPr>
          <w:rFonts w:ascii="Arial" w:cs="Arial" w:eastAsia="Arial" w:hAnsi="Arial"/>
          <w:sz w:val="14"/>
          <w:szCs w:val="14"/>
          <w:color w:val="A6A6A6"/>
        </w:rPr>
      </w:pPr>
    </w:p>
    <w:p>
      <w:pPr>
        <w:ind w:left="360" w:right="80" w:hanging="4"/>
        <w:spacing w:after="0" w:line="264"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52" w:lineRule="exact"/>
        <w:rPr>
          <w:sz w:val="20"/>
          <w:szCs w:val="20"/>
          <w:color w:val="auto"/>
        </w:rPr>
      </w:pPr>
    </w:p>
    <w:p>
      <w:pPr>
        <w:ind w:left="360" w:right="80" w:hanging="4"/>
        <w:spacing w:after="0" w:line="277"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6" w:name="page67"/>
    <w:bookmarkEnd w:id="66"/>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ind w:left="360" w:right="20" w:hanging="4"/>
        <w:spacing w:after="0" w:line="277" w:lineRule="auto"/>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practices—Compensation of officers."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amended and restated articles of association permit us to exculpate, indemnify and insure our office holders to the fullest extent permitted by the Israeli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188" w:lineRule="exact"/>
        <w:rPr>
          <w:sz w:val="20"/>
          <w:szCs w:val="20"/>
          <w:color w:val="auto"/>
        </w:rPr>
      </w:pPr>
    </w:p>
    <w:p>
      <w:pPr>
        <w:ind w:right="160" w:firstLine="360"/>
        <w:spacing w:after="0" w:line="319" w:lineRule="auto"/>
        <w:rPr>
          <w:sz w:val="20"/>
          <w:szCs w:val="20"/>
          <w:color w:val="auto"/>
        </w:rPr>
      </w:pPr>
      <w:r>
        <w:rPr>
          <w:rFonts w:ascii="Arial" w:cs="Arial" w:eastAsia="Arial" w:hAnsi="Arial"/>
          <w:sz w:val="14"/>
          <w:szCs w:val="14"/>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4" w:lineRule="exact"/>
        <w:rPr>
          <w:sz w:val="20"/>
          <w:szCs w:val="20"/>
          <w:color w:val="auto"/>
        </w:rPr>
      </w:pPr>
    </w:p>
    <w:p>
      <w:pPr>
        <w:ind w:firstLine="360"/>
        <w:spacing w:after="0" w:line="273" w:lineRule="auto"/>
        <w:rPr>
          <w:sz w:val="20"/>
          <w:szCs w:val="20"/>
          <w:color w:val="auto"/>
        </w:rPr>
      </w:pPr>
      <w:r>
        <w:rPr>
          <w:rFonts w:ascii="Arial" w:cs="Arial" w:eastAsia="Arial" w:hAnsi="Arial"/>
          <w:sz w:val="15"/>
          <w:szCs w:val="15"/>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4"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7" w:name="page68"/>
    <w:bookmarkEnd w:id="67"/>
    <w:p>
      <w:pPr>
        <w:ind w:left="364"/>
        <w:spacing w:after="0"/>
        <w:rPr>
          <w:sz w:val="20"/>
          <w:szCs w:val="20"/>
          <w:color w:val="auto"/>
        </w:rPr>
      </w:pPr>
      <w:r>
        <w:rPr>
          <w:rFonts w:ascii="Arial" w:cs="Arial" w:eastAsia="Arial" w:hAnsi="Arial"/>
          <w:sz w:val="16"/>
          <w:szCs w:val="16"/>
          <w:color w:val="auto"/>
        </w:rPr>
        <w:t>We do not have written agreements with any director providing for benefits upon the termination of his employment with our company.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04" w:lineRule="exact"/>
        <w:rPr>
          <w:sz w:val="20"/>
          <w:szCs w:val="20"/>
          <w:color w:val="auto"/>
        </w:rPr>
      </w:pPr>
    </w:p>
    <w:p>
      <w:pPr>
        <w:ind w:left="4" w:firstLine="360"/>
        <w:spacing w:after="0" w:line="278" w:lineRule="auto"/>
        <w:rPr>
          <w:sz w:val="20"/>
          <w:szCs w:val="20"/>
          <w:color w:val="auto"/>
        </w:rPr>
      </w:pPr>
      <w:r>
        <w:rPr>
          <w:rFonts w:ascii="Arial" w:cs="Arial" w:eastAsia="Arial" w:hAnsi="Arial"/>
          <w:sz w:val="15"/>
          <w:szCs w:val="15"/>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54" w:lineRule="exact"/>
        <w:rPr>
          <w:sz w:val="20"/>
          <w:szCs w:val="20"/>
          <w:color w:val="auto"/>
        </w:rPr>
      </w:pPr>
    </w:p>
    <w:p>
      <w:pPr>
        <w:ind w:left="4" w:right="40" w:firstLine="360"/>
        <w:spacing w:after="0" w:line="264" w:lineRule="auto"/>
        <w:rPr>
          <w:sz w:val="20"/>
          <w:szCs w:val="20"/>
          <w:color w:val="auto"/>
        </w:rPr>
      </w:pPr>
      <w:r>
        <w:rPr>
          <w:rFonts w:ascii="Arial" w:cs="Arial" w:eastAsia="Arial" w:hAnsi="Arial"/>
          <w:sz w:val="16"/>
          <w:szCs w:val="16"/>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2010 Incentive Option Plan</w:t>
      </w:r>
    </w:p>
    <w:p>
      <w:pPr>
        <w:spacing w:after="0" w:line="204" w:lineRule="exact"/>
        <w:rPr>
          <w:sz w:val="20"/>
          <w:szCs w:val="20"/>
          <w:color w:val="auto"/>
        </w:rPr>
      </w:pPr>
    </w:p>
    <w:p>
      <w:pPr>
        <w:jc w:val="both"/>
        <w:ind w:left="4" w:right="100" w:firstLine="360"/>
        <w:spacing w:after="0" w:line="264"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380,247 ordinary shares were vested as of April 1, 2013, with a weighted average exercise price of $0.26 per share.</w:t>
      </w:r>
    </w:p>
    <w:p>
      <w:pPr>
        <w:spacing w:after="0" w:line="162" w:lineRule="exact"/>
        <w:rPr>
          <w:sz w:val="20"/>
          <w:szCs w:val="20"/>
          <w:color w:val="auto"/>
        </w:rPr>
      </w:pPr>
    </w:p>
    <w:p>
      <w:pPr>
        <w:ind w:left="4" w:right="740" w:firstLine="360"/>
        <w:spacing w:after="0" w:line="277" w:lineRule="auto"/>
        <w:rPr>
          <w:sz w:val="20"/>
          <w:szCs w:val="20"/>
          <w:color w:val="auto"/>
        </w:rPr>
      </w:pPr>
      <w:r>
        <w:rPr>
          <w:rFonts w:ascii="Arial" w:cs="Arial" w:eastAsia="Arial" w:hAnsi="Arial"/>
          <w:sz w:val="16"/>
          <w:szCs w:val="16"/>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52" w:lineRule="exact"/>
        <w:rPr>
          <w:sz w:val="20"/>
          <w:szCs w:val="20"/>
          <w:color w:val="auto"/>
        </w:rPr>
      </w:pPr>
    </w:p>
    <w:p>
      <w:pPr>
        <w:ind w:left="4" w:right="40" w:firstLine="360"/>
        <w:spacing w:after="0" w:line="277"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5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200" w:lineRule="exact"/>
        <w:rPr>
          <w:sz w:val="20"/>
          <w:szCs w:val="20"/>
          <w:color w:val="auto"/>
        </w:rPr>
      </w:pPr>
    </w:p>
    <w:p>
      <w:pPr>
        <w:ind w:left="4" w:right="100" w:firstLine="360"/>
        <w:spacing w:after="0" w:line="291"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ind w:left="4" w:hanging="4"/>
        <w:spacing w:after="0" w:line="274" w:lineRule="auto"/>
        <w:tabs>
          <w:tab w:leader="none" w:pos="231" w:val="left"/>
        </w:tabs>
        <w:numPr>
          <w:ilvl w:val="0"/>
          <w:numId w:val="67"/>
        </w:numPr>
        <w:rPr>
          <w:rFonts w:ascii="Arial" w:cs="Arial" w:eastAsia="Arial" w:hAnsi="Arial"/>
          <w:sz w:val="15"/>
          <w:szCs w:val="15"/>
          <w:color w:val="auto"/>
        </w:rPr>
      </w:pPr>
      <w:r>
        <w:rPr>
          <w:rFonts w:ascii="Arial" w:cs="Arial" w:eastAsia="Arial" w:hAnsi="Arial"/>
          <w:sz w:val="15"/>
          <w:szCs w:val="15"/>
          <w:color w:val="auto"/>
        </w:rPr>
        <w:t>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55" w:lineRule="exact"/>
        <w:rPr>
          <w:sz w:val="20"/>
          <w:szCs w:val="20"/>
          <w:color w:val="auto"/>
        </w:rPr>
      </w:pPr>
    </w:p>
    <w:p>
      <w:pPr>
        <w:ind w:left="4" w:right="80" w:firstLine="360"/>
        <w:spacing w:after="0" w:line="25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ertain relationships and related party transactions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Employment Agreement with Dr. Yaron Daniely</w:t>
      </w:r>
    </w:p>
    <w:p>
      <w:pPr>
        <w:spacing w:after="0" w:line="200" w:lineRule="exact"/>
        <w:rPr>
          <w:sz w:val="20"/>
          <w:szCs w:val="20"/>
          <w:color w:val="auto"/>
        </w:rPr>
      </w:pPr>
    </w:p>
    <w:p>
      <w:pPr>
        <w:ind w:firstLine="360"/>
        <w:spacing w:after="0" w:line="293" w:lineRule="auto"/>
        <w:rPr>
          <w:sz w:val="20"/>
          <w:szCs w:val="20"/>
          <w:color w:val="auto"/>
        </w:rPr>
      </w:pPr>
      <w:r>
        <w:rPr>
          <w:rFonts w:ascii="Arial" w:cs="Arial" w:eastAsia="Arial" w:hAnsi="Arial"/>
          <w:sz w:val="14"/>
          <w:szCs w:val="14"/>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Consulting Agreement with Dr. Dalia Megiddo</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Agreement with Udi Gilboa</w:t>
      </w:r>
    </w:p>
    <w:p>
      <w:pPr>
        <w:spacing w:after="0" w:line="200"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90 days’ notice.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of Aharon Schwartz as Director and Chairman of Our Board of Directors</w:t>
      </w:r>
    </w:p>
    <w:p>
      <w:pPr>
        <w:spacing w:after="0" w:line="200"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69" w:name="page70"/>
    <w:bookmarkEnd w:id="69"/>
    <w:p>
      <w:pPr>
        <w:ind w:left="36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00" w:lineRule="exact"/>
        <w:rPr>
          <w:sz w:val="20"/>
          <w:szCs w:val="20"/>
          <w:color w:val="auto"/>
        </w:rPr>
      </w:pPr>
    </w:p>
    <w:p>
      <w:pPr>
        <w:ind w:firstLine="433"/>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4"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beneficial ownership of our ordinary shares as of April 1, 2013 by:</w:t>
      </w:r>
    </w:p>
    <w:p>
      <w:pPr>
        <w:spacing w:after="0" w:line="200" w:lineRule="exact"/>
        <w:rPr>
          <w:sz w:val="20"/>
          <w:szCs w:val="20"/>
          <w:color w:val="auto"/>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person, or group of affiliated persons, known to us to be the beneficial owner of more than 5% of our outstanding ordinary shares;</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of our directors and executive officers; and</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all of our directors and executive officers as a group.</w:t>
      </w:r>
    </w:p>
    <w:p>
      <w:pPr>
        <w:spacing w:after="0" w:line="200" w:lineRule="exact"/>
        <w:rPr>
          <w:sz w:val="20"/>
          <w:szCs w:val="20"/>
          <w:color w:val="auto"/>
        </w:rPr>
      </w:pPr>
    </w:p>
    <w:p>
      <w:pPr>
        <w:ind w:right="60" w:firstLine="577"/>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April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April 1, 2013.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8" w:lineRule="exact"/>
        <w:rPr>
          <w:sz w:val="20"/>
          <w:szCs w:val="20"/>
          <w:color w:val="auto"/>
        </w:rPr>
      </w:pPr>
    </w:p>
    <w:p>
      <w:pPr>
        <w:ind w:right="280" w:firstLine="577"/>
        <w:spacing w:after="0" w:line="319" w:lineRule="auto"/>
        <w:rPr>
          <w:sz w:val="20"/>
          <w:szCs w:val="20"/>
          <w:color w:val="auto"/>
        </w:rPr>
      </w:pPr>
      <w:r>
        <w:rPr>
          <w:rFonts w:ascii="Arial" w:cs="Arial" w:eastAsia="Arial" w:hAnsi="Arial"/>
          <w:sz w:val="14"/>
          <w:szCs w:val="14"/>
          <w:color w:val="auto"/>
        </w:rPr>
        <w:t>As of April 1,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27" w:lineRule="exact"/>
        <w:rPr>
          <w:sz w:val="20"/>
          <w:szCs w:val="20"/>
          <w:color w:val="auto"/>
        </w:rPr>
      </w:pPr>
    </w:p>
    <w:p>
      <w:pPr>
        <w:ind w:right="20" w:firstLine="577"/>
        <w:spacing w:after="0" w:line="264"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35 Ehad Ha-Am Street, Tel Aviv 65202, Israel.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 of Shares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gridSpan w:val="3"/>
          </w:tcPr>
          <w:p>
            <w:pPr>
              <w:jc w:val="center"/>
              <w:ind w:left="1340"/>
              <w:spacing w:after="0"/>
              <w:rPr>
                <w:sz w:val="20"/>
                <w:szCs w:val="20"/>
                <w:color w:val="auto"/>
              </w:rPr>
            </w:pPr>
            <w:r>
              <w:rPr>
                <w:rFonts w:ascii="Arial" w:cs="Arial" w:eastAsia="Arial" w:hAnsi="Arial"/>
                <w:sz w:val="16"/>
                <w:szCs w:val="16"/>
                <w:b w:val="1"/>
                <w:bCs w:val="1"/>
                <w:color w:val="auto"/>
                <w:w w:val="91"/>
              </w:rPr>
              <w:t>Beneficially Owned</w:t>
            </w: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Percentage Owned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Prior to this</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Before this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Percentage 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After this Offering</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Holders of more than 5% of our voting securities: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Udi Gilboa</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2,734,927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34.7%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color w:val="auto"/>
              </w:rPr>
              <w:t>Dr. Dalia Megiddo</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2,803,817</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35.5%</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Hadasit Medical Research Services &amp; Development Ltd.</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750,667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Directors and executive officers who are not 5% holders: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Dr. Yaron Daniely (1)</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173,532</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FFCC"/>
          </w:tcPr>
          <w:p>
            <w:pPr>
              <w:spacing w:after="0" w:line="176"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52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(4 persons)</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5,712,276</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700" w:right="40" w:hanging="584"/>
        <w:spacing w:after="0" w:line="259"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April 1, 2013 to purchase 173,532 ordinary shares (which have an exercise price of $0.328 per share and expire in November 15, 2020). Does not include the following options not currently exercisable: 78,878 options that are time-vested, 88,050 options that become exercisable upon an initial public offering or an acquisition of the Company and 89,553 options that become exercisable upon an initial public offering or an acquisition of the Company. The options were granted under our 2010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6"/>
          <w:szCs w:val="16"/>
          <w:b w:val="1"/>
          <w:bCs w:val="1"/>
          <w:color w:val="auto"/>
        </w:rPr>
        <w:t>DESCRIPTION OF SHARE CAPITAL</w:t>
      </w:r>
    </w:p>
    <w:p>
      <w:pPr>
        <w:spacing w:after="0" w:line="204" w:lineRule="exact"/>
        <w:rPr>
          <w:sz w:val="20"/>
          <w:szCs w:val="20"/>
          <w:color w:val="auto"/>
        </w:rPr>
      </w:pPr>
    </w:p>
    <w:p>
      <w:pPr>
        <w:ind w:right="780" w:firstLine="360"/>
        <w:spacing w:after="0" w:line="277"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Warrants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April 1, 2013, we had the following warrants outstanding:</w:t>
      </w:r>
    </w:p>
    <w:p>
      <w:pPr>
        <w:spacing w:after="0" w:line="200" w:lineRule="exact"/>
        <w:rPr>
          <w:sz w:val="20"/>
          <w:szCs w:val="20"/>
          <w:color w:val="auto"/>
        </w:rPr>
      </w:pPr>
    </w:p>
    <w:p>
      <w:pPr>
        <w:ind w:left="360" w:right="200" w:hanging="4"/>
        <w:spacing w:after="0" w:line="277" w:lineRule="auto"/>
        <w:tabs>
          <w:tab w:leader="none" w:pos="64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 xml:space="preserve">Warrants issued to professional advisor. </w:t>
      </w:r>
      <w:r>
        <w:rPr>
          <w:rFonts w:ascii="Arial" w:cs="Arial" w:eastAsia="Arial" w:hAnsi="Arial"/>
          <w:sz w:val="16"/>
          <w:szCs w:val="16"/>
          <w:color w:val="auto"/>
        </w:rPr>
        <w:t>As consideration for certain professional services, on April 2, 2008, we issued to certain advisors warrants to 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58,700 ordinary shares at an exercise price of NIS 0.01 per share. These warrants shall expire on April 2, 2018.</w:t>
      </w:r>
    </w:p>
    <w:p>
      <w:pPr>
        <w:spacing w:after="0" w:line="151" w:lineRule="exact"/>
        <w:rPr>
          <w:rFonts w:ascii="Arial" w:cs="Arial" w:eastAsia="Arial" w:hAnsi="Arial"/>
          <w:sz w:val="16"/>
          <w:szCs w:val="16"/>
          <w:color w:val="A6A6A6"/>
        </w:rPr>
      </w:pPr>
    </w:p>
    <w:p>
      <w:pPr>
        <w:ind w:left="360" w:hanging="4"/>
        <w:spacing w:after="0" w:line="259" w:lineRule="auto"/>
        <w:tabs>
          <w:tab w:leader="none" w:pos="68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Warrants issued in the February 2010 Preferred B Subscription Agreement</w:t>
      </w:r>
      <w:r>
        <w:rPr>
          <w:rFonts w:ascii="Arial" w:cs="Arial" w:eastAsia="Arial" w:hAnsi="Arial"/>
          <w:sz w:val="16"/>
          <w:szCs w:val="16"/>
          <w:color w:val="auto"/>
        </w:rPr>
        <w:t>. In connection with the February 2010 Preferred B Subscription Agreement, 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below, we issued to the investors warrants to purchase up to 129,257 series B3 preferred shares at an exercise price of $2.73 per share. The warrants are currently exercisable into ordinary shares. These warrants shall expire immediately prior to the closing of this offering and are expected to be exercised on a cashless basis contingent upon the closing of this offering.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History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history of our share capital for the last three years.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Share Options. </w:t>
      </w:r>
      <w:r>
        <w:rPr>
          <w:rFonts w:ascii="Arial" w:cs="Arial" w:eastAsia="Arial" w:hAnsi="Arial"/>
          <w:sz w:val="16"/>
          <w:szCs w:val="16"/>
          <w:color w:val="auto"/>
        </w:rPr>
        <w:t>Since January 1, 2010, we have issued 292,531 ordinary shares upon the exercise of share options.</w:t>
      </w:r>
    </w:p>
    <w:p>
      <w:pPr>
        <w:spacing w:after="0" w:line="200" w:lineRule="exact"/>
        <w:rPr>
          <w:sz w:val="20"/>
          <w:szCs w:val="20"/>
          <w:color w:val="auto"/>
        </w:rPr>
      </w:pPr>
    </w:p>
    <w:p>
      <w:pPr>
        <w:ind w:right="100" w:firstLine="577"/>
        <w:spacing w:after="0" w:line="319" w:lineRule="auto"/>
        <w:rPr>
          <w:sz w:val="20"/>
          <w:szCs w:val="20"/>
          <w:color w:val="auto"/>
        </w:rPr>
      </w:pPr>
      <w:r>
        <w:rPr>
          <w:rFonts w:ascii="Arial" w:cs="Arial" w:eastAsia="Arial" w:hAnsi="Arial"/>
          <w:sz w:val="14"/>
          <w:szCs w:val="14"/>
          <w:i w:val="1"/>
          <w:iCs w:val="1"/>
          <w:color w:val="auto"/>
        </w:rPr>
        <w:t>February 2010 Preferred B Subscription Agreement</w:t>
      </w:r>
      <w:r>
        <w:rPr>
          <w:rFonts w:ascii="Arial" w:cs="Arial" w:eastAsia="Arial" w:hAnsi="Arial"/>
          <w:sz w:val="14"/>
          <w:szCs w:val="14"/>
          <w:color w:val="auto"/>
        </w:rPr>
        <w:t>. On February 28, 2010, we closed the February 2010 Preferred B Subscription Agreement, pursuant to which we</w:t>
      </w:r>
      <w:r>
        <w:rPr>
          <w:rFonts w:ascii="Arial" w:cs="Arial" w:eastAsia="Arial" w:hAnsi="Arial"/>
          <w:sz w:val="14"/>
          <w:szCs w:val="14"/>
          <w:i w:val="1"/>
          <w:iCs w:val="1"/>
          <w:color w:val="auto"/>
        </w:rPr>
        <w:t xml:space="preserve"> </w:t>
      </w:r>
      <w:r>
        <w:rPr>
          <w:rFonts w:ascii="Arial" w:cs="Arial" w:eastAsia="Arial" w:hAnsi="Arial"/>
          <w:sz w:val="14"/>
          <w:szCs w:val="14"/>
          <w:color w:val="auto"/>
        </w:rPr>
        <w:t>sold an aggregate of 397,698 series B1 preferred shares, and an aggregate of 128,512 series B2 preferred shares, at a price of $2.18 per share and issued warrants to purchase up to an aggregate of 129,257 series B3 preferred shares with an exercise price of $2.73 per share, which shall expire immediately prior to the closing of this offering.</w:t>
      </w:r>
    </w:p>
    <w:p>
      <w:pPr>
        <w:spacing w:after="0" w:line="127" w:lineRule="exact"/>
        <w:rPr>
          <w:sz w:val="20"/>
          <w:szCs w:val="20"/>
          <w:color w:val="auto"/>
        </w:rPr>
      </w:pPr>
    </w:p>
    <w:p>
      <w:pPr>
        <w:ind w:right="260" w:firstLine="577"/>
        <w:spacing w:after="0" w:line="277" w:lineRule="auto"/>
        <w:rPr>
          <w:sz w:val="20"/>
          <w:szCs w:val="20"/>
          <w:color w:val="auto"/>
        </w:rPr>
      </w:pPr>
      <w:r>
        <w:rPr>
          <w:rFonts w:ascii="Arial" w:cs="Arial" w:eastAsia="Arial" w:hAnsi="Arial"/>
          <w:sz w:val="16"/>
          <w:szCs w:val="16"/>
          <w:i w:val="1"/>
          <w:iCs w:val="1"/>
          <w:color w:val="auto"/>
        </w:rPr>
        <w:t xml:space="preserve">February 2011 Share Purchase Agreement. </w:t>
      </w:r>
      <w:r>
        <w:rPr>
          <w:rFonts w:ascii="Arial" w:cs="Arial" w:eastAsia="Arial" w:hAnsi="Arial"/>
          <w:sz w:val="16"/>
          <w:szCs w:val="16"/>
          <w:color w:val="auto"/>
        </w:rPr>
        <w:t>On March 24, 2011, we closed the February 2011 Share Purchase Agreement, pursuant to which we sold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304,324 of our ordinary shares at a price of $11.50 per share.</w:t>
      </w:r>
    </w:p>
    <w:p>
      <w:pPr>
        <w:spacing w:after="0" w:line="152" w:lineRule="exact"/>
        <w:rPr>
          <w:sz w:val="20"/>
          <w:szCs w:val="20"/>
          <w:color w:val="auto"/>
        </w:rPr>
      </w:pPr>
    </w:p>
    <w:p>
      <w:pPr>
        <w:ind w:right="400" w:firstLine="577"/>
        <w:spacing w:after="0" w:line="264"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 March 24, 2011,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2" w:lineRule="exact"/>
        <w:rPr>
          <w:sz w:val="20"/>
          <w:szCs w:val="20"/>
          <w:color w:val="auto"/>
        </w:rPr>
      </w:pPr>
    </w:p>
    <w:p>
      <w:pPr>
        <w:jc w:val="both"/>
        <w:ind w:right="160" w:firstLine="577"/>
        <w:spacing w:after="0" w:line="264" w:lineRule="auto"/>
        <w:rPr>
          <w:sz w:val="20"/>
          <w:szCs w:val="20"/>
          <w:color w:val="auto"/>
        </w:rPr>
      </w:pPr>
      <w:r>
        <w:rPr>
          <w:rFonts w:ascii="Arial" w:cs="Arial" w:eastAsia="Arial" w:hAnsi="Arial"/>
          <w:sz w:val="16"/>
          <w:szCs w:val="16"/>
          <w:i w:val="1"/>
          <w:iCs w:val="1"/>
          <w:color w:val="auto"/>
        </w:rPr>
        <w:t>2012 Convertible Notes</w:t>
      </w:r>
      <w:r>
        <w:rPr>
          <w:rFonts w:ascii="Arial" w:cs="Arial" w:eastAsia="Arial" w:hAnsi="Arial"/>
          <w:sz w:val="16"/>
          <w:szCs w:val="16"/>
          <w:color w:val="auto"/>
        </w:rPr>
        <w:t>. During 2012, we issued convertible notes for a total principal amount of $600,000. According to the terms of the convertible notes,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bearing an annual interest rate of 6%, shall be automatically converted into ordinary shares as of immediately after closing of this offering, at a 25% discount from the initial public offering price.</w:t>
      </w:r>
    </w:p>
    <w:p>
      <w:pPr>
        <w:spacing w:after="0" w:line="162" w:lineRule="exact"/>
        <w:rPr>
          <w:sz w:val="20"/>
          <w:szCs w:val="20"/>
          <w:color w:val="auto"/>
        </w:rPr>
      </w:pPr>
    </w:p>
    <w:p>
      <w:pPr>
        <w:jc w:val="both"/>
        <w:ind w:right="80" w:firstLine="577"/>
        <w:spacing w:after="0" w:line="264" w:lineRule="auto"/>
        <w:rPr>
          <w:sz w:val="20"/>
          <w:szCs w:val="20"/>
          <w:color w:val="auto"/>
        </w:rPr>
      </w:pPr>
      <w:r>
        <w:rPr>
          <w:rFonts w:ascii="Arial" w:cs="Arial" w:eastAsia="Arial" w:hAnsi="Arial"/>
          <w:sz w:val="16"/>
          <w:szCs w:val="16"/>
          <w:i w:val="1"/>
          <w:iCs w:val="1"/>
          <w:color w:val="auto"/>
        </w:rPr>
        <w:t xml:space="preserve">2013 Convertible Notes. </w:t>
      </w:r>
      <w:r>
        <w:rPr>
          <w:rFonts w:ascii="Arial" w:cs="Arial" w:eastAsia="Arial" w:hAnsi="Arial"/>
          <w:sz w:val="16"/>
          <w:szCs w:val="16"/>
          <w:color w:val="auto"/>
        </w:rPr>
        <w:t>In February 2013 we issued to certain of our existing shareholders additional convertible notes for an aggregate principal amount of $115,000.</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ordinary shares have one vote for each ordinary share held on all matters submitted to a vote before the shareholders at a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04" w:lineRule="exact"/>
        <w:rPr>
          <w:sz w:val="20"/>
          <w:szCs w:val="20"/>
          <w:color w:val="auto"/>
        </w:rPr>
      </w:pPr>
    </w:p>
    <w:p>
      <w:pPr>
        <w:ind w:right="340" w:firstLine="360"/>
        <w:spacing w:after="0" w:line="259"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7" w:lineRule="exact"/>
        <w:rPr>
          <w:sz w:val="20"/>
          <w:szCs w:val="20"/>
          <w:color w:val="auto"/>
        </w:rPr>
      </w:pPr>
    </w:p>
    <w:p>
      <w:pPr>
        <w:ind w:right="40" w:firstLine="360"/>
        <w:spacing w:after="0" w:line="255"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4" w:lineRule="exact"/>
        <w:rPr>
          <w:sz w:val="20"/>
          <w:szCs w:val="20"/>
          <w:color w:val="auto"/>
        </w:rPr>
      </w:pPr>
    </w:p>
    <w:p>
      <w:pPr>
        <w:ind w:right="80" w:firstLine="360"/>
        <w:spacing w:after="0" w:line="351"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04" w:lineRule="exact"/>
        <w:rPr>
          <w:sz w:val="20"/>
          <w:szCs w:val="20"/>
          <w:color w:val="auto"/>
        </w:rPr>
      </w:pPr>
    </w:p>
    <w:p>
      <w:pPr>
        <w:ind w:right="440" w:firstLine="360"/>
        <w:spacing w:after="0" w:line="259"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7"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6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Exchange Controls</w:t>
      </w:r>
    </w:p>
    <w:p>
      <w:pPr>
        <w:spacing w:after="0" w:line="204" w:lineRule="exact"/>
        <w:rPr>
          <w:sz w:val="20"/>
          <w:szCs w:val="20"/>
          <w:color w:val="auto"/>
        </w:rPr>
      </w:pPr>
    </w:p>
    <w:p>
      <w:pPr>
        <w:ind w:right="480" w:firstLine="360"/>
        <w:spacing w:after="0" w:line="312"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Meetings</w:t>
      </w:r>
    </w:p>
    <w:p>
      <w:pPr>
        <w:spacing w:after="0" w:line="204" w:lineRule="exact"/>
        <w:rPr>
          <w:sz w:val="20"/>
          <w:szCs w:val="20"/>
          <w:color w:val="auto"/>
        </w:rPr>
      </w:pPr>
    </w:p>
    <w:p>
      <w:pPr>
        <w:jc w:val="both"/>
        <w:ind w:right="40" w:firstLine="360"/>
        <w:spacing w:after="0" w:line="302"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4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46" w:lineRule="exact"/>
        <w:rPr>
          <w:sz w:val="20"/>
          <w:szCs w:val="20"/>
          <w:color w:val="auto"/>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amendments to our amended and restated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or termination of our auditors;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of external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approval of acts and transactions involving related parties, as defined by the Israeli Companies Law;</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increases or reductions of our authorized share capital;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 merger.</w:t>
      </w:r>
    </w:p>
    <w:p>
      <w:pPr>
        <w:spacing w:after="0" w:line="39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6"/>
          <w:szCs w:val="16"/>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6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Under the Israeli Companies Law and our amended and restated articles of association, our shareholders are not permitted to take action via written consent in lieu of a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4" w:name="page75"/>
    <w:bookmarkEnd w:id="74"/>
    <w:p>
      <w:pPr>
        <w:ind w:left="36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200" w:lineRule="exact"/>
        <w:rPr>
          <w:sz w:val="20"/>
          <w:szCs w:val="20"/>
          <w:color w:val="auto"/>
        </w:rPr>
      </w:pPr>
    </w:p>
    <w:p>
      <w:pPr>
        <w:ind w:firstLine="360"/>
        <w:spacing w:after="0" w:line="295"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47" w:lineRule="exact"/>
        <w:rPr>
          <w:sz w:val="20"/>
          <w:szCs w:val="20"/>
          <w:color w:val="auto"/>
        </w:rPr>
      </w:pPr>
    </w:p>
    <w:p>
      <w:pPr>
        <w:jc w:val="both"/>
        <w:ind w:right="20" w:firstLine="360"/>
        <w:spacing w:after="0" w:line="289" w:lineRule="auto"/>
        <w:rPr>
          <w:sz w:val="20"/>
          <w:szCs w:val="20"/>
          <w:color w:val="auto"/>
        </w:rPr>
      </w:pPr>
      <w:r>
        <w:rPr>
          <w:rFonts w:ascii="Arial" w:cs="Arial" w:eastAsia="Arial" w:hAnsi="Arial"/>
          <w:sz w:val="15"/>
          <w:szCs w:val="15"/>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6"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52" w:lineRule="exact"/>
        <w:rPr>
          <w:sz w:val="20"/>
          <w:szCs w:val="20"/>
          <w:color w:val="auto"/>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or removal of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transactions with office holders or interested or related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 merger;</w:t>
      </w:r>
    </w:p>
    <w:p>
      <w:pPr>
        <w:spacing w:after="0" w:line="200" w:lineRule="exact"/>
        <w:rPr>
          <w:rFonts w:ascii="Arial" w:cs="Arial" w:eastAsia="Arial" w:hAnsi="Arial"/>
          <w:sz w:val="16"/>
          <w:szCs w:val="16"/>
          <w:color w:val="A6A6A6"/>
        </w:rPr>
      </w:pPr>
    </w:p>
    <w:p>
      <w:pPr>
        <w:ind w:left="360" w:right="48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an arrangement or reorganization of the Company pursuant to Section 350 of the Israeli Companies Law; and</w:t>
      </w:r>
    </w:p>
    <w:p>
      <w:pPr>
        <w:spacing w:after="0" w:line="200" w:lineRule="exact"/>
        <w:rPr>
          <w:rFonts w:ascii="Arial" w:cs="Arial" w:eastAsia="Arial" w:hAnsi="Arial"/>
          <w:sz w:val="16"/>
          <w:szCs w:val="16"/>
          <w:color w:val="A6A6A6"/>
        </w:rPr>
      </w:pPr>
    </w:p>
    <w:p>
      <w:pPr>
        <w:ind w:left="360" w:right="6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44" w:lineRule="exact"/>
        <w:rPr>
          <w:sz w:val="20"/>
          <w:szCs w:val="20"/>
          <w:color w:val="auto"/>
        </w:rPr>
      </w:pPr>
    </w:p>
    <w:p>
      <w:pPr>
        <w:ind w:right="660" w:firstLine="360"/>
        <w:spacing w:after="0" w:line="312" w:lineRule="auto"/>
        <w:rPr>
          <w:sz w:val="20"/>
          <w:szCs w:val="20"/>
          <w:color w:val="auto"/>
        </w:rPr>
      </w:pPr>
      <w:r>
        <w:rPr>
          <w:rFonts w:ascii="Arial" w:cs="Arial" w:eastAsia="Arial" w:hAnsi="Arial"/>
          <w:sz w:val="15"/>
          <w:szCs w:val="15"/>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8"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200" w:lineRule="exact"/>
        <w:rPr>
          <w:sz w:val="20"/>
          <w:szCs w:val="20"/>
          <w:color w:val="auto"/>
        </w:rPr>
      </w:pPr>
    </w:p>
    <w:p>
      <w:pPr>
        <w:ind w:right="60" w:firstLine="360"/>
        <w:spacing w:after="0" w:line="278" w:lineRule="auto"/>
        <w:rPr>
          <w:sz w:val="20"/>
          <w:szCs w:val="20"/>
          <w:color w:val="auto"/>
        </w:rPr>
      </w:pPr>
      <w:r>
        <w:rPr>
          <w:rFonts w:ascii="Arial" w:cs="Arial" w:eastAsia="Arial" w:hAnsi="Arial"/>
          <w:sz w:val="15"/>
          <w:szCs w:val="15"/>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5" w:name="page76"/>
    <w:bookmarkEnd w:id="75"/>
    <w:p>
      <w:pPr>
        <w:ind w:left="360"/>
        <w:spacing w:after="0"/>
        <w:rPr>
          <w:sz w:val="20"/>
          <w:szCs w:val="20"/>
          <w:color w:val="auto"/>
        </w:rPr>
      </w:pPr>
      <w:r>
        <w:rPr>
          <w:rFonts w:ascii="Arial" w:cs="Arial" w:eastAsia="Arial" w:hAnsi="Arial"/>
          <w:sz w:val="16"/>
          <w:szCs w:val="16"/>
          <w:b w:val="1"/>
          <w:bCs w:val="1"/>
          <w:color w:val="auto"/>
        </w:rPr>
        <w:t>Modification of Class Rights</w:t>
      </w:r>
    </w:p>
    <w:p>
      <w:pPr>
        <w:spacing w:after="0" w:line="204"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Acquisitions under Israeli Law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00" w:lineRule="exact"/>
        <w:rPr>
          <w:sz w:val="20"/>
          <w:szCs w:val="20"/>
          <w:color w:val="auto"/>
        </w:rPr>
      </w:pPr>
    </w:p>
    <w:p>
      <w:pPr>
        <w:ind w:right="60" w:firstLine="360"/>
        <w:spacing w:after="0" w:line="271" w:lineRule="auto"/>
        <w:rPr>
          <w:sz w:val="20"/>
          <w:szCs w:val="20"/>
          <w:color w:val="auto"/>
        </w:rPr>
      </w:pPr>
      <w:r>
        <w:rPr>
          <w:rFonts w:ascii="Arial" w:cs="Arial" w:eastAsia="Arial" w:hAnsi="Arial"/>
          <w:sz w:val="15"/>
          <w:szCs w:val="15"/>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0"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6" w:name="page77"/>
    <w:bookmarkEnd w:id="76"/>
    <w:p>
      <w:pPr>
        <w:ind w:right="20" w:firstLine="360"/>
        <w:spacing w:after="0" w:line="289"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Merger</w:t>
      </w:r>
    </w:p>
    <w:p>
      <w:pPr>
        <w:spacing w:after="0" w:line="20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62"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6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62" w:lineRule="exact"/>
        <w:rPr>
          <w:sz w:val="20"/>
          <w:szCs w:val="20"/>
          <w:color w:val="auto"/>
        </w:rPr>
      </w:pPr>
    </w:p>
    <w:p>
      <w:pPr>
        <w:ind w:right="300" w:firstLine="360"/>
        <w:spacing w:after="0" w:line="351" w:lineRule="auto"/>
        <w:rPr>
          <w:sz w:val="20"/>
          <w:szCs w:val="20"/>
          <w:color w:val="auto"/>
        </w:rPr>
      </w:pPr>
      <w:r>
        <w:rPr>
          <w:rFonts w:ascii="Arial" w:cs="Arial" w:eastAsia="Arial" w:hAnsi="Arial"/>
          <w:sz w:val="14"/>
          <w:szCs w:val="14"/>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204"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Changes in Capital</w:t>
      </w:r>
    </w:p>
    <w:p>
      <w:pPr>
        <w:spacing w:after="0" w:line="204"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transfer agent in the United States will be Continental Stock Transfer &amp; Trust Company.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204" w:lineRule="exact"/>
        <w:rPr>
          <w:sz w:val="20"/>
          <w:szCs w:val="20"/>
          <w:color w:val="auto"/>
        </w:rPr>
      </w:pPr>
    </w:p>
    <w:p>
      <w:pPr>
        <w:ind w:right="100" w:firstLine="360"/>
        <w:spacing w:after="0" w:line="299" w:lineRule="auto"/>
        <w:rPr>
          <w:sz w:val="20"/>
          <w:szCs w:val="20"/>
          <w:color w:val="auto"/>
        </w:rPr>
      </w:pPr>
      <w:r>
        <w:rPr>
          <w:rFonts w:ascii="Arial" w:cs="Arial" w:eastAsia="Arial" w:hAnsi="Arial"/>
          <w:sz w:val="14"/>
          <w:szCs w:val="14"/>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9,345,514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42" w:lineRule="exact"/>
        <w:rPr>
          <w:sz w:val="20"/>
          <w:szCs w:val="20"/>
          <w:color w:val="auto"/>
        </w:rPr>
      </w:pPr>
    </w:p>
    <w:p>
      <w:pPr>
        <w:ind w:right="120" w:firstLine="360"/>
        <w:spacing w:after="0" w:line="289" w:lineRule="auto"/>
        <w:rPr>
          <w:sz w:val="20"/>
          <w:szCs w:val="20"/>
          <w:color w:val="auto"/>
        </w:rPr>
      </w:pPr>
      <w:r>
        <w:rPr>
          <w:rFonts w:ascii="Arial" w:cs="Arial" w:eastAsia="Arial" w:hAnsi="Arial"/>
          <w:sz w:val="15"/>
          <w:szCs w:val="15"/>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04"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180-day lock-up period described in the preceding paragraph will be extended if:</w:t>
      </w:r>
    </w:p>
    <w:p>
      <w:pPr>
        <w:spacing w:after="0" w:line="200" w:lineRule="exact"/>
        <w:rPr>
          <w:sz w:val="20"/>
          <w:szCs w:val="20"/>
          <w:color w:val="auto"/>
        </w:rPr>
      </w:pPr>
    </w:p>
    <w:p>
      <w:pPr>
        <w:ind w:left="900" w:hanging="339"/>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last 17 days of the 180-day lock-up period, we release earnings results or announce material news or a material event; or</w:t>
      </w:r>
    </w:p>
    <w:p>
      <w:pPr>
        <w:spacing w:after="0" w:line="200" w:lineRule="exact"/>
        <w:rPr>
          <w:rFonts w:ascii="Arial" w:cs="Arial" w:eastAsia="Arial" w:hAnsi="Arial"/>
          <w:sz w:val="16"/>
          <w:szCs w:val="16"/>
          <w:color w:val="auto"/>
        </w:rPr>
      </w:pPr>
    </w:p>
    <w:p>
      <w:pPr>
        <w:ind w:left="900" w:right="120" w:hanging="339"/>
        <w:spacing w:after="0" w:line="277"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of the 180-day lock-up period, we announce that we will release earnings results during the 15-day period following the last day of the 180-day period,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04" w:lineRule="exact"/>
        <w:rPr>
          <w:sz w:val="20"/>
          <w:szCs w:val="20"/>
          <w:color w:val="auto"/>
        </w:rPr>
      </w:pPr>
    </w:p>
    <w:p>
      <w:pPr>
        <w:ind w:firstLine="392"/>
        <w:spacing w:after="0" w:line="282"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5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6"/>
          <w:szCs w:val="16"/>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62" w:lineRule="exact"/>
        <w:rPr>
          <w:sz w:val="20"/>
          <w:szCs w:val="20"/>
          <w:color w:val="auto"/>
        </w:rPr>
      </w:pPr>
    </w:p>
    <w:p>
      <w:pPr>
        <w:ind w:left="720" w:hanging="364"/>
        <w:spacing w:after="0"/>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one percent of the number of ordinary shares then outstanding, which will equal 93,455 shares; or</w:t>
      </w:r>
    </w:p>
    <w:p>
      <w:pPr>
        <w:spacing w:after="0" w:line="200" w:lineRule="exact"/>
        <w:rPr>
          <w:rFonts w:ascii="Arial" w:cs="Arial" w:eastAsia="Arial" w:hAnsi="Arial"/>
          <w:sz w:val="16"/>
          <w:szCs w:val="16"/>
          <w:color w:val="A6A6A6"/>
        </w:rPr>
      </w:pPr>
    </w:p>
    <w:p>
      <w:pPr>
        <w:ind w:left="720" w:right="620" w:hanging="364"/>
        <w:spacing w:after="0" w:line="277" w:lineRule="auto"/>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the average weekly trading volume of our ordinary shares on the NASDAQ Capital Market during the four calendar weeks preceding the filing of a notice on Form 144 with respect to the sale.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affiliate acquires “restricted securities,” those securities will also be subject to holding period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9" w:name="page80"/>
    <w:bookmarkEnd w:id="79"/>
    <w:p>
      <w:pPr>
        <w:ind w:right="220" w:firstLine="392"/>
        <w:spacing w:after="0" w:line="277" w:lineRule="auto"/>
        <w:rPr>
          <w:sz w:val="20"/>
          <w:szCs w:val="20"/>
          <w:color w:val="auto"/>
        </w:rPr>
      </w:pPr>
      <w:r>
        <w:rPr>
          <w:rFonts w:ascii="Arial" w:cs="Arial" w:eastAsia="Arial" w:hAnsi="Arial"/>
          <w:sz w:val="16"/>
          <w:szCs w:val="16"/>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Statements</w:t>
      </w:r>
    </w:p>
    <w:p>
      <w:pPr>
        <w:spacing w:after="0" w:line="204"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TAXATION</w:t>
      </w:r>
    </w:p>
    <w:p>
      <w:pPr>
        <w:spacing w:after="0" w:line="204"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ISRAELI TAX CONSIDERATIONS</w:t>
      </w:r>
    </w:p>
    <w:p>
      <w:pPr>
        <w:spacing w:after="0" w:line="20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such as the Company, are generally subject to corporate tax at the rate of 25% of their taxable income in 2013.</w:t>
      </w:r>
    </w:p>
    <w:p>
      <w:pPr>
        <w:spacing w:after="0" w:line="200"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our Israeli individual shareholders on receipt of dividends</w:t>
      </w:r>
    </w:p>
    <w:p>
      <w:pPr>
        <w:spacing w:after="0" w:line="20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2"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2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1" w:name="page82"/>
    <w:bookmarkEnd w:id="81"/>
    <w:p>
      <w:pPr>
        <w:ind w:left="360"/>
        <w:spacing w:after="0"/>
        <w:rPr>
          <w:sz w:val="20"/>
          <w:szCs w:val="20"/>
          <w:color w:val="auto"/>
        </w:rPr>
      </w:pPr>
      <w:r>
        <w:rPr>
          <w:rFonts w:ascii="Arial" w:cs="Arial" w:eastAsia="Arial" w:hAnsi="Arial"/>
          <w:sz w:val="16"/>
          <w:szCs w:val="16"/>
          <w:b w:val="1"/>
          <w:bCs w:val="1"/>
          <w:i w:val="1"/>
          <w:iCs w:val="1"/>
          <w:color w:val="auto"/>
        </w:rPr>
        <w:t>Taxation of Israeli Resident Corporations on Receipt of Dividends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Taxes Applicable to Israeli Resident Shareholders</w:t>
      </w:r>
    </w:p>
    <w:p>
      <w:pPr>
        <w:spacing w:after="0" w:line="200"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68"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Non-Israeli Shareholders on Receipt of Dividends</w:t>
      </w:r>
    </w:p>
    <w:p>
      <w:pPr>
        <w:spacing w:after="0" w:line="20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2" w:lineRule="exact"/>
        <w:rPr>
          <w:sz w:val="20"/>
          <w:szCs w:val="20"/>
          <w:color w:val="auto"/>
        </w:rPr>
      </w:pPr>
    </w:p>
    <w:p>
      <w:pPr>
        <w:ind w:right="200" w:firstLine="360"/>
        <w:spacing w:after="0" w:line="312" w:lineRule="auto"/>
        <w:rPr>
          <w:sz w:val="20"/>
          <w:szCs w:val="20"/>
          <w:color w:val="auto"/>
        </w:rPr>
      </w:pPr>
      <w:r>
        <w:rPr>
          <w:rFonts w:ascii="Arial" w:cs="Arial" w:eastAsia="Arial" w:hAnsi="Arial"/>
          <w:sz w:val="15"/>
          <w:szCs w:val="15"/>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28" w:lineRule="exact"/>
        <w:rPr>
          <w:sz w:val="20"/>
          <w:szCs w:val="20"/>
          <w:color w:val="auto"/>
        </w:rPr>
      </w:pPr>
    </w:p>
    <w:p>
      <w:pPr>
        <w:ind w:right="40" w:firstLine="360"/>
        <w:spacing w:after="0" w:line="302"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income taxes applicable to non-Israeli shareholders.</w:t>
      </w:r>
    </w:p>
    <w:p>
      <w:pPr>
        <w:spacing w:after="0" w:line="200" w:lineRule="exact"/>
        <w:rPr>
          <w:sz w:val="20"/>
          <w:szCs w:val="20"/>
          <w:color w:val="auto"/>
        </w:rPr>
      </w:pPr>
    </w:p>
    <w:p>
      <w:pPr>
        <w:ind w:firstLine="360"/>
        <w:spacing w:after="0" w:line="308" w:lineRule="auto"/>
        <w:rPr>
          <w:sz w:val="20"/>
          <w:szCs w:val="20"/>
          <w:color w:val="auto"/>
        </w:rPr>
      </w:pPr>
      <w:r>
        <w:rPr>
          <w:rFonts w:ascii="Arial" w:cs="Arial" w:eastAsia="Arial" w:hAnsi="Arial"/>
          <w:sz w:val="14"/>
          <w:szCs w:val="14"/>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35" w:lineRule="exact"/>
        <w:rPr>
          <w:sz w:val="20"/>
          <w:szCs w:val="20"/>
          <w:color w:val="auto"/>
        </w:rPr>
      </w:pPr>
    </w:p>
    <w:p>
      <w:pPr>
        <w:ind w:right="60" w:firstLine="360"/>
        <w:spacing w:after="0" w:line="297" w:lineRule="auto"/>
        <w:rPr>
          <w:sz w:val="20"/>
          <w:szCs w:val="20"/>
          <w:color w:val="auto"/>
        </w:rPr>
      </w:pPr>
      <w:r>
        <w:rPr>
          <w:rFonts w:ascii="Arial" w:cs="Arial" w:eastAsia="Arial" w:hAnsi="Arial"/>
          <w:sz w:val="14"/>
          <w:szCs w:val="14"/>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2" w:name="page83"/>
    <w:bookmarkEnd w:id="82"/>
    <w:p>
      <w:pPr>
        <w:jc w:val="both"/>
        <w:ind w:right="80" w:firstLine="360"/>
        <w:spacing w:after="0" w:line="264" w:lineRule="auto"/>
        <w:rPr>
          <w:sz w:val="20"/>
          <w:szCs w:val="20"/>
          <w:color w:val="auto"/>
        </w:rPr>
      </w:pPr>
      <w:r>
        <w:rPr>
          <w:rFonts w:ascii="Arial" w:cs="Arial" w:eastAsia="Arial" w:hAnsi="Arial"/>
          <w:sz w:val="16"/>
          <w:szCs w:val="16"/>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96" w:lineRule="exact"/>
        <w:rPr>
          <w:sz w:val="20"/>
          <w:szCs w:val="20"/>
          <w:color w:val="auto"/>
        </w:rPr>
      </w:pPr>
    </w:p>
    <w:p>
      <w:pPr>
        <w:ind w:right="200" w:firstLine="360"/>
        <w:spacing w:after="0" w:line="266"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 FEDERAL INCOME TAX CONSEQUENCES</w:t>
      </w:r>
    </w:p>
    <w:p>
      <w:pPr>
        <w:spacing w:after="0" w:line="2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4"/>
          <w:szCs w:val="14"/>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44" w:lineRule="exact"/>
        <w:rPr>
          <w:sz w:val="20"/>
          <w:szCs w:val="20"/>
          <w:color w:val="auto"/>
        </w:rPr>
      </w:pPr>
    </w:p>
    <w:p>
      <w:pPr>
        <w:ind w:right="20" w:firstLine="360"/>
        <w:spacing w:after="0" w:line="302" w:lineRule="auto"/>
        <w:rPr>
          <w:sz w:val="20"/>
          <w:szCs w:val="20"/>
          <w:color w:val="auto"/>
        </w:rPr>
      </w:pPr>
      <w:r>
        <w:rPr>
          <w:rFonts w:ascii="Arial" w:cs="Arial" w:eastAsia="Arial" w:hAnsi="Arial"/>
          <w:sz w:val="14"/>
          <w:szCs w:val="14"/>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40" w:lineRule="exact"/>
        <w:rPr>
          <w:sz w:val="20"/>
          <w:szCs w:val="20"/>
          <w:color w:val="auto"/>
        </w:rPr>
      </w:pPr>
    </w:p>
    <w:p>
      <w:pPr>
        <w:ind w:firstLine="360"/>
        <w:spacing w:after="0" w:line="289" w:lineRule="auto"/>
        <w:rPr>
          <w:sz w:val="20"/>
          <w:szCs w:val="20"/>
          <w:color w:val="auto"/>
        </w:rPr>
      </w:pPr>
      <w:r>
        <w:rPr>
          <w:rFonts w:ascii="Arial" w:cs="Arial" w:eastAsia="Arial" w:hAnsi="Arial"/>
          <w:sz w:val="15"/>
          <w:szCs w:val="15"/>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42" w:lineRule="exact"/>
        <w:rPr>
          <w:sz w:val="20"/>
          <w:szCs w:val="20"/>
          <w:color w:val="auto"/>
        </w:rPr>
      </w:pPr>
    </w:p>
    <w:p>
      <w:pPr>
        <w:ind w:right="20" w:firstLine="288"/>
        <w:spacing w:after="0" w:line="357" w:lineRule="auto"/>
        <w:rPr>
          <w:sz w:val="20"/>
          <w:szCs w:val="20"/>
          <w:color w:val="auto"/>
        </w:rPr>
      </w:pPr>
      <w:r>
        <w:rPr>
          <w:rFonts w:ascii="Arial" w:cs="Arial" w:eastAsia="Arial" w:hAnsi="Arial"/>
          <w:sz w:val="14"/>
          <w:szCs w:val="14"/>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Distributions</w:t>
      </w:r>
    </w:p>
    <w:p>
      <w:pPr>
        <w:spacing w:after="0" w:line="200" w:lineRule="exact"/>
        <w:rPr>
          <w:sz w:val="20"/>
          <w:szCs w:val="20"/>
          <w:color w:val="auto"/>
        </w:rPr>
      </w:pPr>
    </w:p>
    <w:p>
      <w:pPr>
        <w:ind w:right="60" w:firstLine="360"/>
        <w:spacing w:after="0" w:line="274" w:lineRule="auto"/>
        <w:rPr>
          <w:sz w:val="20"/>
          <w:szCs w:val="20"/>
          <w:color w:val="auto"/>
        </w:rPr>
      </w:pPr>
      <w:r>
        <w:rPr>
          <w:rFonts w:ascii="Arial" w:cs="Arial" w:eastAsia="Arial" w:hAnsi="Arial"/>
          <w:sz w:val="15"/>
          <w:szCs w:val="15"/>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3" w:name="page84"/>
    <w:bookmarkEnd w:id="83"/>
    <w:p>
      <w:pPr>
        <w:ind w:firstLine="360"/>
        <w:spacing w:after="0" w:line="276" w:lineRule="auto"/>
        <w:rPr>
          <w:sz w:val="20"/>
          <w:szCs w:val="20"/>
          <w:color w:val="auto"/>
        </w:rPr>
      </w:pPr>
      <w:r>
        <w:rPr>
          <w:rFonts w:ascii="Arial" w:cs="Arial" w:eastAsia="Arial" w:hAnsi="Arial"/>
          <w:sz w:val="15"/>
          <w:szCs w:val="15"/>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55"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Sale, exchange or other disposition of the ordinary shares</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7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6"/>
          <w:szCs w:val="16"/>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4" w:name="page85"/>
    <w:bookmarkEnd w:id="84"/>
    <w:p>
      <w:pPr>
        <w:ind w:left="364"/>
        <w:spacing w:after="0"/>
        <w:rPr>
          <w:sz w:val="20"/>
          <w:szCs w:val="20"/>
          <w:color w:val="auto"/>
        </w:rPr>
      </w:pPr>
      <w:r>
        <w:rPr>
          <w:rFonts w:ascii="Arial" w:cs="Arial" w:eastAsia="Arial" w:hAnsi="Arial"/>
          <w:sz w:val="16"/>
          <w:szCs w:val="16"/>
          <w:b w:val="1"/>
          <w:bCs w:val="1"/>
          <w:i w:val="1"/>
          <w:iCs w:val="1"/>
          <w:color w:val="auto"/>
        </w:rPr>
        <w:t>Passive foreign investment company consequences</w:t>
      </w:r>
    </w:p>
    <w:p>
      <w:pPr>
        <w:spacing w:after="0" w:line="200" w:lineRule="exact"/>
        <w:rPr>
          <w:sz w:val="20"/>
          <w:szCs w:val="20"/>
          <w:color w:val="auto"/>
        </w:rPr>
      </w:pPr>
    </w:p>
    <w:p>
      <w:pPr>
        <w:ind w:left="4" w:right="20" w:firstLine="360"/>
        <w:spacing w:after="0" w:line="254"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0" w:lineRule="exact"/>
        <w:rPr>
          <w:sz w:val="20"/>
          <w:szCs w:val="20"/>
          <w:color w:val="auto"/>
        </w:rPr>
      </w:pPr>
    </w:p>
    <w:p>
      <w:pPr>
        <w:ind w:left="4" w:firstLine="360"/>
        <w:spacing w:after="0" w:line="276" w:lineRule="auto"/>
        <w:rPr>
          <w:sz w:val="20"/>
          <w:szCs w:val="20"/>
          <w:color w:val="auto"/>
        </w:rPr>
      </w:pPr>
      <w:r>
        <w:rPr>
          <w:rFonts w:ascii="Arial" w:cs="Arial" w:eastAsia="Arial" w:hAnsi="Arial"/>
          <w:sz w:val="15"/>
          <w:szCs w:val="15"/>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w:t>
      </w:r>
    </w:p>
    <w:p>
      <w:pPr>
        <w:spacing w:after="0" w:line="32" w:lineRule="exact"/>
        <w:rPr>
          <w:sz w:val="20"/>
          <w:szCs w:val="20"/>
          <w:color w:val="auto"/>
        </w:rPr>
      </w:pPr>
    </w:p>
    <w:p>
      <w:pPr>
        <w:jc w:val="both"/>
        <w:ind w:left="4" w:right="80" w:hanging="4"/>
        <w:spacing w:after="0" w:line="286" w:lineRule="auto"/>
        <w:tabs>
          <w:tab w:leader="none" w:pos="195"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w:t>
      </w:r>
    </w:p>
    <w:p>
      <w:pPr>
        <w:spacing w:after="0" w:line="1" w:lineRule="exact"/>
        <w:rPr>
          <w:rFonts w:ascii="Arial" w:cs="Arial" w:eastAsia="Arial" w:hAnsi="Arial"/>
          <w:sz w:val="14"/>
          <w:szCs w:val="14"/>
          <w:color w:val="auto"/>
        </w:rPr>
      </w:pPr>
    </w:p>
    <w:p>
      <w:pPr>
        <w:ind w:left="4" w:right="60"/>
        <w:spacing w:after="0" w:line="252" w:lineRule="auto"/>
        <w:rPr>
          <w:rFonts w:ascii="Arial" w:cs="Arial" w:eastAsia="Arial" w:hAnsi="Arial"/>
          <w:sz w:val="14"/>
          <w:szCs w:val="14"/>
          <w:color w:val="auto"/>
        </w:rPr>
      </w:pPr>
      <w:r>
        <w:rPr>
          <w:rFonts w:ascii="Arial" w:cs="Arial" w:eastAsia="Arial" w:hAnsi="Arial"/>
          <w:sz w:val="16"/>
          <w:szCs w:val="16"/>
          <w:color w:val="auto"/>
        </w:rPr>
        <w:t>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74" w:lineRule="exact"/>
        <w:rPr>
          <w:sz w:val="20"/>
          <w:szCs w:val="20"/>
          <w:color w:val="auto"/>
        </w:rPr>
      </w:pPr>
    </w:p>
    <w:p>
      <w:pPr>
        <w:ind w:left="4" w:firstLine="360"/>
        <w:spacing w:after="0" w:line="273" w:lineRule="auto"/>
        <w:rPr>
          <w:sz w:val="20"/>
          <w:szCs w:val="20"/>
          <w:color w:val="auto"/>
        </w:rPr>
      </w:pPr>
      <w:r>
        <w:rPr>
          <w:rFonts w:ascii="Arial" w:cs="Arial" w:eastAsia="Arial" w:hAnsi="Arial"/>
          <w:sz w:val="15"/>
          <w:szCs w:val="15"/>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56" w:lineRule="exact"/>
        <w:rPr>
          <w:sz w:val="20"/>
          <w:szCs w:val="20"/>
          <w:color w:val="auto"/>
        </w:rPr>
      </w:pPr>
    </w:p>
    <w:p>
      <w:pPr>
        <w:ind w:left="4" w:right="20" w:firstLine="360"/>
        <w:spacing w:after="0" w:line="256" w:lineRule="auto"/>
        <w:rPr>
          <w:sz w:val="20"/>
          <w:szCs w:val="20"/>
          <w:color w:val="auto"/>
        </w:rPr>
      </w:pPr>
      <w:r>
        <w:rPr>
          <w:rFonts w:ascii="Arial" w:cs="Arial" w:eastAsia="Arial" w:hAnsi="Arial"/>
          <w:sz w:val="16"/>
          <w:szCs w:val="16"/>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85" w:name="page86"/>
    <w:bookmarkEnd w:id="85"/>
    <w:p>
      <w:pPr>
        <w:jc w:val="both"/>
        <w:ind w:right="40" w:firstLine="360"/>
        <w:spacing w:after="0" w:line="26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U.S. Holder who is a shareholder of a PFIC must file an annual report containing certain information.</w:t>
      </w:r>
    </w:p>
    <w:p>
      <w:pPr>
        <w:spacing w:after="0" w:line="196" w:lineRule="exact"/>
        <w:rPr>
          <w:sz w:val="20"/>
          <w:szCs w:val="20"/>
          <w:color w:val="auto"/>
        </w:rPr>
      </w:pPr>
    </w:p>
    <w:p>
      <w:pPr>
        <w:ind w:right="360" w:firstLine="360"/>
        <w:spacing w:after="0" w:line="292" w:lineRule="auto"/>
        <w:rPr>
          <w:sz w:val="20"/>
          <w:szCs w:val="20"/>
          <w:color w:val="auto"/>
        </w:rPr>
      </w:pPr>
      <w:r>
        <w:rPr>
          <w:rFonts w:ascii="Arial" w:cs="Arial" w:eastAsia="Arial" w:hAnsi="Arial"/>
          <w:sz w:val="15"/>
          <w:szCs w:val="15"/>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Certain reporting requirements with respect to payments of Offer Price</w:t>
      </w:r>
    </w:p>
    <w:p>
      <w:pPr>
        <w:spacing w:after="0" w:line="204"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5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6"/>
          <w:szCs w:val="16"/>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20" w:firstLine="360"/>
        <w:spacing w:after="0" w:line="259"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3"/>
          </w:tcPr>
          <w:p>
            <w:pPr>
              <w:ind w:left="500"/>
              <w:spacing w:after="0"/>
              <w:rPr>
                <w:sz w:val="20"/>
                <w:szCs w:val="20"/>
                <w:color w:val="auto"/>
              </w:rPr>
            </w:pPr>
            <w:r>
              <w:rPr>
                <w:rFonts w:ascii="Arial" w:cs="Arial" w:eastAsia="Arial" w:hAnsi="Arial"/>
                <w:sz w:val="16"/>
                <w:szCs w:val="16"/>
                <w:b w:val="1"/>
                <w:bCs w:val="1"/>
                <w:color w:val="auto"/>
              </w:rPr>
              <w:t>Number of Shares</w:t>
            </w:r>
          </w:p>
        </w:tc>
      </w:tr>
      <w:tr>
        <w:trPr>
          <w:trHeight w:val="208"/>
        </w:trPr>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r>
      <w:tr>
        <w:trPr>
          <w:trHeight w:val="192"/>
        </w:trPr>
        <w:tc>
          <w:tcPr>
            <w:tcW w:w="80" w:type="dxa"/>
            <w:vAlign w:val="bottom"/>
            <w:shd w:val="clear" w:color="auto" w:fill="CCFFCC"/>
          </w:tcPr>
          <w:p>
            <w:pPr>
              <w:spacing w:after="0"/>
              <w:rPr>
                <w:sz w:val="16"/>
                <w:szCs w:val="16"/>
                <w:color w:val="auto"/>
              </w:rPr>
            </w:pPr>
          </w:p>
        </w:tc>
        <w:tc>
          <w:tcPr>
            <w:tcW w:w="7720" w:type="dxa"/>
            <w:vAlign w:val="bottom"/>
            <w:tcBorders>
              <w:right w:val="single" w:sz="8" w:color="CCFFCC"/>
            </w:tcBorders>
            <w:gridSpan w:val="4"/>
            <w:shd w:val="clear" w:color="auto" w:fill="CCFFCC"/>
          </w:tcPr>
          <w:p>
            <w:pPr>
              <w:spacing w:after="0" w:line="181" w:lineRule="exact"/>
              <w:rPr>
                <w:sz w:val="20"/>
                <w:szCs w:val="20"/>
                <w:color w:val="auto"/>
              </w:rPr>
            </w:pPr>
            <w:r>
              <w:rPr>
                <w:rFonts w:ascii="Arial" w:cs="Arial" w:eastAsia="Arial" w:hAnsi="Arial"/>
                <w:sz w:val="16"/>
                <w:szCs w:val="16"/>
                <w:color w:val="auto"/>
              </w:rPr>
              <w:t>Aegis Capital Corp.</w:t>
            </w:r>
          </w:p>
        </w:tc>
        <w:tc>
          <w:tcPr>
            <w:tcW w:w="380" w:type="dxa"/>
            <w:vAlign w:val="bottom"/>
            <w:shd w:val="clear" w:color="auto" w:fill="FFFF00"/>
          </w:tcPr>
          <w:p>
            <w:pPr>
              <w:spacing w:after="0" w:line="181" w:lineRule="exact"/>
              <w:rPr>
                <w:sz w:val="20"/>
                <w:szCs w:val="20"/>
                <w:color w:val="auto"/>
              </w:rPr>
            </w:pPr>
            <w:r>
              <w:rPr>
                <w:rFonts w:ascii="Arial" w:cs="Arial" w:eastAsia="Arial" w:hAnsi="Arial"/>
                <w:sz w:val="16"/>
                <w:szCs w:val="16"/>
                <w:color w:val="auto"/>
                <w:highlight w:val="yellow"/>
                <w:w w:val="80"/>
              </w:rPr>
              <w:t>_____</w:t>
            </w:r>
          </w:p>
        </w:tc>
        <w:tc>
          <w:tcPr>
            <w:tcW w:w="2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80" w:type="dxa"/>
            <w:vAlign w:val="bottom"/>
            <w:shd w:val="clear" w:color="auto" w:fill="CCFFCC"/>
          </w:tcPr>
          <w:p>
            <w:pPr>
              <w:spacing w:after="0"/>
              <w:rPr>
                <w:sz w:val="16"/>
                <w:szCs w:val="16"/>
                <w:color w:val="auto"/>
              </w:rPr>
            </w:pPr>
          </w:p>
        </w:tc>
        <w:tc>
          <w:tcPr>
            <w:tcW w:w="1540" w:type="dxa"/>
            <w:vAlign w:val="bottom"/>
            <w:shd w:val="clear" w:color="auto" w:fill="FFFF00"/>
          </w:tcPr>
          <w:p>
            <w:pPr>
              <w:spacing w:after="0" w:line="181" w:lineRule="exact"/>
              <w:rPr>
                <w:sz w:val="20"/>
                <w:szCs w:val="20"/>
                <w:color w:val="auto"/>
              </w:rPr>
            </w:pPr>
            <w:r>
              <w:rPr>
                <w:rFonts w:ascii="Arial" w:cs="Arial" w:eastAsia="Arial" w:hAnsi="Arial"/>
                <w:sz w:val="16"/>
                <w:szCs w:val="16"/>
                <w:color w:val="auto"/>
                <w:highlight w:val="yellow"/>
                <w:w w:val="88"/>
              </w:rPr>
              <w:t>Sunrise Securities Corp.</w:t>
            </w:r>
          </w:p>
        </w:tc>
        <w:tc>
          <w:tcPr>
            <w:tcW w:w="6180" w:type="dxa"/>
            <w:vAlign w:val="bottom"/>
            <w:tcBorders>
              <w:right w:val="single" w:sz="8" w:color="CCFFCC"/>
            </w:tcBorders>
            <w:gridSpan w:val="3"/>
            <w:shd w:val="clear" w:color="auto" w:fill="CCFFCC"/>
          </w:tcPr>
          <w:p>
            <w:pPr>
              <w:spacing w:after="0"/>
              <w:rPr>
                <w:sz w:val="16"/>
                <w:szCs w:val="16"/>
                <w:color w:val="auto"/>
              </w:rPr>
            </w:pPr>
          </w:p>
        </w:tc>
        <w:tc>
          <w:tcPr>
            <w:tcW w:w="380" w:type="dxa"/>
            <w:vAlign w:val="bottom"/>
            <w:shd w:val="clear" w:color="auto" w:fill="FFFF00"/>
          </w:tcPr>
          <w:p>
            <w:pPr>
              <w:spacing w:after="0" w:line="181" w:lineRule="exact"/>
              <w:rPr>
                <w:sz w:val="20"/>
                <w:szCs w:val="20"/>
                <w:color w:val="auto"/>
              </w:rPr>
            </w:pPr>
            <w:r>
              <w:rPr>
                <w:rFonts w:ascii="Arial" w:cs="Arial" w:eastAsia="Arial" w:hAnsi="Arial"/>
                <w:sz w:val="16"/>
                <w:szCs w:val="16"/>
                <w:color w:val="auto"/>
                <w:highlight w:val="yellow"/>
                <w:w w:val="80"/>
              </w:rPr>
              <w:t>_____</w:t>
            </w:r>
          </w:p>
        </w:tc>
        <w:tc>
          <w:tcPr>
            <w:tcW w:w="2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56"/>
        </w:trPr>
        <w:tc>
          <w:tcPr>
            <w:tcW w:w="80" w:type="dxa"/>
            <w:vAlign w:val="bottom"/>
            <w:shd w:val="clear" w:color="auto" w:fill="CCFFCC"/>
          </w:tcPr>
          <w:p>
            <w:pPr>
              <w:spacing w:after="0"/>
              <w:rPr>
                <w:sz w:val="13"/>
                <w:szCs w:val="13"/>
                <w:color w:val="auto"/>
              </w:rPr>
            </w:pPr>
          </w:p>
        </w:tc>
        <w:tc>
          <w:tcPr>
            <w:tcW w:w="7720" w:type="dxa"/>
            <w:vAlign w:val="bottom"/>
            <w:tcBorders>
              <w:right w:val="single" w:sz="8" w:color="CCFFCC"/>
            </w:tcBorders>
            <w:gridSpan w:val="4"/>
            <w:shd w:val="clear" w:color="auto" w:fill="CCFFCC"/>
          </w:tcPr>
          <w:p>
            <w:pPr>
              <w:ind w:left="360"/>
              <w:spacing w:after="0" w:line="156" w:lineRule="exact"/>
              <w:rPr>
                <w:sz w:val="20"/>
                <w:szCs w:val="20"/>
                <w:color w:val="auto"/>
              </w:rPr>
            </w:pPr>
            <w:r>
              <w:rPr>
                <w:rFonts w:ascii="Arial" w:cs="Arial" w:eastAsia="Arial" w:hAnsi="Arial"/>
                <w:sz w:val="16"/>
                <w:szCs w:val="16"/>
                <w:color w:val="auto"/>
              </w:rPr>
              <w:t>Total</w:t>
            </w:r>
          </w:p>
        </w:tc>
        <w:tc>
          <w:tcPr>
            <w:tcW w:w="1120" w:type="dxa"/>
            <w:vAlign w:val="bottom"/>
            <w:gridSpan w:val="3"/>
            <w:shd w:val="clear" w:color="auto" w:fill="CCFFCC"/>
          </w:tcPr>
          <w:p>
            <w:pPr>
              <w:spacing w:after="0" w:line="156" w:lineRule="exact"/>
              <w:rPr>
                <w:sz w:val="20"/>
                <w:szCs w:val="20"/>
                <w:color w:val="auto"/>
              </w:rPr>
            </w:pPr>
            <w:r>
              <w:rPr>
                <w:rFonts w:ascii="Arial" w:cs="Arial" w:eastAsia="Arial" w:hAnsi="Arial"/>
                <w:sz w:val="16"/>
                <w:szCs w:val="16"/>
                <w:color w:val="auto"/>
              </w:rPr>
              <w:t>1,365,000</w:t>
            </w:r>
          </w:p>
        </w:tc>
        <w:tc>
          <w:tcPr>
            <w:tcW w:w="124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r>
      <w:tr>
        <w:trPr>
          <w:trHeight w:val="36"/>
        </w:trPr>
        <w:tc>
          <w:tcPr>
            <w:tcW w:w="80" w:type="dxa"/>
            <w:vAlign w:val="bottom"/>
            <w:shd w:val="clear" w:color="auto" w:fill="CCFFCC"/>
          </w:tcPr>
          <w:p>
            <w:pPr>
              <w:spacing w:after="0"/>
              <w:rPr>
                <w:sz w:val="3"/>
                <w:szCs w:val="3"/>
                <w:color w:val="auto"/>
              </w:rPr>
            </w:pPr>
          </w:p>
        </w:tc>
        <w:tc>
          <w:tcPr>
            <w:tcW w:w="1540" w:type="dxa"/>
            <w:vAlign w:val="bottom"/>
            <w:shd w:val="clear" w:color="auto" w:fill="CCFFCC"/>
          </w:tcPr>
          <w:p>
            <w:pPr>
              <w:spacing w:after="0"/>
              <w:rPr>
                <w:sz w:val="3"/>
                <w:szCs w:val="3"/>
                <w:color w:val="auto"/>
              </w:rPr>
            </w:pPr>
          </w:p>
        </w:tc>
        <w:tc>
          <w:tcPr>
            <w:tcW w:w="178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3540" w:type="dxa"/>
            <w:vAlign w:val="bottom"/>
            <w:tcBorders>
              <w:right w:val="single" w:sz="8" w:color="auto"/>
            </w:tcBorders>
            <w:shd w:val="clear" w:color="auto" w:fill="CCFFCC"/>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1240" w:type="dxa"/>
            <w:vAlign w:val="bottom"/>
            <w:shd w:val="clear" w:color="auto" w:fill="CCFFCC"/>
          </w:tcPr>
          <w:p>
            <w:pPr>
              <w:spacing w:after="0"/>
              <w:rPr>
                <w:sz w:val="3"/>
                <w:szCs w:val="3"/>
                <w:color w:val="auto"/>
              </w:rPr>
            </w:pPr>
          </w:p>
        </w:tc>
        <w:tc>
          <w:tcPr>
            <w:tcW w:w="1280" w:type="dxa"/>
            <w:vAlign w:val="bottom"/>
            <w:shd w:val="clear" w:color="auto" w:fill="CCFFCC"/>
          </w:tcPr>
          <w:p>
            <w:pPr>
              <w:spacing w:after="0"/>
              <w:rPr>
                <w:sz w:val="3"/>
                <w:szCs w:val="3"/>
                <w:color w:val="auto"/>
              </w:rPr>
            </w:pPr>
          </w:p>
        </w:tc>
      </w:tr>
    </w:tbl>
    <w:p>
      <w:pPr>
        <w:spacing w:after="0" w:line="18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6"/>
          <w:szCs w:val="16"/>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2" w:lineRule="exact"/>
        <w:rPr>
          <w:sz w:val="20"/>
          <w:szCs w:val="20"/>
          <w:color w:val="auto"/>
        </w:rPr>
      </w:pPr>
    </w:p>
    <w:p>
      <w:pPr>
        <w:jc w:val="both"/>
        <w:ind w:right="320" w:firstLine="360"/>
        <w:spacing w:after="0" w:line="289" w:lineRule="auto"/>
        <w:rPr>
          <w:sz w:val="20"/>
          <w:szCs w:val="20"/>
          <w:color w:val="auto"/>
        </w:rPr>
      </w:pPr>
      <w:r>
        <w:rPr>
          <w:rFonts w:ascii="Arial" w:cs="Arial" w:eastAsia="Arial" w:hAnsi="Arial"/>
          <w:sz w:val="15"/>
          <w:szCs w:val="15"/>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5"/>
          <w:szCs w:val="15"/>
          <w:color w:val="auto"/>
          <w:highlight w:val="yellow"/>
        </w:rPr>
        <w:t>_____</w:t>
      </w:r>
      <w:r>
        <w:rPr>
          <w:rFonts w:ascii="Arial" w:cs="Arial" w:eastAsia="Arial" w:hAnsi="Arial"/>
          <w:sz w:val="15"/>
          <w:szCs w:val="15"/>
          <w:color w:val="auto"/>
        </w:rPr>
        <w:t xml:space="preserve"> per share. If all of the shares offered by us are not sold at the public offering price, the underwriters may change the offering price and other selling terms by means of a supplement to this prospectus.</w:t>
      </w:r>
    </w:p>
    <w:p>
      <w:pPr>
        <w:spacing w:after="0" w:line="146"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6"/>
          <w:szCs w:val="16"/>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62"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52"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right="20" w:firstLine="360"/>
        <w:spacing w:after="0" w:line="282" w:lineRule="auto"/>
        <w:rPr>
          <w:sz w:val="20"/>
          <w:szCs w:val="20"/>
          <w:color w:val="auto"/>
        </w:rPr>
      </w:pPr>
      <w:r>
        <w:rPr>
          <w:rFonts w:ascii="Arial" w:cs="Arial" w:eastAsia="Arial" w:hAnsi="Arial"/>
          <w:sz w:val="15"/>
          <w:szCs w:val="15"/>
          <w:color w:val="auto"/>
        </w:rPr>
        <w:t>We have granted the underwriters an over-allotment option. This option, which is exercisable for up to 45 days after the date of this prospectus, permits the underwriters to purchase a maximum of 204,750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$17,267,250, and the total proceeds to us, before expenses, will be $16,058,543.</w:t>
      </w:r>
    </w:p>
    <w:p>
      <w:pPr>
        <w:spacing w:after="0" w:line="1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i w:val="1"/>
          <w:iCs w:val="1"/>
          <w:color w:val="auto"/>
        </w:rPr>
        <w:t xml:space="preserve">Underwriting Discounts and Commissions. </w:t>
      </w:r>
      <w:r>
        <w:rPr>
          <w:rFonts w:ascii="Arial" w:cs="Arial" w:eastAsia="Arial" w:hAnsi="Arial"/>
          <w:sz w:val="16"/>
          <w:szCs w:val="16"/>
          <w:color w:val="auto"/>
        </w:rPr>
        <w:t>We have agreed to pay underwriting discounts and commissions of 7% of the gross proceeds of the offering (equivalent to 7%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Without over-</w:t>
            </w:r>
          </w:p>
        </w:tc>
        <w:tc>
          <w:tcPr>
            <w:tcW w:w="10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With full over-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allotment exercise</w:t>
            </w: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allotment exercise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Public offering price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6"/>
                <w:szCs w:val="16"/>
                <w:color w:val="auto"/>
              </w:rPr>
              <w:t>15,015,000</w:t>
            </w:r>
          </w:p>
        </w:tc>
        <w:tc>
          <w:tcPr>
            <w:tcW w:w="3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6"/>
                <w:szCs w:val="16"/>
                <w:color w:val="auto"/>
              </w:rPr>
              <w:t>17,267,250</w:t>
            </w: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(per ordinary share)</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(total)</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Proceeds before other expenses (1)</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80" w:right="20" w:hanging="296"/>
        <w:spacing w:after="0" w:line="277"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w:t>
      </w:r>
    </w:p>
    <w:p>
      <w:pPr>
        <w:spacing w:after="0" w:line="151"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6"/>
          <w:szCs w:val="16"/>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1"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6"/>
          <w:szCs w:val="16"/>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67" w:lineRule="exact"/>
        <w:rPr>
          <w:sz w:val="20"/>
          <w:szCs w:val="20"/>
          <w:color w:val="auto"/>
        </w:rPr>
      </w:pPr>
    </w:p>
    <w:p>
      <w:pPr>
        <w:ind w:left="580" w:right="20"/>
        <w:spacing w:after="0" w:line="277"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$806,000 and are payable by us.</w:t>
      </w:r>
    </w:p>
    <w:p>
      <w:pPr>
        <w:spacing w:after="0" w:line="15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 We have agreed to grant to the Representative the right of first refusal to act as co-manager/co-book runner on customary terms for such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6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4"/>
          <w:szCs w:val="14"/>
          <w:i w:val="1"/>
          <w:iCs w:val="1"/>
          <w:color w:val="auto"/>
        </w:rPr>
        <w:t>Representative’s Warrants</w:t>
      </w:r>
      <w:r>
        <w:rPr>
          <w:rFonts w:ascii="Arial" w:cs="Arial" w:eastAsia="Arial" w:hAnsi="Arial"/>
          <w:sz w:val="14"/>
          <w:szCs w:val="14"/>
          <w:color w:val="auto"/>
        </w:rPr>
        <w:t>. We have also agreed to issue to the Representative or its designees, at the closing of this offering, warrants (the “Representative’s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50" w:lineRule="exact"/>
        <w:rPr>
          <w:sz w:val="20"/>
          <w:szCs w:val="20"/>
          <w:color w:val="auto"/>
        </w:rPr>
      </w:pPr>
    </w:p>
    <w:p>
      <w:pPr>
        <w:ind w:left="400"/>
        <w:spacing w:after="0"/>
        <w:tabs>
          <w:tab w:leader="none" w:pos="2120" w:val="left"/>
        </w:tabs>
        <w:rPr>
          <w:sz w:val="20"/>
          <w:szCs w:val="20"/>
          <w:color w:val="auto"/>
        </w:rPr>
      </w:pPr>
      <w:r>
        <w:rPr>
          <w:rFonts w:ascii="Arial" w:cs="Arial" w:eastAsia="Arial" w:hAnsi="Arial"/>
          <w:sz w:val="16"/>
          <w:szCs w:val="16"/>
          <w:i w:val="1"/>
          <w:iCs w:val="1"/>
          <w:color w:val="auto"/>
        </w:rPr>
        <w:t>Discretionary Accounts.</w:t>
      </w:r>
      <w:r>
        <w:rPr>
          <w:sz w:val="20"/>
          <w:szCs w:val="20"/>
          <w:color w:val="auto"/>
        </w:rPr>
        <w:tab/>
      </w:r>
      <w:r>
        <w:rPr>
          <w:rFonts w:ascii="Arial" w:cs="Arial" w:eastAsia="Arial" w:hAnsi="Arial"/>
          <w:sz w:val="14"/>
          <w:szCs w:val="14"/>
          <w:color w:val="auto"/>
        </w:rPr>
        <w:t>The underwriters do not intend to confirm sales of the shares offered hereby to any accounts over which they have discretionary authority.</w:t>
      </w:r>
    </w:p>
    <w:p>
      <w:pPr>
        <w:spacing w:after="0" w:line="200"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67" w:lineRule="exact"/>
        <w:rPr>
          <w:sz w:val="20"/>
          <w:szCs w:val="20"/>
          <w:color w:val="auto"/>
        </w:rPr>
      </w:pPr>
    </w:p>
    <w:p>
      <w:pPr>
        <w:ind w:left="900" w:right="420" w:hanging="339"/>
        <w:spacing w:after="0" w:line="351" w:lineRule="auto"/>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05" w:lineRule="exact"/>
        <w:rPr>
          <w:rFonts w:ascii="Arial" w:cs="Arial" w:eastAsia="Arial" w:hAnsi="Arial"/>
          <w:sz w:val="14"/>
          <w:szCs w:val="14"/>
          <w:color w:val="auto"/>
        </w:rPr>
      </w:pPr>
    </w:p>
    <w:p>
      <w:pPr>
        <w:ind w:left="900" w:right="200" w:hanging="339"/>
        <w:spacing w:after="0" w:line="26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2" w:right="21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whether any such transaction described above is to be settled by delivery of ordinary shares or other securities, in cash or otherwise.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restrictions described above, applicable to us, do not apply to:</w:t>
      </w:r>
    </w:p>
    <w:p>
      <w:pPr>
        <w:spacing w:after="0" w:line="200" w:lineRule="exact"/>
        <w:rPr>
          <w:sz w:val="20"/>
          <w:szCs w:val="20"/>
          <w:color w:val="auto"/>
        </w:rPr>
      </w:pPr>
    </w:p>
    <w:p>
      <w:pPr>
        <w:ind w:left="900" w:hanging="33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sale of shares of common stock to the underwriters pursuant to the underwriting agreement;</w:t>
      </w:r>
    </w:p>
    <w:p>
      <w:pPr>
        <w:spacing w:after="0" w:line="200" w:lineRule="exact"/>
        <w:rPr>
          <w:rFonts w:ascii="Arial" w:cs="Arial" w:eastAsia="Arial" w:hAnsi="Arial"/>
          <w:sz w:val="16"/>
          <w:szCs w:val="16"/>
          <w:color w:val="auto"/>
        </w:rPr>
      </w:pPr>
    </w:p>
    <w:p>
      <w:pPr>
        <w:ind w:left="900" w:right="70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51" w:lineRule="exact"/>
        <w:rPr>
          <w:rFonts w:ascii="Arial" w:cs="Arial" w:eastAsia="Arial" w:hAnsi="Arial"/>
          <w:sz w:val="16"/>
          <w:szCs w:val="16"/>
          <w:color w:val="auto"/>
        </w:rPr>
      </w:pPr>
    </w:p>
    <w:p>
      <w:pPr>
        <w:ind w:left="900" w:right="100" w:hanging="339"/>
        <w:spacing w:after="0" w:line="259"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66" w:lineRule="exact"/>
        <w:rPr>
          <w:rFonts w:ascii="Arial" w:cs="Arial" w:eastAsia="Arial" w:hAnsi="Arial"/>
          <w:sz w:val="16"/>
          <w:szCs w:val="16"/>
          <w:color w:val="auto"/>
        </w:rPr>
      </w:pPr>
    </w:p>
    <w:p>
      <w:pPr>
        <w:ind w:left="900" w:right="4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52" w:lineRule="exact"/>
        <w:rPr>
          <w:sz w:val="20"/>
          <w:szCs w:val="20"/>
          <w:color w:val="auto"/>
        </w:rPr>
      </w:pPr>
    </w:p>
    <w:p>
      <w:pPr>
        <w:ind w:firstLine="392"/>
        <w:spacing w:after="0" w:line="256" w:lineRule="auto"/>
        <w:rPr>
          <w:sz w:val="20"/>
          <w:szCs w:val="20"/>
          <w:color w:val="auto"/>
        </w:rPr>
      </w:pPr>
      <w:r>
        <w:rPr>
          <w:rFonts w:ascii="Arial" w:cs="Arial" w:eastAsia="Arial" w:hAnsi="Arial"/>
          <w:sz w:val="16"/>
          <w:szCs w:val="16"/>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68" w:lineRule="exact"/>
        <w:rPr>
          <w:sz w:val="20"/>
          <w:szCs w:val="20"/>
          <w:color w:val="auto"/>
        </w:rPr>
      </w:pPr>
    </w:p>
    <w:p>
      <w:pPr>
        <w:ind w:right="100" w:firstLine="400"/>
        <w:spacing w:after="0" w:line="276" w:lineRule="auto"/>
        <w:rPr>
          <w:sz w:val="20"/>
          <w:szCs w:val="20"/>
          <w:color w:val="auto"/>
        </w:rPr>
      </w:pPr>
      <w:r>
        <w:rPr>
          <w:rFonts w:ascii="Arial" w:cs="Arial" w:eastAsia="Arial" w:hAnsi="Arial"/>
          <w:sz w:val="15"/>
          <w:szCs w:val="15"/>
          <w:i w:val="1"/>
          <w:iCs w:val="1"/>
          <w:color w:val="auto"/>
        </w:rPr>
        <w:t xml:space="preserve">Electronic Offer, Sale and Distribution of Shares. </w:t>
      </w:r>
      <w:r>
        <w:rPr>
          <w:rFonts w:ascii="Arial" w:cs="Arial" w:eastAsia="Arial" w:hAnsi="Arial"/>
          <w:sz w:val="15"/>
          <w:szCs w:val="15"/>
          <w:color w:val="auto"/>
        </w:rPr>
        <w:t>A prospectus in electronic format may be made available on the websites maintained by one or more of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5"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may in the future provide various investment banking, commercial banking and other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6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 syndicate covering transactions,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bids and purchases to cover positions created by short sales.</w:t>
      </w:r>
    </w:p>
    <w:p>
      <w:pPr>
        <w:spacing w:after="0" w:line="152" w:lineRule="exact"/>
        <w:rPr>
          <w:sz w:val="20"/>
          <w:szCs w:val="20"/>
          <w:color w:val="auto"/>
        </w:rPr>
      </w:pPr>
    </w:p>
    <w:p>
      <w:pPr>
        <w:ind w:left="360" w:right="180" w:hanging="4"/>
        <w:spacing w:after="0" w:line="27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51" w:lineRule="exact"/>
        <w:rPr>
          <w:rFonts w:ascii="Arial" w:cs="Arial" w:eastAsia="Arial" w:hAnsi="Arial"/>
          <w:sz w:val="16"/>
          <w:szCs w:val="16"/>
          <w:color w:val="A6A6A6"/>
        </w:rPr>
      </w:pPr>
    </w:p>
    <w:p>
      <w:pPr>
        <w:ind w:left="360" w:right="40" w:hanging="4"/>
        <w:spacing w:after="0" w:line="25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9" w:name="page90"/>
    <w:bookmarkEnd w:id="89"/>
    <w:p>
      <w:pPr>
        <w:ind w:left="360" w:right="20" w:hanging="4"/>
        <w:spacing w:after="0" w:line="276" w:lineRule="auto"/>
        <w:tabs>
          <w:tab w:leader="none" w:pos="1000" w:val="left"/>
        </w:tabs>
        <w:numPr>
          <w:ilvl w:val="0"/>
          <w:numId w:val="80"/>
        </w:numPr>
        <w:rPr>
          <w:rFonts w:ascii="Arial" w:cs="Arial" w:eastAsia="Arial" w:hAnsi="Arial"/>
          <w:sz w:val="15"/>
          <w:szCs w:val="15"/>
          <w:color w:val="A6A6A6"/>
        </w:rPr>
      </w:pPr>
      <w:r>
        <w:rPr>
          <w:rFonts w:ascii="Arial" w:cs="Arial" w:eastAsia="Arial" w:hAnsi="Arial"/>
          <w:sz w:val="15"/>
          <w:szCs w:val="15"/>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55" w:lineRule="exact"/>
        <w:rPr>
          <w:rFonts w:ascii="Arial" w:cs="Arial" w:eastAsia="Arial" w:hAnsi="Arial"/>
          <w:sz w:val="15"/>
          <w:szCs w:val="15"/>
          <w:color w:val="A6A6A6"/>
        </w:rPr>
      </w:pPr>
    </w:p>
    <w:p>
      <w:pPr>
        <w:ind w:left="360" w:right="320" w:hanging="4"/>
        <w:spacing w:after="0" w:line="277" w:lineRule="auto"/>
        <w:tabs>
          <w:tab w:leader="none" w:pos="104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52" w:lineRule="exact"/>
        <w:rPr>
          <w:sz w:val="20"/>
          <w:szCs w:val="20"/>
          <w:color w:val="auto"/>
        </w:rPr>
      </w:pPr>
    </w:p>
    <w:p>
      <w:pPr>
        <w:ind w:right="20" w:firstLine="360"/>
        <w:spacing w:after="0" w:line="308"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of ordinary shares</w:t>
      </w:r>
    </w:p>
    <w:p>
      <w:pPr>
        <w:spacing w:after="0" w:line="204" w:lineRule="exact"/>
        <w:rPr>
          <w:sz w:val="20"/>
          <w:szCs w:val="20"/>
          <w:color w:val="auto"/>
        </w:rPr>
      </w:pPr>
    </w:p>
    <w:p>
      <w:pPr>
        <w:ind w:right="480" w:firstLine="360"/>
        <w:spacing w:after="0" w:line="264"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2" w:lineRule="exact"/>
        <w:rPr>
          <w:sz w:val="20"/>
          <w:szCs w:val="20"/>
          <w:color w:val="auto"/>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information set forth in this prospectus and otherwise available to the representative;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and the history and prospects for the industry in which we compete;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an assessment of our management;</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for future earnings;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general condition of the securities markets at the time of this offering;</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other factors deemed relevant by the underwriters and us.</w:t>
      </w:r>
    </w:p>
    <w:p>
      <w:pPr>
        <w:spacing w:after="0" w:line="20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Restrictions Outside the United States</w:t>
      </w:r>
    </w:p>
    <w:p>
      <w:pPr>
        <w:spacing w:after="0" w:line="2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0" w:name="page91"/>
    <w:bookmarkEnd w:id="90"/>
    <w:p>
      <w:pPr>
        <w:ind w:left="3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0"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any legal entity which is a qualified investor as defined in the Prospectus Directive;</w:t>
      </w:r>
    </w:p>
    <w:p>
      <w:pPr>
        <w:spacing w:after="0" w:line="200" w:lineRule="exact"/>
        <w:rPr>
          <w:rFonts w:ascii="Arial" w:cs="Arial" w:eastAsia="Arial" w:hAnsi="Arial"/>
          <w:sz w:val="16"/>
          <w:szCs w:val="16"/>
          <w:color w:val="A6A6A6"/>
        </w:rPr>
      </w:pPr>
    </w:p>
    <w:p>
      <w:pPr>
        <w:ind w:left="360" w:right="140" w:hanging="4"/>
        <w:spacing w:after="0" w:line="264"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61" w:lineRule="exact"/>
        <w:rPr>
          <w:rFonts w:ascii="Arial" w:cs="Arial" w:eastAsia="Arial" w:hAnsi="Arial"/>
          <w:sz w:val="16"/>
          <w:szCs w:val="16"/>
          <w:color w:val="A6A6A6"/>
        </w:rPr>
      </w:pPr>
    </w:p>
    <w:p>
      <w:pPr>
        <w:ind w:left="360" w:right="100" w:hanging="4"/>
        <w:spacing w:after="0" w:line="277"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52" w:lineRule="exact"/>
        <w:rPr>
          <w:sz w:val="20"/>
          <w:szCs w:val="20"/>
          <w:color w:val="auto"/>
        </w:rPr>
      </w:pPr>
    </w:p>
    <w:p>
      <w:pPr>
        <w:ind w:right="40" w:firstLine="360"/>
        <w:spacing w:after="0" w:line="27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underwriter has represented and agreed that:</w:t>
      </w:r>
    </w:p>
    <w:p>
      <w:pPr>
        <w:spacing w:after="0" w:line="200" w:lineRule="exact"/>
        <w:rPr>
          <w:sz w:val="20"/>
          <w:szCs w:val="20"/>
          <w:color w:val="auto"/>
        </w:rPr>
      </w:pPr>
    </w:p>
    <w:p>
      <w:pPr>
        <w:ind w:left="360" w:right="80" w:hanging="4"/>
        <w:spacing w:after="0" w:line="264"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61"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State of Israel, the securities offered hereby may not be offered to any person or entity other than the following:</w:t>
      </w:r>
    </w:p>
    <w:p>
      <w:pPr>
        <w:spacing w:after="0" w:line="200" w:lineRule="exact"/>
        <w:rPr>
          <w:sz w:val="20"/>
          <w:szCs w:val="20"/>
          <w:color w:val="auto"/>
        </w:rPr>
      </w:pPr>
    </w:p>
    <w:p>
      <w:pPr>
        <w:ind w:left="360" w:right="4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fund for joint investments in trust (i.e., mutual fund), as such term is defined in the Law for Joint Investments in Trust, 5754-1994, or a management company of such a fund;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insurer, as defined in the Law for Oversight of Insurance Transactions, 5741-1981;</w:t>
      </w:r>
    </w:p>
    <w:p>
      <w:pPr>
        <w:spacing w:after="0" w:line="200" w:lineRule="exact"/>
        <w:rPr>
          <w:rFonts w:ascii="Arial" w:cs="Arial" w:eastAsia="Arial" w:hAnsi="Arial"/>
          <w:sz w:val="16"/>
          <w:szCs w:val="16"/>
          <w:color w:val="A6A6A6"/>
        </w:rPr>
      </w:pPr>
    </w:p>
    <w:p>
      <w:pPr>
        <w:ind w:left="36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1" w:name="page92"/>
    <w:bookmarkEnd w:id="91"/>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company that is licensed as a portfolio manager, as such term is defined in Section 8(b)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 or for the account of investors of the type listed in Section 15A(b) of the Securities Law, 1968;</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an investment advisor or investment distributer, as such term is defined in Section 7(c)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member of the Tel Aviv Stock Exchange, acting on its own account or for the account of investors of the type listed in Section 15A(b) of the Securities Law, 1968;</w:t>
      </w:r>
    </w:p>
    <w:p>
      <w:pPr>
        <w:spacing w:after="0" w:line="223"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underwriter fulfilling the conditions of Section 56(c) of the Securities Law, 5728-1968, acting on its own account;</w:t>
      </w:r>
    </w:p>
    <w:p>
      <w:pPr>
        <w:spacing w:after="0" w:line="200" w:lineRule="exact"/>
        <w:rPr>
          <w:rFonts w:ascii="Arial" w:cs="Arial" w:eastAsia="Arial" w:hAnsi="Arial"/>
          <w:sz w:val="16"/>
          <w:szCs w:val="16"/>
          <w:color w:val="A6A6A6"/>
        </w:rPr>
      </w:pPr>
    </w:p>
    <w:p>
      <w:pPr>
        <w:ind w:left="360" w:right="14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entity fully owned by investors of the type listed in Section 15A(b) of the Securities Law, 1968;</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5"/>
          <w:szCs w:val="15"/>
          <w:color w:val="A6A6A6"/>
        </w:rPr>
      </w:pPr>
      <w:r>
        <w:rPr>
          <w:rFonts w:ascii="Arial" w:cs="Arial" w:eastAsia="Arial" w:hAnsi="Arial"/>
          <w:sz w:val="15"/>
          <w:szCs w:val="15"/>
          <w:color w:val="auto"/>
        </w:rPr>
        <w:t>an entity, other than an entity formed for the purpose of purchasing securities in this offering, in which the shareholders’ equity is in excess of NIS 50 million; and</w:t>
      </w:r>
    </w:p>
    <w:p>
      <w:pPr>
        <w:spacing w:after="0" w:line="211" w:lineRule="exact"/>
        <w:rPr>
          <w:rFonts w:ascii="Arial" w:cs="Arial" w:eastAsia="Arial" w:hAnsi="Arial"/>
          <w:sz w:val="15"/>
          <w:szCs w:val="15"/>
          <w:color w:val="A6A6A6"/>
        </w:rPr>
      </w:pPr>
    </w:p>
    <w:p>
      <w:pPr>
        <w:ind w:left="360" w:right="100" w:hanging="4"/>
        <w:spacing w:after="0" w:line="264"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67" w:lineRule="exact"/>
        <w:rPr>
          <w:sz w:val="20"/>
          <w:szCs w:val="20"/>
          <w:color w:val="auto"/>
        </w:rPr>
      </w:pPr>
    </w:p>
    <w:p>
      <w:pPr>
        <w:ind w:right="140" w:firstLine="360"/>
        <w:spacing w:after="0" w:line="278" w:lineRule="auto"/>
        <w:rPr>
          <w:sz w:val="20"/>
          <w:szCs w:val="20"/>
          <w:color w:val="auto"/>
        </w:rPr>
      </w:pPr>
      <w:r>
        <w:rPr>
          <w:rFonts w:ascii="Arial" w:cs="Arial" w:eastAsia="Arial" w:hAnsi="Arial"/>
          <w:sz w:val="15"/>
          <w:szCs w:val="15"/>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Canada</w:t>
      </w:r>
    </w:p>
    <w:p>
      <w:pPr>
        <w:spacing w:after="0" w:line="20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6"/>
          <w:szCs w:val="16"/>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Aegis Capital Corp. is 810 Seventh Avenue, 18th Floor, New York, New York 10019.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We estimate that the total expenses of this offering payable by us, excluding the underwriting discounts and commissions and expenses, will be approximately $750,000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SEC filing fee</w:t>
            </w:r>
          </w:p>
        </w:tc>
        <w:tc>
          <w:tcPr>
            <w:tcW w:w="29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2,790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FINRA filing fee</w:t>
            </w:r>
          </w:p>
        </w:tc>
        <w:tc>
          <w:tcPr>
            <w:tcW w:w="2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3,567</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Nasdaq listing fee</w:t>
            </w:r>
          </w:p>
        </w:tc>
        <w:tc>
          <w:tcPr>
            <w:tcW w:w="2960" w:type="dxa"/>
            <w:vAlign w:val="bottom"/>
            <w:shd w:val="clear" w:color="auto" w:fill="CCFFCC"/>
          </w:tcPr>
          <w:p>
            <w:pPr>
              <w:spacing w:after="0"/>
              <w:rPr>
                <w:sz w:val="16"/>
                <w:szCs w:val="16"/>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2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Printer fees and expenses</w:t>
            </w:r>
          </w:p>
        </w:tc>
        <w:tc>
          <w:tcPr>
            <w:tcW w:w="2960" w:type="dxa"/>
            <w:vAlign w:val="bottom"/>
            <w:shd w:val="clear" w:color="auto" w:fill="CCFFCC"/>
          </w:tcPr>
          <w:p>
            <w:pPr>
              <w:spacing w:after="0"/>
              <w:rPr>
                <w:sz w:val="16"/>
                <w:szCs w:val="16"/>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Accounting fees and expenses</w:t>
            </w:r>
          </w:p>
        </w:tc>
        <w:tc>
          <w:tcPr>
            <w:tcW w:w="2960" w:type="dxa"/>
            <w:vAlign w:val="bottom"/>
            <w:shd w:val="clear" w:color="auto" w:fill="CCFFCC"/>
          </w:tcPr>
          <w:p>
            <w:pPr>
              <w:spacing w:after="0"/>
              <w:rPr>
                <w:sz w:val="16"/>
                <w:szCs w:val="16"/>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Miscellaneous</w:t>
            </w:r>
          </w:p>
        </w:tc>
        <w:tc>
          <w:tcPr>
            <w:tcW w:w="2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18,643</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Total</w:t>
            </w:r>
          </w:p>
        </w:tc>
        <w:tc>
          <w:tcPr>
            <w:tcW w:w="29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750,000</w:t>
            </w:r>
          </w:p>
        </w:tc>
      </w:tr>
    </w:tbl>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CIVIL LIABILITIES</w:t>
      </w:r>
    </w:p>
    <w:p>
      <w:pPr>
        <w:spacing w:after="0" w:line="20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7" w:lineRule="exact"/>
        <w:rPr>
          <w:sz w:val="20"/>
          <w:szCs w:val="20"/>
          <w:color w:val="auto"/>
        </w:rPr>
      </w:pPr>
    </w:p>
    <w:p>
      <w:pPr>
        <w:ind w:right="60" w:firstLine="360"/>
        <w:spacing w:after="0" w:line="308" w:lineRule="auto"/>
        <w:rPr>
          <w:sz w:val="20"/>
          <w:szCs w:val="20"/>
          <w:color w:val="auto"/>
        </w:rPr>
      </w:pPr>
      <w:r>
        <w:rPr>
          <w:rFonts w:ascii="Arial" w:cs="Arial" w:eastAsia="Arial" w:hAnsi="Arial"/>
          <w:sz w:val="14"/>
          <w:szCs w:val="14"/>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62" w:lineRule="exact"/>
        <w:rPr>
          <w:sz w:val="20"/>
          <w:szCs w:val="20"/>
          <w:color w:val="auto"/>
        </w:rPr>
      </w:pPr>
    </w:p>
    <w:p>
      <w:pPr>
        <w:ind w:left="360" w:right="220" w:hanging="4"/>
        <w:spacing w:after="0" w:line="277"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final and is not subject to any right of appeal;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93" w:name="page94"/>
    <w:bookmarkEnd w:id="93"/>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00"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enforceable according to the law of the foreign state in which the relief was granted.</w:t>
      </w:r>
    </w:p>
    <w:p>
      <w:pPr>
        <w:spacing w:after="0" w:line="393" w:lineRule="exact"/>
        <w:rPr>
          <w:sz w:val="20"/>
          <w:szCs w:val="20"/>
          <w:color w:val="auto"/>
        </w:rPr>
      </w:pPr>
    </w:p>
    <w:p>
      <w:pPr>
        <w:ind w:right="180" w:firstLine="360"/>
        <w:spacing w:after="0" w:line="278"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8"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72"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 development stage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712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FINANCIAL STATEMENTS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6"/>
              </w:rPr>
              <w:t>AS OF DECEMBER 31, 2012</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8"/>
              </w:rPr>
              <w:t>U.S. DOLLARS IN THOUSANDS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rPr>
              <w:t>INDEX</w:t>
            </w:r>
          </w:p>
        </w:tc>
      </w:tr>
      <w:tr>
        <w:trPr>
          <w:trHeight w:val="577"/>
        </w:trPr>
        <w:tc>
          <w:tcPr>
            <w:tcW w:w="4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76"/>
        </w:trPr>
        <w:tc>
          <w:tcPr>
            <w:tcW w:w="4280" w:type="dxa"/>
            <w:vAlign w:val="bottom"/>
          </w:tcPr>
          <w:p>
            <w:pPr>
              <w:spacing w:after="0"/>
              <w:rPr>
                <w:sz w:val="20"/>
                <w:szCs w:val="20"/>
                <w:color w:val="auto"/>
              </w:rPr>
            </w:pPr>
            <w:r>
              <w:rPr>
                <w:rFonts w:ascii="Arial" w:cs="Arial" w:eastAsia="Arial" w:hAnsi="Arial"/>
                <w:sz w:val="16"/>
                <w:szCs w:val="16"/>
                <w:b w:val="1"/>
                <w:bCs w:val="1"/>
                <w:color w:val="auto"/>
                <w:w w:val="96"/>
              </w:rPr>
              <w:t>Report of Independent Registered Public Accounting Firm</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F-2</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F-3 - F-4</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Comprehensive Loss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F-5</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w w:val="93"/>
              </w:rPr>
              <w:t>Statements of Changes in Shareholders' Equity (Deficiency)</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F-6</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Cash Flows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F-7</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Notes to Financial Statements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 - - - - - - - - - - - -</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80" w:top="820" w:right="21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531495</wp:posOffset>
            </wp:positionV>
            <wp:extent cx="6254750" cy="128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25475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Board of Directors and the shareholders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8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6"/>
          <w:szCs w:val="16"/>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67" w:lineRule="exact"/>
        <w:rPr>
          <w:sz w:val="20"/>
          <w:szCs w:val="20"/>
          <w:color w:val="auto"/>
        </w:rPr>
      </w:pPr>
    </w:p>
    <w:p>
      <w:pPr>
        <w:jc w:val="both"/>
        <w:ind w:right="20" w:firstLine="454"/>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 $ 8,186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14, 2013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Except for Note 9(a) and Note 13 to which the date is XX,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KOST FORER GABBAY &amp; KASIERER</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 Member of Ernst &amp; Young Global</w:t>
      </w:r>
    </w:p>
    <w:p>
      <w:pPr>
        <w:spacing w:after="0" w:line="369" w:lineRule="exact"/>
        <w:rPr>
          <w:sz w:val="20"/>
          <w:szCs w:val="20"/>
          <w:color w:val="auto"/>
        </w:rPr>
      </w:pPr>
    </w:p>
    <w:p>
      <w:pPr>
        <w:sectPr>
          <w:pgSz w:w="11900" w:h="16838" w:orient="portrait"/>
          <w:cols w:equalWidth="0" w:num="2">
            <w:col w:w="6840" w:space="720"/>
            <w:col w:w="3880"/>
          </w:cols>
          <w:pgMar w:left="240" w:top="1440" w:right="219" w:bottom="1440" w:gutter="0" w:footer="0" w:header="0"/>
          <w:type w:val="continuous"/>
        </w:sect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 Kost Forer Gabbay &amp; Kasierer</w:t>
      </w:r>
    </w:p>
    <w:p>
      <w:pPr>
        <w:spacing w:after="0" w:line="200" w:lineRule="exact"/>
        <w:rPr>
          <w:sz w:val="20"/>
          <w:szCs w:val="20"/>
          <w:color w:val="auto"/>
        </w:rPr>
      </w:pP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5"/>
          <w:szCs w:val="15"/>
          <w:color w:val="auto"/>
        </w:rPr>
        <w:t>KOST FORER GABBAY &amp; KASIERER</w:t>
      </w:r>
    </w:p>
    <w:p>
      <w:pPr>
        <w:ind w:left="40"/>
        <w:spacing w:after="0"/>
        <w:rPr>
          <w:sz w:val="20"/>
          <w:szCs w:val="20"/>
          <w:color w:val="auto"/>
        </w:rPr>
      </w:pPr>
      <w:r>
        <w:rPr>
          <w:rFonts w:ascii="Arial" w:cs="Arial" w:eastAsia="Arial" w:hAnsi="Arial"/>
          <w:sz w:val="16"/>
          <w:szCs w:val="16"/>
          <w:color w:val="auto"/>
        </w:rPr>
        <w:t>Tel-Aviv, Israel</w:t>
      </w:r>
    </w:p>
    <w:p>
      <w:pPr>
        <w:ind w:left="7940"/>
        <w:spacing w:after="0" w:line="214" w:lineRule="auto"/>
        <w:rPr>
          <w:sz w:val="20"/>
          <w:szCs w:val="20"/>
          <w:color w:val="auto"/>
        </w:rPr>
      </w:pPr>
      <w:r>
        <w:rPr>
          <w:rFonts w:ascii="Arial" w:cs="Arial" w:eastAsia="Arial" w:hAnsi="Arial"/>
          <w:sz w:val="16"/>
          <w:szCs w:val="16"/>
          <w:color w:val="auto"/>
        </w:rPr>
        <w:t>A Member of Ernst &amp; Young Global</w:t>
      </w:r>
    </w:p>
    <w:p>
      <w:pPr>
        <w:spacing w:after="0"/>
        <w:rPr>
          <w:sz w:val="20"/>
          <w:szCs w:val="20"/>
          <w:color w:val="auto"/>
        </w:rPr>
      </w:pPr>
      <w:r>
        <w:rPr>
          <w:rFonts w:ascii="Arial" w:cs="Arial" w:eastAsia="Arial" w:hAnsi="Arial"/>
          <w:sz w:val="16"/>
          <w:szCs w:val="16"/>
          <w:color w:val="auto"/>
        </w:rPr>
        <w:t>April 25, 2013</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37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tcPr>
          <w:p>
            <w:pPr>
              <w:jc w:val="center"/>
              <w:ind w:right="6880"/>
              <w:spacing w:after="0"/>
              <w:rPr>
                <w:sz w:val="20"/>
                <w:szCs w:val="20"/>
                <w:color w:val="auto"/>
              </w:rPr>
            </w:pPr>
            <w:r>
              <w:rPr>
                <w:rFonts w:ascii="Arial" w:cs="Arial" w:eastAsia="Arial" w:hAnsi="Arial"/>
                <w:sz w:val="16"/>
                <w:szCs w:val="16"/>
                <w:color w:val="auto"/>
                <w:w w:val="91"/>
              </w:rPr>
              <w:t>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8020" w:type="dxa"/>
            <w:vAlign w:val="bottom"/>
            <w:gridSpan w:val="3"/>
          </w:tcPr>
          <w:p>
            <w:pPr>
              <w:jc w:val="center"/>
              <w:ind w:right="6540"/>
              <w:spacing w:after="0"/>
              <w:rPr>
                <w:sz w:val="20"/>
                <w:szCs w:val="20"/>
                <w:color w:val="auto"/>
              </w:rPr>
            </w:pPr>
            <w:r>
              <w:rPr>
                <w:rFonts w:ascii="Arial" w:cs="Arial" w:eastAsia="Arial" w:hAnsi="Arial"/>
                <w:sz w:val="16"/>
                <w:szCs w:val="16"/>
                <w:color w:val="auto"/>
                <w:w w:val="93"/>
              </w:rPr>
              <w:t>CURRENT 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97</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55</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Short-term bank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517</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Receivables and prepaid expenses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180</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667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LONG-TERM ASSETS:</w:t>
            </w:r>
          </w:p>
        </w:tc>
        <w:tc>
          <w:tcPr>
            <w:tcW w:w="10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Restricted bank deposits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507</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Long-term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long-term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21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537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201</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1,204</w:t>
            </w: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66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LIABILITIES AND SHAREHOLDERS' EQUITY (DEFICIENCY)</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Trade payables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Other accounts payable</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Convertible Notes</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current liabilities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line="156"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SHAREHOLDERS' EQUITY (DEFICIENCY):</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0" w:type="dxa"/>
            <w:vAlign w:val="bottom"/>
            <w:gridSpan w:val="2"/>
            <w:shd w:val="clear" w:color="auto" w:fill="CCFFCC"/>
          </w:tcPr>
          <w:p>
            <w:pPr>
              <w:ind w:left="120"/>
              <w:spacing w:after="0" w:line="180" w:lineRule="exact"/>
              <w:rPr>
                <w:sz w:val="20"/>
                <w:szCs w:val="20"/>
                <w:color w:val="auto"/>
              </w:rPr>
            </w:pPr>
            <w:r>
              <w:rPr>
                <w:rFonts w:ascii="Arial" w:cs="Arial" w:eastAsia="Arial" w:hAnsi="Arial"/>
                <w:sz w:val="16"/>
                <w:szCs w:val="16"/>
                <w:color w:val="auto"/>
              </w:rPr>
              <w:t>Ordinary shares of NIS 0.01 par value -</w:t>
            </w: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10,000,000 shares authorized at December 31, 2012 and 2011; 8,098,581 and 8,096,109 issued shares at</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December 31, 2012 and 2011, respectively; 7,794,256 and 8,096,109 shares outstanding at December 31, 2012 and</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2011, respectively</w:t>
            </w:r>
          </w:p>
        </w:tc>
        <w:tc>
          <w:tcPr>
            <w:tcW w:w="100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shares (304,324 Ordinary shares as of December 31, 2012)</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Additional paid- in capital</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7,615</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Deficit accumulated during the development stage</w:t>
            </w: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(8,186)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shareholders' equity (deficiency)</w:t>
            </w:r>
          </w:p>
        </w:tc>
        <w:tc>
          <w:tcPr>
            <w:tcW w:w="100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(567)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 (DEFICIENCY)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201</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 Represents an amount lower than $ 1.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802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5280"/>
              <w:spacing w:after="0"/>
              <w:rPr>
                <w:sz w:val="20"/>
                <w:szCs w:val="20"/>
                <w:color w:val="auto"/>
              </w:rPr>
            </w:pPr>
            <w:r>
              <w:rPr>
                <w:rFonts w:ascii="Arial" w:cs="Arial" w:eastAsia="Arial" w:hAnsi="Arial"/>
                <w:sz w:val="16"/>
                <w:szCs w:val="16"/>
                <w:color w:val="auto"/>
              </w:rPr>
              <w:t>F-4</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(date of inception) to</w:t>
            </w: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7"/>
                <w:szCs w:val="17"/>
                <w:color w:val="auto"/>
              </w:rPr>
            </w:pP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Research and development expenses, net</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1,822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3,768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683</w:t>
            </w: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2,084</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4,042</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1,501</w:t>
            </w:r>
          </w:p>
        </w:tc>
        <w:tc>
          <w:tcPr>
            <w:tcW w:w="4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3,906</w:t>
            </w:r>
          </w:p>
        </w:tc>
        <w:tc>
          <w:tcPr>
            <w:tcW w:w="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7,810</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Financial expenses, net</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196</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comprehensive loss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3,929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Deemed dividend</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 attributable to holders of Ordinary shares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4,109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8,186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basic and diluted loss per share</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6000" w:type="dxa"/>
            <w:vAlign w:val="bottom"/>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Weighted average number of Ordinary shares used in computing basic and diluted net loss</w:t>
            </w:r>
          </w:p>
        </w:tc>
        <w:tc>
          <w:tcPr>
            <w:tcW w:w="2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per share</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3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7,843,388</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0" w:lineRule="exact"/>
              <w:rPr>
                <w:sz w:val="20"/>
                <w:szCs w:val="20"/>
                <w:color w:val="auto"/>
              </w:rPr>
            </w:pPr>
            <w:r>
              <w:rPr>
                <w:rFonts w:ascii="Arial" w:cs="Arial" w:eastAsia="Arial" w:hAnsi="Arial"/>
                <w:sz w:val="11"/>
                <w:szCs w:val="11"/>
                <w:color w:val="auto"/>
                <w:w w:val="89"/>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Arial" w:cs="Arial" w:eastAsia="Arial" w:hAnsi="Arial"/>
                <w:sz w:val="11"/>
                <w:szCs w:val="11"/>
                <w:color w:val="auto"/>
                <w:w w:val="89"/>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ind w:right="240"/>
              <w:spacing w:after="0" w:line="120"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1"/>
                <w:szCs w:val="11"/>
                <w:color w:val="auto"/>
                <w:w w:val="93"/>
              </w:rPr>
              <w:t>during the</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color w:val="auto"/>
                <w:w w:val="88"/>
              </w:rPr>
              <w:t>shareholders'</w:t>
            </w:r>
          </w:p>
        </w:tc>
      </w:tr>
      <w:tr>
        <w:trPr>
          <w:trHeight w:val="134"/>
        </w:trPr>
        <w:tc>
          <w:tcPr>
            <w:tcW w:w="3220" w:type="dxa"/>
            <w:vAlign w:val="bottom"/>
          </w:tcPr>
          <w:p>
            <w:pPr>
              <w:spacing w:after="0"/>
              <w:rPr>
                <w:sz w:val="11"/>
                <w:szCs w:val="11"/>
                <w:color w:val="auto"/>
              </w:rPr>
            </w:pPr>
          </w:p>
        </w:tc>
        <w:tc>
          <w:tcPr>
            <w:tcW w:w="1220" w:type="dxa"/>
            <w:vAlign w:val="bottom"/>
            <w:gridSpan w:val="3"/>
          </w:tcPr>
          <w:p>
            <w:pPr>
              <w:jc w:val="right"/>
              <w:ind w:right="38"/>
              <w:spacing w:after="0"/>
              <w:rPr>
                <w:sz w:val="20"/>
                <w:szCs w:val="20"/>
                <w:color w:val="auto"/>
              </w:rPr>
            </w:pPr>
            <w:r>
              <w:rPr>
                <w:rFonts w:ascii="Arial" w:cs="Arial" w:eastAsia="Arial" w:hAnsi="Arial"/>
                <w:sz w:val="11"/>
                <w:szCs w:val="11"/>
                <w:color w:val="auto"/>
              </w:rPr>
              <w:t>Ordinary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Preferred A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jc w:val="right"/>
              <w:spacing w:after="0"/>
              <w:rPr>
                <w:sz w:val="20"/>
                <w:szCs w:val="20"/>
                <w:color w:val="auto"/>
              </w:rPr>
            </w:pPr>
            <w:r>
              <w:rPr>
                <w:rFonts w:ascii="Arial" w:cs="Arial" w:eastAsia="Arial" w:hAnsi="Arial"/>
                <w:sz w:val="11"/>
                <w:szCs w:val="11"/>
                <w:color w:val="auto"/>
              </w:rPr>
              <w:t>Preferred B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5"/>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22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28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89"/>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32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gridSpan w:val="2"/>
            <w:shd w:val="clear" w:color="auto" w:fill="CCFFCC"/>
          </w:tcPr>
          <w:p>
            <w:pPr>
              <w:jc w:val="right"/>
              <w:ind w:right="140"/>
              <w:spacing w:after="0" w:line="124" w:lineRule="exact"/>
              <w:rPr>
                <w:sz w:val="20"/>
                <w:szCs w:val="20"/>
                <w:color w:val="auto"/>
              </w:rPr>
            </w:pPr>
            <w:r>
              <w:rPr>
                <w:rFonts w:ascii="Arial" w:cs="Arial" w:eastAsia="Arial" w:hAnsi="Arial"/>
                <w:sz w:val="11"/>
                <w:szCs w:val="11"/>
                <w:color w:val="auto"/>
              </w:rPr>
              <w:t>Number</w:t>
            </w:r>
          </w:p>
        </w:tc>
        <w:tc>
          <w:tcPr>
            <w:tcW w:w="8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rPr>
              <w:t>capital</w:t>
            </w:r>
          </w:p>
        </w:tc>
        <w:tc>
          <w:tcPr>
            <w:tcW w:w="1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jc w:val="right"/>
              <w:spacing w:after="0" w:line="124" w:lineRule="exact"/>
              <w:rPr>
                <w:sz w:val="20"/>
                <w:szCs w:val="20"/>
                <w:color w:val="auto"/>
              </w:rPr>
            </w:pPr>
            <w:r>
              <w:rPr>
                <w:rFonts w:ascii="Arial" w:cs="Arial" w:eastAsia="Arial" w:hAnsi="Arial"/>
                <w:sz w:val="11"/>
                <w:szCs w:val="11"/>
                <w:color w:val="auto"/>
              </w:rPr>
              <w:t>stage</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92"/>
              </w:rPr>
              <w:t>(deficiency)</w:t>
            </w:r>
          </w:p>
        </w:tc>
        <w:tc>
          <w:tcPr>
            <w:tcW w:w="120" w:type="dxa"/>
            <w:vAlign w:val="bottom"/>
            <w:tcBorders>
              <w:top w:val="single" w:sz="8" w:color="CCFFCC"/>
            </w:tcBorders>
            <w:shd w:val="clear" w:color="auto" w:fill="CCFFCC"/>
          </w:tcPr>
          <w:p>
            <w:pPr>
              <w:spacing w:after="0"/>
              <w:rPr>
                <w:sz w:val="10"/>
                <w:szCs w:val="10"/>
                <w:color w:val="auto"/>
              </w:rPr>
            </w:pP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February 7, 2008 (date of inception)</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FFCC"/>
          </w:tcPr>
          <w:p>
            <w:pPr>
              <w:jc w:val="right"/>
              <w:ind w:right="20"/>
              <w:spacing w:after="0" w:line="12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at par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747,339</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657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657</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w w:val="98"/>
              </w:rPr>
              <w:t>Preferred A shares issued to service provider ($0.92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81,528</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1"/>
                <w:szCs w:val="11"/>
                <w:color w:val="auto"/>
                <w:w w:val="8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75</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Share based compensation related to warrants granted 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consultant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1"/>
              </w:rPr>
              <w:t>28</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w w:val="81"/>
              </w:rPr>
              <w:t>28</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(666)</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2008</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828,867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97</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203,818</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187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187</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Issuance of Preferred A shares granted to service provider</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($0.92 per share)</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190,229</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175</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461,987</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(461,987)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(608)</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2009</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6,214,587</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1,122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(1,274)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80"/>
              <w:spacing w:after="0" w:line="120" w:lineRule="exact"/>
              <w:rPr>
                <w:sz w:val="20"/>
                <w:szCs w:val="20"/>
                <w:color w:val="auto"/>
              </w:rPr>
            </w:pPr>
            <w:r>
              <w:rPr>
                <w:rFonts w:ascii="Arial" w:cs="Arial" w:eastAsia="Arial" w:hAnsi="Arial"/>
                <w:sz w:val="11"/>
                <w:szCs w:val="11"/>
                <w:color w:val="auto"/>
              </w:rPr>
              <w:t>(149)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net ($2.18 per unit</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of 1 share and 0.25 warrant)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342,691</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723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723</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upon conversion of</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tcPr>
          <w:p>
            <w:pPr>
              <w:ind w:left="320"/>
              <w:spacing w:after="0" w:line="120" w:lineRule="exact"/>
              <w:rPr>
                <w:sz w:val="20"/>
                <w:szCs w:val="20"/>
                <w:color w:val="auto"/>
              </w:rPr>
            </w:pPr>
            <w:r>
              <w:rPr>
                <w:rFonts w:ascii="Arial" w:cs="Arial" w:eastAsia="Arial" w:hAnsi="Arial"/>
                <w:sz w:val="11"/>
                <w:szCs w:val="11"/>
                <w:color w:val="auto"/>
              </w:rPr>
              <w:t>convertible notes ($1.75 per unit of 1 share and 0.25</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warrant)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128,512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279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7"/>
              </w:rPr>
              <w:t>Issuance of Preferred B shares and warrants granted to service</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provider</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55,008</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4"/>
              </w:rPr>
              <w:t>Share based compensation related to options granted to a service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provider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242</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288,681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(1,224)</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2010</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6,503,268</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526,211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2,486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(2,498)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(9)</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and B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1,287,138</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1</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(760,927)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(526,211)</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Deemed dividend in respect of equity restructuring</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Issuance of Ordinary shares upon conversion of loan into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Ordinary shares net ($11.5 per share)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104,345</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1,200</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net ($11.5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199,979</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2,170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2,170</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1,379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1,553</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December 31, 2011</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8,096,109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7,588</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1"/>
                <w:szCs w:val="11"/>
                <w:color w:val="auto"/>
              </w:rPr>
              <w:t>(6,607)</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985</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Treasury shares</w:t>
            </w:r>
          </w:p>
        </w:tc>
        <w:tc>
          <w:tcPr>
            <w:tcW w:w="9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(304,324)</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2,471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81"/>
              </w:rPr>
              <w:t>26</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220" w:type="dxa"/>
            <w:vAlign w:val="bottom"/>
            <w:shd w:val="clear" w:color="auto" w:fill="CCFFCC"/>
          </w:tcPr>
          <w:p>
            <w:pPr>
              <w:ind w:left="40"/>
              <w:spacing w:after="0"/>
              <w:rPr>
                <w:sz w:val="20"/>
                <w:szCs w:val="20"/>
                <w:color w:val="auto"/>
              </w:rPr>
            </w:pPr>
            <w:r>
              <w:rPr>
                <w:rFonts w:ascii="Arial" w:cs="Arial" w:eastAsia="Arial" w:hAnsi="Arial"/>
                <w:sz w:val="11"/>
                <w:szCs w:val="11"/>
                <w:color w:val="auto"/>
              </w:rPr>
              <w:t>Balance as of December 31, 2012</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7,794,256</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7,615</w:t>
            </w:r>
          </w:p>
        </w:tc>
        <w:tc>
          <w:tcPr>
            <w:tcW w:w="140" w:type="dxa"/>
            <w:vAlign w:val="bottom"/>
            <w:shd w:val="clear" w:color="auto" w:fill="CCFFCC"/>
          </w:tcPr>
          <w:p>
            <w:pPr>
              <w:spacing w:after="0"/>
              <w:rPr>
                <w:sz w:val="12"/>
                <w:szCs w:val="12"/>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(8,186</w:t>
            </w:r>
            <w:r>
              <w:rPr>
                <w:rFonts w:ascii="Arial" w:cs="Arial" w:eastAsia="Arial" w:hAnsi="Arial"/>
                <w:sz w:val="16"/>
                <w:szCs w:val="16"/>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(567</w:t>
            </w:r>
            <w:r>
              <w:rPr>
                <w:rFonts w:ascii="Arial" w:cs="Arial" w:eastAsia="Arial" w:hAnsi="Arial"/>
                <w:sz w:val="16"/>
                <w:szCs w:val="16"/>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7"/>
          </w:tcPr>
          <w:p>
            <w:pPr>
              <w:jc w:val="right"/>
              <w:spacing w:after="0"/>
              <w:rPr>
                <w:sz w:val="20"/>
                <w:szCs w:val="20"/>
                <w:color w:val="auto"/>
              </w:rPr>
            </w:pPr>
            <w:r>
              <w:rPr>
                <w:rFonts w:ascii="Arial" w:cs="Arial" w:eastAsia="Arial" w:hAnsi="Arial"/>
                <w:sz w:val="16"/>
                <w:szCs w:val="16"/>
                <w:b w:val="1"/>
                <w:bCs w:val="1"/>
                <w:color w:val="auto"/>
              </w:rPr>
              <w:t>(A development stage company)</w:t>
            </w:r>
          </w:p>
        </w:tc>
        <w:tc>
          <w:tcPr>
            <w:tcW w:w="0" w:type="dxa"/>
            <w:vAlign w:val="bottom"/>
          </w:tcPr>
          <w:p>
            <w:pPr>
              <w:spacing w:after="0"/>
              <w:rPr>
                <w:sz w:val="1"/>
                <w:szCs w:val="1"/>
                <w:color w:val="auto"/>
              </w:rPr>
            </w:pPr>
          </w:p>
        </w:tc>
      </w:tr>
      <w:tr>
        <w:trPr>
          <w:trHeight w:val="388"/>
        </w:trPr>
        <w:tc>
          <w:tcPr>
            <w:tcW w:w="6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STATEMENTS OF CASH FLOWS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5"/>
          </w:tcPr>
          <w:p>
            <w:pPr>
              <w:spacing w:after="0"/>
              <w:rPr>
                <w:sz w:val="20"/>
                <w:szCs w:val="20"/>
                <w:color w:val="auto"/>
              </w:rPr>
            </w:pPr>
            <w:r>
              <w:rPr>
                <w:rFonts w:ascii="Arial" w:cs="Arial" w:eastAsia="Arial" w:hAnsi="Arial"/>
                <w:sz w:val="16"/>
                <w:szCs w:val="16"/>
                <w:b w:val="1"/>
                <w:bCs w:val="1"/>
                <w:color w:val="auto"/>
              </w:rPr>
              <w:t>U.S. dollars in thousands, except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(date of inception)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4"/>
        </w:trPr>
        <w:tc>
          <w:tcPr>
            <w:tcW w:w="6420" w:type="dxa"/>
            <w:vAlign w:val="bottom"/>
            <w:gridSpan w:val="5"/>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(1,579)</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(3,929)</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Decrease (increase) in receivables and prepaid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Increase (decrease) in trade payables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(101)</w:t>
            </w: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Increase (decrease) in other accounts payable</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Interest on convertible notes</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Stock base compensation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(1,585)</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short-term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517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Decrease (increase) in long-term deposit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restricted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507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1,026</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Proceeds from issuance of convertible notes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Proceeds from loan</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Issuance of shares, net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837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00" w:type="dxa"/>
            <w:vAlign w:val="bottom"/>
            <w:gridSpan w:val="4"/>
            <w:shd w:val="clear" w:color="auto" w:fill="CCFFCC"/>
          </w:tcPr>
          <w:p>
            <w:pPr>
              <w:spacing w:after="0" w:line="156"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FFCC"/>
          </w:tcPr>
          <w:p>
            <w:pPr>
              <w:spacing w:after="0"/>
              <w:rPr>
                <w:sz w:val="14"/>
                <w:szCs w:val="14"/>
                <w:color w:val="auto"/>
              </w:rPr>
            </w:pPr>
          </w:p>
        </w:tc>
        <w:tc>
          <w:tcPr>
            <w:tcW w:w="11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860" w:type="dxa"/>
            <w:vAlign w:val="bottom"/>
            <w:tcBorders>
              <w:top w:val="single" w:sz="8" w:color="CCFFCC"/>
            </w:tcBorders>
          </w:tcPr>
          <w:p>
            <w:pPr>
              <w:spacing w:after="0"/>
              <w:rPr>
                <w:sz w:val="16"/>
                <w:szCs w:val="16"/>
                <w:color w:val="auto"/>
              </w:rPr>
            </w:pPr>
          </w:p>
        </w:tc>
        <w:tc>
          <w:tcPr>
            <w:tcW w:w="320" w:type="dxa"/>
            <w:vAlign w:val="bottom"/>
            <w:tcBorders>
              <w:top w:val="single" w:sz="8" w:color="CCFFCC"/>
            </w:tcBorders>
          </w:tcPr>
          <w:p>
            <w:pPr>
              <w:spacing w:after="0"/>
              <w:rPr>
                <w:sz w:val="16"/>
                <w:szCs w:val="16"/>
                <w:color w:val="auto"/>
              </w:rPr>
            </w:pPr>
          </w:p>
        </w:tc>
        <w:tc>
          <w:tcPr>
            <w:tcW w:w="1180" w:type="dxa"/>
            <w:vAlign w:val="bottom"/>
            <w:tcBorders>
              <w:top w:val="single" w:sz="8" w:color="CCFFCC"/>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460" w:type="dxa"/>
            <w:vAlign w:val="bottom"/>
            <w:tcBorders>
              <w:top w:val="single" w:sz="8" w:color="CCFFCC"/>
            </w:tcBorders>
          </w:tcPr>
          <w:p>
            <w:pPr>
              <w:spacing w:after="0"/>
              <w:rPr>
                <w:sz w:val="16"/>
                <w:szCs w:val="16"/>
                <w:color w:val="auto"/>
              </w:rPr>
            </w:pPr>
          </w:p>
        </w:tc>
        <w:tc>
          <w:tcPr>
            <w:tcW w:w="1020" w:type="dxa"/>
            <w:vAlign w:val="bottom"/>
            <w:tcBorders>
              <w:top w:val="single" w:sz="8" w:color="CCFFCC"/>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6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Issuance of Preferred B shares and warrants upon conversion of convertible notes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FFCC"/>
              <w:bottom w:val="single" w:sz="8" w:color="CCFFCC"/>
            </w:tcBorders>
            <w:gridSpan w:val="4"/>
            <w:vMerge w:val="restart"/>
          </w:tcPr>
          <w:p>
            <w:pPr>
              <w:ind w:left="120"/>
              <w:spacing w:after="0"/>
              <w:rPr>
                <w:sz w:val="20"/>
                <w:szCs w:val="20"/>
                <w:color w:val="auto"/>
              </w:rPr>
            </w:pPr>
            <w:r>
              <w:rPr>
                <w:rFonts w:ascii="Arial" w:cs="Arial" w:eastAsia="Arial" w:hAnsi="Arial"/>
                <w:sz w:val="16"/>
                <w:szCs w:val="16"/>
                <w:color w:val="auto"/>
              </w:rPr>
              <w:t>Issuance of Ordinary shares upon conversion of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400" w:type="dxa"/>
            <w:vAlign w:val="bottom"/>
            <w:gridSpan w:val="4"/>
            <w:vMerge w:val="continue"/>
          </w:tcPr>
          <w:p>
            <w:pPr>
              <w:spacing w:after="0"/>
              <w:rPr>
                <w:sz w:val="14"/>
                <w:szCs w:val="14"/>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204" w:lineRule="exact"/>
        <w:rPr>
          <w:sz w:val="20"/>
          <w:szCs w:val="20"/>
          <w:color w:val="auto"/>
        </w:rPr>
      </w:pPr>
    </w:p>
    <w:p>
      <w:pPr>
        <w:jc w:val="both"/>
        <w:ind w:left="1340" w:right="20" w:hanging="443"/>
        <w:spacing w:after="0" w:line="255" w:lineRule="auto"/>
        <w:tabs>
          <w:tab w:leader="none" w:pos="1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9" w:lineRule="exact"/>
        <w:rPr>
          <w:rFonts w:ascii="Arial" w:cs="Arial" w:eastAsia="Arial" w:hAnsi="Arial"/>
          <w:sz w:val="16"/>
          <w:szCs w:val="16"/>
          <w:color w:val="auto"/>
        </w:rPr>
      </w:pPr>
    </w:p>
    <w:p>
      <w:pPr>
        <w:jc w:val="both"/>
        <w:ind w:left="1340" w:hanging="443"/>
        <w:spacing w:after="0" w:line="272" w:lineRule="auto"/>
        <w:tabs>
          <w:tab w:leader="none" w:pos="1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early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00" w:lineRule="exact"/>
        <w:rPr>
          <w:sz w:val="20"/>
          <w:szCs w:val="20"/>
          <w:color w:val="auto"/>
        </w:rPr>
      </w:pPr>
    </w:p>
    <w:p>
      <w:pPr>
        <w:ind w:left="1340" w:hanging="443"/>
        <w:spacing w:after="0"/>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0" w:lineRule="exact"/>
        <w:rPr>
          <w:rFonts w:ascii="Arial" w:cs="Arial" w:eastAsia="Arial" w:hAnsi="Arial"/>
          <w:sz w:val="16"/>
          <w:szCs w:val="16"/>
          <w:color w:val="auto"/>
        </w:rPr>
      </w:pPr>
    </w:p>
    <w:p>
      <w:pPr>
        <w:ind w:left="1360" w:right="80"/>
        <w:spacing w:after="0" w:line="308" w:lineRule="auto"/>
        <w:rPr>
          <w:rFonts w:ascii="Arial" w:cs="Arial" w:eastAsia="Arial" w:hAnsi="Arial"/>
          <w:sz w:val="16"/>
          <w:szCs w:val="16"/>
          <w:color w:val="auto"/>
        </w:rPr>
      </w:pPr>
      <w:r>
        <w:rPr>
          <w:rFonts w:ascii="Arial" w:cs="Arial" w:eastAsia="Arial" w:hAnsi="Arial"/>
          <w:sz w:val="14"/>
          <w:szCs w:val="14"/>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Financial statements in U.S. dollars:</w:t>
      </w:r>
    </w:p>
    <w:p>
      <w:pPr>
        <w:spacing w:after="0" w:line="200" w:lineRule="exact"/>
        <w:rPr>
          <w:rFonts w:ascii="Arial" w:cs="Arial" w:eastAsia="Arial" w:hAnsi="Arial"/>
          <w:sz w:val="16"/>
          <w:szCs w:val="16"/>
          <w:color w:val="auto"/>
        </w:rPr>
      </w:pPr>
    </w:p>
    <w:p>
      <w:pPr>
        <w:ind w:left="1360" w:right="280"/>
        <w:spacing w:after="0" w:line="259" w:lineRule="auto"/>
        <w:rPr>
          <w:rFonts w:ascii="Arial" w:cs="Arial" w:eastAsia="Arial" w:hAnsi="Arial"/>
          <w:sz w:val="16"/>
          <w:szCs w:val="16"/>
          <w:color w:val="auto"/>
        </w:rPr>
      </w:pPr>
      <w:r>
        <w:rPr>
          <w:rFonts w:ascii="Arial" w:cs="Arial" w:eastAsia="Arial" w:hAnsi="Arial"/>
          <w:sz w:val="16"/>
          <w:szCs w:val="16"/>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66" w:lineRule="exact"/>
        <w:rPr>
          <w:rFonts w:ascii="Arial" w:cs="Arial" w:eastAsia="Arial" w:hAnsi="Arial"/>
          <w:sz w:val="16"/>
          <w:szCs w:val="16"/>
          <w:color w:val="auto"/>
        </w:rPr>
      </w:pPr>
    </w:p>
    <w:p>
      <w:pPr>
        <w:ind w:left="1360" w:right="40"/>
        <w:spacing w:after="0" w:line="259" w:lineRule="auto"/>
        <w:rPr>
          <w:rFonts w:ascii="Arial" w:cs="Arial" w:eastAsia="Arial" w:hAnsi="Arial"/>
          <w:sz w:val="16"/>
          <w:szCs w:val="16"/>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66"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Cash equivalents are short-term highly liquid investments that are readily convertible to cash with original maturities of three months or less at acquisition.</w:t>
      </w:r>
    </w:p>
    <w:p>
      <w:pPr>
        <w:spacing w:after="0" w:line="223"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Short-term bank deposit</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Restricted bank deposits: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Restricted bank deposits are pledged in favor of the bank which provides to the Company guarantees with respect to office lease agreements and credit card usage.</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Property and equipment, net:</w:t>
      </w:r>
    </w:p>
    <w:p>
      <w:pPr>
        <w:spacing w:after="0" w:line="200" w:lineRule="exact"/>
        <w:rPr>
          <w:rFonts w:ascii="Arial" w:cs="Arial" w:eastAsia="Arial" w:hAnsi="Arial"/>
          <w:sz w:val="16"/>
          <w:szCs w:val="16"/>
          <w:color w:val="auto"/>
        </w:rPr>
      </w:pPr>
    </w:p>
    <w:p>
      <w:pPr>
        <w:ind w:left="1360" w:right="400"/>
        <w:spacing w:after="0" w:line="277" w:lineRule="auto"/>
        <w:rPr>
          <w:rFonts w:ascii="Arial" w:cs="Arial" w:eastAsia="Arial" w:hAnsi="Arial"/>
          <w:sz w:val="16"/>
          <w:szCs w:val="16"/>
          <w:color w:val="auto"/>
        </w:rPr>
      </w:pPr>
      <w:r>
        <w:rPr>
          <w:rFonts w:ascii="Arial" w:cs="Arial" w:eastAsia="Arial" w:hAnsi="Arial"/>
          <w:sz w:val="16"/>
          <w:szCs w:val="16"/>
          <w:color w:val="auto"/>
        </w:rPr>
        <w:t>Property and equipment are stated at cost, net of accumulated depreciation. Depreciation is calculated using the straight-line method over the estimated useful lives of the assets at the following rates: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340" w:type="dxa"/>
            <w:vAlign w:val="bottom"/>
          </w:tcPr>
          <w:p>
            <w:pPr>
              <w:spacing w:after="0"/>
              <w:rPr>
                <w:sz w:val="18"/>
                <w:szCs w:val="18"/>
                <w:color w:val="auto"/>
              </w:rPr>
            </w:pPr>
          </w:p>
        </w:tc>
      </w:tr>
      <w:tr>
        <w:trPr>
          <w:trHeight w:val="364"/>
        </w:trPr>
        <w:tc>
          <w:tcPr>
            <w:tcW w:w="4680" w:type="dxa"/>
            <w:vAlign w:val="bottom"/>
          </w:tcPr>
          <w:p>
            <w:pPr>
              <w:ind w:left="1380"/>
              <w:spacing w:after="0"/>
              <w:rPr>
                <w:sz w:val="20"/>
                <w:szCs w:val="20"/>
                <w:color w:val="auto"/>
              </w:rPr>
            </w:pPr>
            <w:r>
              <w:rPr>
                <w:rFonts w:ascii="Arial" w:cs="Arial" w:eastAsia="Arial" w:hAnsi="Arial"/>
                <w:sz w:val="16"/>
                <w:szCs w:val="16"/>
                <w:color w:val="auto"/>
              </w:rPr>
              <w:t>Computers and electronic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24"/>
                <w:szCs w:val="24"/>
                <w:color w:val="auto"/>
              </w:rPr>
            </w:pPr>
          </w:p>
        </w:tc>
      </w:tr>
      <w:tr>
        <w:trPr>
          <w:trHeight w:val="192"/>
        </w:trPr>
        <w:tc>
          <w:tcPr>
            <w:tcW w:w="4680" w:type="dxa"/>
            <w:vAlign w:val="bottom"/>
          </w:tcPr>
          <w:p>
            <w:pPr>
              <w:ind w:left="1380"/>
              <w:spacing w:after="0"/>
              <w:rPr>
                <w:sz w:val="20"/>
                <w:szCs w:val="20"/>
                <w:color w:val="auto"/>
              </w:rPr>
            </w:pPr>
            <w:r>
              <w:rPr>
                <w:rFonts w:ascii="Arial" w:cs="Arial" w:eastAsia="Arial" w:hAnsi="Arial"/>
                <w:sz w:val="16"/>
                <w:szCs w:val="16"/>
                <w:color w:val="auto"/>
              </w:rPr>
              <w:t>Office furniture and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w:t>
            </w:r>
          </w:p>
        </w:tc>
        <w:tc>
          <w:tcPr>
            <w:tcW w:w="4340" w:type="dxa"/>
            <w:vAlign w:val="bottom"/>
          </w:tcPr>
          <w:p>
            <w:pPr>
              <w:spacing w:after="0"/>
              <w:rPr>
                <w:sz w:val="16"/>
                <w:szCs w:val="16"/>
                <w:color w:val="auto"/>
              </w:rPr>
            </w:pPr>
          </w:p>
        </w:tc>
      </w:tr>
      <w:tr>
        <w:trPr>
          <w:trHeight w:val="205"/>
        </w:trPr>
        <w:tc>
          <w:tcPr>
            <w:tcW w:w="4680" w:type="dxa"/>
            <w:vAlign w:val="bottom"/>
          </w:tcPr>
          <w:p>
            <w:pPr>
              <w:ind w:left="1380"/>
              <w:spacing w:after="0"/>
              <w:rPr>
                <w:sz w:val="20"/>
                <w:szCs w:val="20"/>
                <w:color w:val="auto"/>
              </w:rPr>
            </w:pPr>
            <w:r>
              <w:rPr>
                <w:rFonts w:ascii="Arial" w:cs="Arial" w:eastAsia="Arial" w:hAnsi="Arial"/>
                <w:sz w:val="16"/>
                <w:szCs w:val="16"/>
                <w:color w:val="auto"/>
              </w:rPr>
              <w:t>Clinical and medical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17"/>
                <w:szCs w:val="17"/>
                <w:color w:val="auto"/>
              </w:rPr>
            </w:pPr>
          </w:p>
        </w:tc>
      </w:tr>
      <w:tr>
        <w:trPr>
          <w:trHeight w:val="577"/>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F-9</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60" w:right="40"/>
        <w:spacing w:after="0" w:line="256"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8" w:lineRule="exact"/>
        <w:rPr>
          <w:sz w:val="20"/>
          <w:szCs w:val="20"/>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Long-term deposits: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Long-term deposits include long-term deposits for motor vehicles under operating leases, presented at their cost.</w:t>
      </w:r>
    </w:p>
    <w:p>
      <w:pPr>
        <w:spacing w:after="0" w:line="200"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00" w:lineRule="exact"/>
        <w:rPr>
          <w:rFonts w:ascii="Arial" w:cs="Arial" w:eastAsia="Arial" w:hAnsi="Arial"/>
          <w:sz w:val="16"/>
          <w:szCs w:val="16"/>
          <w:color w:val="auto"/>
        </w:rPr>
      </w:pPr>
    </w:p>
    <w:p>
      <w:pPr>
        <w:jc w:val="both"/>
        <w:ind w:left="1360"/>
        <w:spacing w:after="0" w:line="302" w:lineRule="auto"/>
        <w:rPr>
          <w:rFonts w:ascii="Arial" w:cs="Arial" w:eastAsia="Arial" w:hAnsi="Arial"/>
          <w:sz w:val="16"/>
          <w:szCs w:val="16"/>
          <w:color w:val="auto"/>
        </w:rPr>
      </w:pPr>
      <w:r>
        <w:rPr>
          <w:rFonts w:ascii="Arial" w:cs="Arial" w:eastAsia="Arial" w:hAnsi="Arial"/>
          <w:sz w:val="14"/>
          <w:szCs w:val="14"/>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4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Severance pay expense for the years ended December 31, 2012 and 2011 amounted to $18 and $14,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00" w:lineRule="exact"/>
        <w:rPr>
          <w:rFonts w:ascii="Arial" w:cs="Arial" w:eastAsia="Arial" w:hAnsi="Arial"/>
          <w:sz w:val="16"/>
          <w:szCs w:val="16"/>
          <w:color w:val="auto"/>
        </w:rPr>
      </w:pPr>
    </w:p>
    <w:p>
      <w:pPr>
        <w:jc w:val="both"/>
        <w:ind w:left="1360" w:right="20"/>
        <w:spacing w:after="0" w:line="259" w:lineRule="auto"/>
        <w:rPr>
          <w:rFonts w:ascii="Arial" w:cs="Arial" w:eastAsia="Arial" w:hAnsi="Arial"/>
          <w:sz w:val="16"/>
          <w:szCs w:val="16"/>
          <w:color w:val="auto"/>
        </w:rPr>
      </w:pPr>
      <w:r>
        <w:rPr>
          <w:rFonts w:ascii="Arial" w:cs="Arial" w:eastAsia="Arial" w:hAnsi="Arial"/>
          <w:sz w:val="16"/>
          <w:szCs w:val="16"/>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66"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believes that its tax positions are all highly certain of being upheld upon examination. As such, as of December 31, 2012 and 2011 the Company has not recorded a liability for uncertain tax positions.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Concentrations of credit risk:</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Financial instruments that potentially subject the Company to concentrations of credit risk consist principally of cash, cash equivalents, short term bank deposit and restricted bank deposits.</w:t>
      </w:r>
    </w:p>
    <w:p>
      <w:pPr>
        <w:spacing w:after="0" w:line="151" w:lineRule="exact"/>
        <w:rPr>
          <w:rFonts w:ascii="Arial" w:cs="Arial" w:eastAsia="Arial" w:hAnsi="Arial"/>
          <w:sz w:val="16"/>
          <w:szCs w:val="16"/>
          <w:color w:val="auto"/>
        </w:rPr>
      </w:pPr>
    </w:p>
    <w:p>
      <w:pPr>
        <w:ind w:left="1360" w:right="20"/>
        <w:spacing w:after="0" w:line="351" w:lineRule="auto"/>
        <w:rPr>
          <w:rFonts w:ascii="Arial" w:cs="Arial" w:eastAsia="Arial" w:hAnsi="Arial"/>
          <w:sz w:val="16"/>
          <w:szCs w:val="16"/>
          <w:color w:val="auto"/>
        </w:rPr>
      </w:pPr>
      <w:r>
        <w:rPr>
          <w:rFonts w:ascii="Arial" w:cs="Arial" w:eastAsia="Arial" w:hAnsi="Arial"/>
          <w:sz w:val="14"/>
          <w:szCs w:val="14"/>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05"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no off-balance-sheet concentration of credit risk such as foreign exchange contracts, option contracts or other foreign hedging arrangements.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78" w:lineRule="auto"/>
        <w:rPr>
          <w:sz w:val="20"/>
          <w:szCs w:val="20"/>
          <w:color w:val="auto"/>
        </w:rPr>
      </w:pPr>
      <w:r>
        <w:rPr>
          <w:rFonts w:ascii="Arial" w:cs="Arial" w:eastAsia="Arial" w:hAnsi="Arial"/>
          <w:sz w:val="15"/>
          <w:szCs w:val="15"/>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 value.</w:t>
      </w:r>
    </w:p>
    <w:p>
      <w:pPr>
        <w:spacing w:after="0" w:line="152"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40"/>
          </w:cols>
          <w:pgMar w:left="240" w:top="820" w:right="219" w:bottom="1440" w:gutter="0" w:footer="0" w:header="0"/>
        </w:sectPr>
      </w:pP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Level 1 -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46"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2 -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6"/>
          <w:szCs w:val="16"/>
          <w:color w:val="auto"/>
        </w:rPr>
        <w:t>Valuations based on one or more quoted prices in markets that are not active or for which all significant inputs are observable, either directly or indirectly.</w:t>
      </w:r>
    </w:p>
    <w:p>
      <w:pPr>
        <w:spacing w:after="0" w:line="152"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spacing w:after="0" w:line="1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52" w:lineRule="exact"/>
        <w:rPr>
          <w:sz w:val="20"/>
          <w:szCs w:val="20"/>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Basic and diluted net loss per share:</w:t>
      </w:r>
    </w:p>
    <w:p>
      <w:pPr>
        <w:spacing w:after="0" w:line="200" w:lineRule="exact"/>
        <w:rPr>
          <w:rFonts w:ascii="Arial" w:cs="Arial" w:eastAsia="Arial" w:hAnsi="Arial"/>
          <w:sz w:val="16"/>
          <w:szCs w:val="16"/>
          <w:color w:val="auto"/>
        </w:rPr>
      </w:pPr>
    </w:p>
    <w:p>
      <w:pPr>
        <w:ind w:left="1360" w:right="260"/>
        <w:spacing w:after="0" w:line="264" w:lineRule="auto"/>
        <w:rPr>
          <w:rFonts w:ascii="Arial" w:cs="Arial" w:eastAsia="Arial" w:hAnsi="Arial"/>
          <w:sz w:val="16"/>
          <w:szCs w:val="16"/>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All outstanding stock options and warrants have been excluded from the calculation of the diluted net loss per share because all such securities are anti-dilutive for all periods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Accounting for stock-based compensation:</w:t>
      </w:r>
    </w:p>
    <w:p>
      <w:pPr>
        <w:spacing w:after="0" w:line="200"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selected the Black-Scholes-Merton ("Black-Scholes") option-pricing model as the fair value method for of its stock-options awards. The option-pricing model requires a number of assumptions as noted below:</w:t>
      </w:r>
    </w:p>
    <w:p>
      <w:pPr>
        <w:spacing w:after="0" w:line="151" w:lineRule="exact"/>
        <w:rPr>
          <w:rFonts w:ascii="Arial" w:cs="Arial" w:eastAsia="Arial" w:hAnsi="Arial"/>
          <w:sz w:val="16"/>
          <w:szCs w:val="16"/>
          <w:color w:val="auto"/>
        </w:rPr>
      </w:pPr>
    </w:p>
    <w:p>
      <w:pPr>
        <w:ind w:left="1360" w:right="280"/>
        <w:spacing w:after="0" w:line="312" w:lineRule="auto"/>
        <w:rPr>
          <w:rFonts w:ascii="Arial" w:cs="Arial" w:eastAsia="Arial" w:hAnsi="Arial"/>
          <w:sz w:val="16"/>
          <w:szCs w:val="16"/>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 The expected dividend yield assumption is based on the Company's historical experience and expectation of no future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The Company has historically not paid cash dividends and has no foreseeable plans to pay cash dividends in the future.</w:t>
      </w:r>
    </w:p>
    <w:p>
      <w:pPr>
        <w:spacing w:after="0" w:line="128" w:lineRule="exact"/>
        <w:rPr>
          <w:rFonts w:ascii="Arial" w:cs="Arial" w:eastAsia="Arial" w:hAnsi="Arial"/>
          <w:sz w:val="16"/>
          <w:szCs w:val="16"/>
          <w:color w:val="auto"/>
        </w:rPr>
      </w:pPr>
    </w:p>
    <w:p>
      <w:pPr>
        <w:ind w:left="1360" w:right="220"/>
        <w:spacing w:after="0" w:line="351" w:lineRule="auto"/>
        <w:rPr>
          <w:rFonts w:ascii="Arial" w:cs="Arial" w:eastAsia="Arial" w:hAnsi="Arial"/>
          <w:sz w:val="16"/>
          <w:szCs w:val="16"/>
          <w:color w:val="auto"/>
        </w:rPr>
      </w:pPr>
      <w:r>
        <w:rPr>
          <w:rFonts w:ascii="Arial" w:cs="Arial" w:eastAsia="Arial" w:hAnsi="Arial"/>
          <w:sz w:val="14"/>
          <w:szCs w:val="14"/>
          <w:i w:val="1"/>
          <w:iCs w:val="1"/>
          <w:color w:val="auto"/>
        </w:rPr>
        <w:t xml:space="preserve">Volatility </w:t>
      </w:r>
      <w:r>
        <w:rPr>
          <w:rFonts w:ascii="Arial" w:cs="Arial" w:eastAsia="Arial" w:hAnsi="Arial"/>
          <w:sz w:val="14"/>
          <w:szCs w:val="14"/>
          <w:color w:val="auto"/>
        </w:rPr>
        <w:t>- Since the Company is not traded on any stock exchange market, quoted prices of the Company's share are unavailable. According to ASC 718,</w:t>
      </w:r>
      <w:r>
        <w:rPr>
          <w:rFonts w:ascii="Arial" w:cs="Arial" w:eastAsia="Arial" w:hAnsi="Arial"/>
          <w:sz w:val="14"/>
          <w:szCs w:val="14"/>
          <w:i w:val="1"/>
          <w:iCs w:val="1"/>
          <w:color w:val="auto"/>
        </w:rPr>
        <w:t xml:space="preserve"> </w:t>
      </w:r>
      <w:r>
        <w:rPr>
          <w:rFonts w:ascii="Arial" w:cs="Arial" w:eastAsia="Arial" w:hAnsi="Arial"/>
          <w:sz w:val="14"/>
          <w:szCs w:val="14"/>
          <w:color w:val="auto"/>
        </w:rPr>
        <w:t>due to insufficient or no historical data for a company, the expected volatility determination was based on similar companies' stock volatility.</w:t>
      </w:r>
    </w:p>
    <w:p>
      <w:pPr>
        <w:spacing w:after="0" w:line="105"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rFonts w:ascii="Arial" w:cs="Arial" w:eastAsia="Arial" w:hAnsi="Arial"/>
          <w:sz w:val="16"/>
          <w:szCs w:val="16"/>
          <w:color w:val="auto"/>
        </w:rPr>
      </w:pPr>
    </w:p>
    <w:p>
      <w:pPr>
        <w:jc w:val="both"/>
        <w:ind w:left="136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 at least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89" w:lineRule="auto"/>
        <w:rPr>
          <w:sz w:val="20"/>
          <w:szCs w:val="20"/>
          <w:color w:val="auto"/>
        </w:rPr>
      </w:pPr>
      <w:r>
        <w:rPr>
          <w:rFonts w:ascii="Arial" w:cs="Arial" w:eastAsia="Arial" w:hAnsi="Arial"/>
          <w:sz w:val="15"/>
          <w:szCs w:val="15"/>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3:- RECEIVABLES AND PREPAID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Government authorities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Advance to suppliers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2"/>
            <w:vMerge w:val="restart"/>
          </w:tcPr>
          <w:p>
            <w:pPr>
              <w:ind w:left="580"/>
              <w:spacing w:after="0"/>
              <w:rPr>
                <w:sz w:val="20"/>
                <w:szCs w:val="20"/>
                <w:color w:val="auto"/>
              </w:rPr>
            </w:pPr>
            <w:r>
              <w:rPr>
                <w:rFonts w:ascii="Arial" w:cs="Arial" w:eastAsia="Arial" w:hAnsi="Arial"/>
                <w:sz w:val="16"/>
                <w:szCs w:val="16"/>
                <w:color w:val="auto"/>
              </w:rPr>
              <w:t>Cost: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Depreciated cost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expenses for the years ended December 31, 2012 and 2011 were $7 and $6,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5:- OTHER ACCOUNTS PAYABLE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Employees and payroll accruals</w:t>
            </w:r>
          </w:p>
        </w:tc>
        <w:tc>
          <w:tcPr>
            <w:tcW w:w="1000" w:type="dxa"/>
            <w:vAlign w:val="bottom"/>
            <w:shd w:val="clear" w:color="auto" w:fill="CCFFCC"/>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FFCC"/>
          </w:tcPr>
          <w:p>
            <w:pPr>
              <w:spacing w:after="0"/>
              <w:rPr>
                <w:sz w:val="16"/>
                <w:szCs w:val="16"/>
                <w:color w:val="auto"/>
              </w:rPr>
            </w:pPr>
          </w:p>
        </w:tc>
      </w:tr>
      <w:tr>
        <w:trPr>
          <w:trHeight w:val="204"/>
        </w:trPr>
        <w:tc>
          <w:tcPr>
            <w:tcW w:w="580" w:type="dxa"/>
            <w:vAlign w:val="bottom"/>
          </w:tcPr>
          <w:p>
            <w:pPr>
              <w:spacing w:after="0"/>
              <w:rPr>
                <w:sz w:val="17"/>
                <w:szCs w:val="17"/>
                <w:color w:val="auto"/>
              </w:rPr>
            </w:pPr>
          </w:p>
        </w:tc>
        <w:tc>
          <w:tcPr>
            <w:tcW w:w="76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FFC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FFCC"/>
            </w:tcBorders>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CONVERTIBLE NOTES</w:t>
      </w:r>
    </w:p>
    <w:p>
      <w:pPr>
        <w:spacing w:after="0" w:line="204" w:lineRule="exact"/>
        <w:rPr>
          <w:sz w:val="20"/>
          <w:szCs w:val="20"/>
          <w:color w:val="auto"/>
        </w:rPr>
      </w:pPr>
    </w:p>
    <w:p>
      <w:pPr>
        <w:jc w:val="both"/>
        <w:ind w:left="1340" w:right="20" w:hanging="443"/>
        <w:spacing w:after="0" w:line="302" w:lineRule="auto"/>
        <w:tabs>
          <w:tab w:leader="none" w:pos="1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40" w:lineRule="exact"/>
        <w:rPr>
          <w:rFonts w:ascii="Arial" w:cs="Arial" w:eastAsia="Arial" w:hAnsi="Arial"/>
          <w:sz w:val="14"/>
          <w:szCs w:val="14"/>
          <w:color w:val="auto"/>
        </w:rPr>
      </w:pPr>
    </w:p>
    <w:p>
      <w:pPr>
        <w:jc w:val="both"/>
        <w:ind w:left="1340" w:right="20" w:hanging="443"/>
        <w:spacing w:after="0" w:line="276" w:lineRule="auto"/>
        <w:tabs>
          <w:tab w:leader="none" w:pos="1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55" w:lineRule="exact"/>
        <w:rPr>
          <w:sz w:val="20"/>
          <w:szCs w:val="20"/>
          <w:color w:val="auto"/>
        </w:rPr>
      </w:pPr>
    </w:p>
    <w:p>
      <w:pPr>
        <w:jc w:val="both"/>
        <w:ind w:left="900"/>
        <w:spacing w:after="0" w:line="25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Upon conversion of the convertible note in February 2010, the entire redemption amount was derecognized against additional paid in capital in the amount of</w:t>
      </w:r>
    </w:p>
    <w:p>
      <w:pPr>
        <w:spacing w:after="0" w:line="32" w:lineRule="exact"/>
        <w:rPr>
          <w:sz w:val="20"/>
          <w:szCs w:val="20"/>
          <w:color w:val="auto"/>
        </w:rPr>
      </w:pPr>
    </w:p>
    <w:p>
      <w:pPr>
        <w:ind w:left="5560" w:right="5020" w:hanging="4656"/>
        <w:spacing w:after="0" w:line="829" w:lineRule="auto"/>
        <w:tabs>
          <w:tab w:leader="none" w:pos="1021" w:val="left"/>
        </w:tabs>
        <w:numPr>
          <w:ilvl w:val="0"/>
          <w:numId w:val="96"/>
        </w:numPr>
        <w:rPr>
          <w:rFonts w:ascii="Arial" w:cs="Arial" w:eastAsia="Arial" w:hAnsi="Arial"/>
          <w:sz w:val="15"/>
          <w:szCs w:val="15"/>
          <w:color w:val="auto"/>
        </w:rPr>
      </w:pPr>
      <w:r>
        <w:rPr>
          <w:rFonts w:ascii="Arial" w:cs="Arial" w:eastAsia="Arial" w:hAnsi="Arial"/>
          <w:sz w:val="15"/>
          <w:szCs w:val="15"/>
          <w:color w:val="auto"/>
        </w:rPr>
        <w:t>279. As of December 31, 2012, the convertible notes redemption amount was $ 662.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INCOME TAXES</w:t>
      </w:r>
    </w:p>
    <w:p>
      <w:pPr>
        <w:spacing w:after="0" w:line="204" w:lineRule="exact"/>
        <w:rPr>
          <w:sz w:val="20"/>
          <w:szCs w:val="20"/>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Tax rates applicable to the Company:</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5"/>
          <w:szCs w:val="15"/>
          <w:color w:val="auto"/>
        </w:rPr>
        <w:t>The Company is incorporated in Israel. Taxable income of Israeli companies is subject to tax at the rate of 24% in 2011 and 25% in 2012 and onwards.</w:t>
      </w:r>
    </w:p>
    <w:p>
      <w:pPr>
        <w:spacing w:after="0" w:line="21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Net operating losses carry forward:</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accumulated losses for tax purposes as of December 31, 2012 in the amount of approximately $ 4,600 which may be carried forward and offset against taxable income in the future for an indefinite period.</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0" w:lineRule="exact"/>
        <w:rPr>
          <w:rFonts w:ascii="Arial" w:cs="Arial" w:eastAsia="Arial" w:hAnsi="Arial"/>
          <w:sz w:val="16"/>
          <w:szCs w:val="16"/>
          <w:color w:val="auto"/>
        </w:rPr>
      </w:pPr>
    </w:p>
    <w:p>
      <w:pPr>
        <w:ind w:left="1360" w:right="20"/>
        <w:spacing w:after="0" w:line="312" w:lineRule="auto"/>
        <w:rPr>
          <w:rFonts w:ascii="Arial" w:cs="Arial" w:eastAsia="Arial" w:hAnsi="Arial"/>
          <w:sz w:val="16"/>
          <w:szCs w:val="16"/>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r>
      <w:tr>
        <w:trPr>
          <w:trHeight w:val="184"/>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Operating loss carryforward</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1,153</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703</w:t>
            </w: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Reserves and allowances</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84"/>
        </w:trPr>
        <w:tc>
          <w:tcPr>
            <w:tcW w:w="69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280" w:type="dxa"/>
            <w:vAlign w:val="bottom"/>
            <w:tcBorders>
              <w:top w:val="single" w:sz="8" w:color="CCFFCC"/>
            </w:tcBorders>
            <w:shd w:val="clear" w:color="auto" w:fill="CCFFCC"/>
          </w:tcPr>
          <w:p>
            <w:pPr>
              <w:spacing w:after="0"/>
              <w:rPr>
                <w:sz w:val="16"/>
                <w:szCs w:val="16"/>
                <w:color w:val="auto"/>
              </w:rPr>
            </w:pPr>
          </w:p>
        </w:tc>
        <w:tc>
          <w:tcPr>
            <w:tcW w:w="40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Net deferred tax asset before valuation allowance</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1,461</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1,044</w:t>
            </w: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Valuation allowance</w:t>
            </w:r>
          </w:p>
        </w:tc>
        <w:tc>
          <w:tcPr>
            <w:tcW w:w="84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w w:val="94"/>
              </w:rPr>
              <w:t>(1,461)</w:t>
            </w:r>
          </w:p>
        </w:tc>
        <w:tc>
          <w:tcPr>
            <w:tcW w:w="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(1,044)</w:t>
            </w:r>
          </w:p>
        </w:tc>
      </w:tr>
      <w:tr>
        <w:trPr>
          <w:trHeight w:val="184"/>
        </w:trPr>
        <w:tc>
          <w:tcPr>
            <w:tcW w:w="69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Net deferred tax asset</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80" w:lineRule="exact"/>
        <w:rPr>
          <w:sz w:val="20"/>
          <w:szCs w:val="20"/>
          <w:color w:val="auto"/>
        </w:rPr>
      </w:pPr>
    </w:p>
    <w:p>
      <w:pPr>
        <w:jc w:val="both"/>
        <w:ind w:left="1360"/>
        <w:spacing w:after="0" w:line="264" w:lineRule="auto"/>
        <w:rPr>
          <w:sz w:val="20"/>
          <w:szCs w:val="20"/>
          <w:color w:val="auto"/>
        </w:rPr>
      </w:pPr>
      <w:r>
        <w:rPr>
          <w:rFonts w:ascii="Arial" w:cs="Arial" w:eastAsia="Arial" w:hAnsi="Arial"/>
          <w:sz w:val="16"/>
          <w:szCs w:val="16"/>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62" w:lineRule="exact"/>
        <w:rPr>
          <w:sz w:val="20"/>
          <w:szCs w:val="20"/>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liability for uncertain tax positions was recorded as a result of implementation of ASC 740.</w:t>
      </w:r>
    </w:p>
    <w:p>
      <w:pPr>
        <w:spacing w:after="0" w:line="200" w:lineRule="exact"/>
        <w:rPr>
          <w:rFonts w:ascii="Arial" w:cs="Arial" w:eastAsia="Arial" w:hAnsi="Arial"/>
          <w:sz w:val="16"/>
          <w:szCs w:val="16"/>
          <w:color w:val="auto"/>
        </w:rPr>
      </w:pPr>
    </w:p>
    <w:p>
      <w:pPr>
        <w:ind w:left="1340" w:right="20" w:hanging="443"/>
        <w:spacing w:after="0" w:line="312" w:lineRule="auto"/>
        <w:tabs>
          <w:tab w:leader="none" w:pos="1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CONTINGENT LIABILITIES AND COMMITMENTS</w:t>
      </w:r>
    </w:p>
    <w:p>
      <w:pPr>
        <w:spacing w:after="0" w:line="204" w:lineRule="exact"/>
        <w:rPr>
          <w:sz w:val="20"/>
          <w:szCs w:val="20"/>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5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8"/>
        </w:trPr>
        <w:tc>
          <w:tcPr>
            <w:tcW w:w="174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740" w:type="dxa"/>
            <w:vAlign w:val="bottom"/>
            <w:shd w:val="clear" w:color="auto" w:fill="CCFFCC"/>
          </w:tcPr>
          <w:p>
            <w:pPr>
              <w:jc w:val="right"/>
              <w:ind w:right="1300"/>
              <w:spacing w:after="0"/>
              <w:rPr>
                <w:sz w:val="20"/>
                <w:szCs w:val="20"/>
                <w:color w:val="auto"/>
              </w:rPr>
            </w:pPr>
            <w:r>
              <w:rPr>
                <w:rFonts w:ascii="Arial" w:cs="Arial" w:eastAsia="Arial" w:hAnsi="Arial"/>
                <w:sz w:val="16"/>
                <w:szCs w:val="16"/>
                <w:color w:val="auto"/>
                <w:w w:val="95"/>
              </w:rPr>
              <w:t>2013</w:t>
            </w: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FFCC"/>
          </w:tcPr>
          <w:p>
            <w:pPr>
              <w:spacing w:after="0"/>
              <w:rPr>
                <w:sz w:val="16"/>
                <w:szCs w:val="16"/>
                <w:color w:val="auto"/>
              </w:rPr>
            </w:pPr>
          </w:p>
        </w:tc>
      </w:tr>
      <w:tr>
        <w:trPr>
          <w:trHeight w:val="204"/>
        </w:trPr>
        <w:tc>
          <w:tcPr>
            <w:tcW w:w="1740" w:type="dxa"/>
            <w:vAlign w:val="bottom"/>
            <w:tcBorders>
              <w:bottom w:val="single" w:sz="8" w:color="CCFFCC"/>
            </w:tcBorders>
          </w:tcPr>
          <w:p>
            <w:pPr>
              <w:jc w:val="right"/>
              <w:ind w:right="1300"/>
              <w:spacing w:after="0"/>
              <w:rPr>
                <w:sz w:val="20"/>
                <w:szCs w:val="20"/>
                <w:color w:val="auto"/>
              </w:rPr>
            </w:pPr>
            <w:r>
              <w:rPr>
                <w:rFonts w:ascii="Arial" w:cs="Arial" w:eastAsia="Arial" w:hAnsi="Arial"/>
                <w:sz w:val="16"/>
                <w:szCs w:val="16"/>
                <w:color w:val="auto"/>
                <w:w w:val="95"/>
              </w:rPr>
              <w:t>2014</w:t>
            </w:r>
          </w:p>
        </w:tc>
        <w:tc>
          <w:tcPr>
            <w:tcW w:w="476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FFCC"/>
            </w:tcBorders>
          </w:tcPr>
          <w:p>
            <w:pPr>
              <w:spacing w:after="0"/>
              <w:rPr>
                <w:sz w:val="17"/>
                <w:szCs w:val="17"/>
                <w:color w:val="auto"/>
              </w:rPr>
            </w:pPr>
          </w:p>
        </w:tc>
      </w:tr>
      <w:tr>
        <w:trPr>
          <w:trHeight w:val="184"/>
        </w:trPr>
        <w:tc>
          <w:tcPr>
            <w:tcW w:w="1740" w:type="dxa"/>
            <w:vAlign w:val="bottom"/>
            <w:shd w:val="clear" w:color="auto" w:fill="CCFFCC"/>
          </w:tcPr>
          <w:p>
            <w:pPr>
              <w:spacing w:after="0"/>
              <w:rPr>
                <w:sz w:val="16"/>
                <w:szCs w:val="16"/>
                <w:color w:val="auto"/>
              </w:rPr>
            </w:pP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13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40" w:hanging="443"/>
        <w:spacing w:after="0"/>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Royalty bearing Government grants: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51" w:lineRule="exact"/>
        <w:rPr>
          <w:rFonts w:ascii="Arial" w:cs="Arial" w:eastAsia="Arial" w:hAnsi="Arial"/>
          <w:sz w:val="16"/>
          <w:szCs w:val="16"/>
          <w:color w:val="auto"/>
        </w:rPr>
      </w:pPr>
    </w:p>
    <w:p>
      <w:pPr>
        <w:jc w:val="both"/>
        <w:ind w:left="1360" w:right="20"/>
        <w:spacing w:after="0" w:line="297" w:lineRule="auto"/>
        <w:rPr>
          <w:rFonts w:ascii="Arial" w:cs="Arial" w:eastAsia="Arial" w:hAnsi="Arial"/>
          <w:sz w:val="16"/>
          <w:szCs w:val="16"/>
          <w:color w:val="auto"/>
        </w:rPr>
      </w:pPr>
      <w:r>
        <w:rPr>
          <w:rFonts w:ascii="Arial" w:cs="Arial" w:eastAsia="Arial" w:hAnsi="Arial"/>
          <w:sz w:val="14"/>
          <w:szCs w:val="14"/>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w:t>
      </w:r>
    </w:p>
    <w:p>
      <w:pPr>
        <w:spacing w:after="0" w:line="204" w:lineRule="exact"/>
        <w:rPr>
          <w:sz w:val="20"/>
          <w:szCs w:val="20"/>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General:</w:t>
      </w:r>
    </w:p>
    <w:p>
      <w:pPr>
        <w:spacing w:after="0" w:line="200" w:lineRule="exact"/>
        <w:rPr>
          <w:rFonts w:ascii="Arial" w:cs="Arial" w:eastAsia="Arial" w:hAnsi="Arial"/>
          <w:sz w:val="16"/>
          <w:szCs w:val="16"/>
          <w:color w:val="auto"/>
        </w:rPr>
      </w:pPr>
    </w:p>
    <w:p>
      <w:pPr>
        <w:jc w:val="both"/>
        <w:ind w:left="1340" w:right="20"/>
        <w:spacing w:after="0" w:line="264" w:lineRule="auto"/>
        <w:rPr>
          <w:rFonts w:ascii="Arial" w:cs="Arial" w:eastAsia="Arial" w:hAnsi="Arial"/>
          <w:sz w:val="16"/>
          <w:szCs w:val="16"/>
          <w:color w:val="auto"/>
        </w:rPr>
      </w:pPr>
      <w:r>
        <w:rPr>
          <w:rFonts w:ascii="Arial" w:cs="Arial" w:eastAsia="Arial" w:hAnsi="Arial"/>
          <w:sz w:val="16"/>
          <w:szCs w:val="16"/>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to be effective immediately prior to the effectiveness of the registration statement.</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 capital:</w:t>
      </w:r>
    </w:p>
    <w:p>
      <w:pPr>
        <w:spacing w:after="0" w:line="200" w:lineRule="exact"/>
        <w:rPr>
          <w:rFonts w:ascii="Arial" w:cs="Arial" w:eastAsia="Arial" w:hAnsi="Arial"/>
          <w:sz w:val="16"/>
          <w:szCs w:val="16"/>
          <w:color w:val="auto"/>
        </w:rPr>
      </w:pPr>
    </w:p>
    <w:p>
      <w:pPr>
        <w:ind w:left="1340"/>
        <w:spacing w:after="0" w:line="277" w:lineRule="auto"/>
        <w:rPr>
          <w:rFonts w:ascii="Arial" w:cs="Arial" w:eastAsia="Arial" w:hAnsi="Arial"/>
          <w:sz w:val="16"/>
          <w:szCs w:val="16"/>
          <w:color w:val="auto"/>
        </w:rPr>
      </w:pPr>
      <w:r>
        <w:rPr>
          <w:rFonts w:ascii="Arial" w:cs="Arial" w:eastAsia="Arial" w:hAnsi="Arial"/>
          <w:sz w:val="16"/>
          <w:szCs w:val="16"/>
          <w:color w:val="auto"/>
        </w:rPr>
        <w:t>The Ordinary shares confer upon their holders the right to participate and vote in general shareholders meetings of the Company and to share in the distribution of dividends, if any declared by the Company.</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Issuances of shares:</w:t>
      </w:r>
    </w:p>
    <w:p>
      <w:pPr>
        <w:spacing w:after="0" w:line="200" w:lineRule="exact"/>
        <w:rPr>
          <w:rFonts w:ascii="Arial" w:cs="Arial" w:eastAsia="Arial" w:hAnsi="Arial"/>
          <w:sz w:val="16"/>
          <w:szCs w:val="16"/>
          <w:color w:val="auto"/>
        </w:rPr>
      </w:pPr>
    </w:p>
    <w:p>
      <w:pPr>
        <w:ind w:left="1800" w:hanging="447"/>
        <w:spacing w:after="0"/>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February 7, 2008, (inception day) the Company issued 5,752,600 Ordinary shares in consideration of their par value.</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February 2008, the Company entered into an investment agreement, according to the agreement, the Company issued 434,814 Preferred A shares in consideration of $400.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hanging="447"/>
        <w:spacing w:after="0" w:line="264"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61" w:lineRule="exact"/>
        <w:rPr>
          <w:rFonts w:ascii="Arial" w:cs="Arial" w:eastAsia="Arial" w:hAnsi="Arial"/>
          <w:sz w:val="16"/>
          <w:szCs w:val="16"/>
          <w:color w:val="auto"/>
        </w:rPr>
      </w:pPr>
    </w:p>
    <w:p>
      <w:pPr>
        <w:jc w:val="both"/>
        <w:ind w:left="1820" w:right="20"/>
        <w:spacing w:after="0" w:line="264" w:lineRule="auto"/>
        <w:rPr>
          <w:rFonts w:ascii="Arial" w:cs="Arial" w:eastAsia="Arial" w:hAnsi="Arial"/>
          <w:sz w:val="16"/>
          <w:szCs w:val="16"/>
          <w:color w:val="auto"/>
        </w:rPr>
      </w:pPr>
      <w:r>
        <w:rPr>
          <w:rFonts w:ascii="Arial" w:cs="Arial" w:eastAsia="Arial" w:hAnsi="Arial"/>
          <w:sz w:val="16"/>
          <w:szCs w:val="16"/>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6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In January 2009, the Investor carried out the rest of the services and an additional 190,229 Preferred A shares were issued.</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51"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51" w:lineRule="exact"/>
        <w:rPr>
          <w:rFonts w:ascii="Arial" w:cs="Arial" w:eastAsia="Arial" w:hAnsi="Arial"/>
          <w:sz w:val="16"/>
          <w:szCs w:val="16"/>
          <w:color w:val="auto"/>
        </w:rPr>
      </w:pPr>
    </w:p>
    <w:p>
      <w:pPr>
        <w:jc w:val="both"/>
        <w:ind w:left="1800" w:right="20" w:hanging="447"/>
        <w:spacing w:after="0" w:line="259"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66" w:lineRule="exact"/>
        <w:rPr>
          <w:rFonts w:ascii="Arial" w:cs="Arial" w:eastAsia="Arial" w:hAnsi="Arial"/>
          <w:sz w:val="16"/>
          <w:szCs w:val="16"/>
          <w:color w:val="auto"/>
        </w:rPr>
      </w:pPr>
    </w:p>
    <w:p>
      <w:pPr>
        <w:jc w:val="both"/>
        <w:ind w:left="1800" w:right="20"/>
        <w:spacing w:after="0" w:line="259" w:lineRule="auto"/>
        <w:rPr>
          <w:rFonts w:ascii="Arial" w:cs="Arial" w:eastAsia="Arial" w:hAnsi="Arial"/>
          <w:sz w:val="16"/>
          <w:szCs w:val="16"/>
          <w:color w:val="auto"/>
        </w:rPr>
      </w:pPr>
      <w:r>
        <w:rPr>
          <w:rFonts w:ascii="Arial" w:cs="Arial" w:eastAsia="Arial" w:hAnsi="Arial"/>
          <w:sz w:val="16"/>
          <w:szCs w:val="16"/>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66" w:lineRule="exact"/>
        <w:rPr>
          <w:rFonts w:ascii="Arial" w:cs="Arial" w:eastAsia="Arial" w:hAnsi="Arial"/>
          <w:sz w:val="16"/>
          <w:szCs w:val="16"/>
          <w:color w:val="auto"/>
        </w:rPr>
      </w:pPr>
    </w:p>
    <w:p>
      <w:pPr>
        <w:ind w:left="1800" w:right="20"/>
        <w:spacing w:after="0" w:line="277" w:lineRule="auto"/>
        <w:rPr>
          <w:rFonts w:ascii="Arial" w:cs="Arial" w:eastAsia="Arial" w:hAnsi="Arial"/>
          <w:sz w:val="16"/>
          <w:szCs w:val="16"/>
          <w:color w:val="auto"/>
        </w:rPr>
      </w:pPr>
      <w:r>
        <w:rPr>
          <w:rFonts w:ascii="Arial" w:cs="Arial" w:eastAsia="Arial" w:hAnsi="Arial"/>
          <w:sz w:val="16"/>
          <w:szCs w:val="16"/>
          <w:color w:val="auto"/>
        </w:rPr>
        <w:t>In August 2010, additional 159,335 preferred B shares and 39,834 warrants to preferred B-3 were issued for a total consideration of $323 (net of $26 issuance expenses).</w:t>
      </w:r>
    </w:p>
    <w:p>
      <w:pPr>
        <w:spacing w:after="0" w:line="151" w:lineRule="exact"/>
        <w:rPr>
          <w:rFonts w:ascii="Arial" w:cs="Arial" w:eastAsia="Arial" w:hAnsi="Arial"/>
          <w:sz w:val="16"/>
          <w:szCs w:val="16"/>
          <w:color w:val="auto"/>
        </w:rPr>
      </w:pPr>
    </w:p>
    <w:p>
      <w:pPr>
        <w:jc w:val="both"/>
        <w:ind w:left="1800" w:right="20" w:hanging="447"/>
        <w:spacing w:after="0" w:line="25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spacing w:after="0" w:line="302" w:lineRule="auto"/>
        <w:rPr>
          <w:sz w:val="20"/>
          <w:szCs w:val="20"/>
          <w:color w:val="auto"/>
        </w:rPr>
      </w:pPr>
      <w:r>
        <w:rPr>
          <w:rFonts w:ascii="Arial" w:cs="Arial" w:eastAsia="Arial" w:hAnsi="Arial"/>
          <w:sz w:val="14"/>
          <w:szCs w:val="14"/>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40" w:lineRule="exact"/>
        <w:rPr>
          <w:sz w:val="20"/>
          <w:szCs w:val="20"/>
          <w:color w:val="auto"/>
        </w:rPr>
      </w:pPr>
    </w:p>
    <w:p>
      <w:pPr>
        <w:jc w:val="both"/>
        <w:ind w:left="1820" w:right="20"/>
        <w:spacing w:after="0" w:line="291" w:lineRule="auto"/>
        <w:rPr>
          <w:sz w:val="20"/>
          <w:szCs w:val="20"/>
          <w:color w:val="auto"/>
        </w:rPr>
      </w:pPr>
      <w:r>
        <w:rPr>
          <w:rFonts w:ascii="Arial" w:cs="Arial" w:eastAsia="Arial" w:hAnsi="Arial"/>
          <w:sz w:val="14"/>
          <w:szCs w:val="14"/>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w:t>
      </w:r>
    </w:p>
    <w:p>
      <w:pPr>
        <w:ind w:left="1820" w:right="20" w:hanging="8"/>
        <w:spacing w:after="0" w:line="261" w:lineRule="auto"/>
        <w:tabs>
          <w:tab w:leader="none" w:pos="195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15 and of $ 1,466 in the years ended December 31, 2012 and 2011, respectively. Additionally, a deemed dividend to other Ordinary shareholders was recorded in the amount of $ 180 for the year ended December 31, 2011.</w:t>
      </w:r>
    </w:p>
    <w:p>
      <w:pPr>
        <w:spacing w:after="0" w:line="163" w:lineRule="exact"/>
        <w:rPr>
          <w:rFonts w:ascii="Arial" w:cs="Arial" w:eastAsia="Arial" w:hAnsi="Arial"/>
          <w:sz w:val="16"/>
          <w:szCs w:val="16"/>
          <w:color w:val="auto"/>
        </w:rPr>
      </w:pPr>
    </w:p>
    <w:p>
      <w:pPr>
        <w:ind w:left="1340" w:hanging="443"/>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2010 incentive option plan:</w:t>
      </w:r>
    </w:p>
    <w:p>
      <w:pPr>
        <w:spacing w:after="0" w:line="200" w:lineRule="exact"/>
        <w:rPr>
          <w:rFonts w:ascii="Arial" w:cs="Arial" w:eastAsia="Arial" w:hAnsi="Arial"/>
          <w:sz w:val="16"/>
          <w:szCs w:val="16"/>
          <w:color w:val="auto"/>
        </w:rPr>
      </w:pPr>
    </w:p>
    <w:p>
      <w:pPr>
        <w:jc w:val="both"/>
        <w:ind w:left="1340" w:right="20"/>
        <w:spacing w:after="0" w:line="259" w:lineRule="auto"/>
        <w:rPr>
          <w:rFonts w:ascii="Arial" w:cs="Arial" w:eastAsia="Arial" w:hAnsi="Arial"/>
          <w:sz w:val="16"/>
          <w:szCs w:val="16"/>
          <w:color w:val="auto"/>
        </w:rPr>
      </w:pPr>
      <w:r>
        <w:rPr>
          <w:rFonts w:ascii="Arial" w:cs="Arial" w:eastAsia="Arial" w:hAnsi="Arial"/>
          <w:sz w:val="16"/>
          <w:szCs w:val="16"/>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NOTE 9:- SHAREHOLDERS' EQUITY (DEFICIENCY) (Cont.)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8"/>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(A development stage company)</w:t>
            </w:r>
          </w:p>
        </w:tc>
      </w:tr>
      <w:tr>
        <w:trPr>
          <w:trHeight w:val="384"/>
        </w:trPr>
        <w:tc>
          <w:tcPr>
            <w:tcW w:w="9440" w:type="dxa"/>
            <w:vAlign w:val="bottom"/>
            <w:gridSpan w:val="9"/>
          </w:tcPr>
          <w:p>
            <w:pPr>
              <w:jc w:val="right"/>
              <w:ind w:right="1000"/>
              <w:spacing w:after="0"/>
              <w:rPr>
                <w:sz w:val="20"/>
                <w:szCs w:val="20"/>
                <w:color w:val="auto"/>
              </w:rPr>
            </w:pPr>
            <w:r>
              <w:rPr>
                <w:rFonts w:ascii="Arial" w:cs="Arial" w:eastAsia="Arial" w:hAnsi="Arial"/>
                <w:sz w:val="16"/>
                <w:szCs w:val="16"/>
                <w:color w:val="auto"/>
              </w:rPr>
              <w:t>A summary of the Company's options activity (for employees and directors) under the 2010 Plan is as follows: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2012</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80" w:type="dxa"/>
            <w:vAlign w:val="bottom"/>
            <w:gridSpan w:val="3"/>
          </w:tcPr>
          <w:p>
            <w:pPr>
              <w:jc w:val="center"/>
              <w:ind w:right="1120"/>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options</w:t>
            </w:r>
          </w:p>
        </w:tc>
        <w:tc>
          <w:tcPr>
            <w:tcW w:w="2000" w:type="dxa"/>
            <w:vAlign w:val="bottom"/>
            <w:gridSpan w:val="4"/>
          </w:tcPr>
          <w:p>
            <w:pPr>
              <w:jc w:val="center"/>
              <w:ind w:right="1000"/>
              <w:spacing w:after="0"/>
              <w:rPr>
                <w:sz w:val="20"/>
                <w:szCs w:val="20"/>
                <w:color w:val="auto"/>
              </w:rPr>
            </w:pPr>
            <w:r>
              <w:rPr>
                <w:rFonts w:ascii="Arial" w:cs="Arial" w:eastAsia="Arial" w:hAnsi="Arial"/>
                <w:sz w:val="16"/>
                <w:szCs w:val="16"/>
                <w:b w:val="1"/>
                <w:bCs w:val="1"/>
                <w:color w:val="auto"/>
                <w:w w:val="86"/>
              </w:rPr>
              <w:t>exercise price</w:t>
            </w:r>
          </w:p>
        </w:tc>
      </w:tr>
      <w:tr>
        <w:trPr>
          <w:trHeight w:val="184"/>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0.18</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Exercised</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17"/>
                <w:szCs w:val="17"/>
                <w:color w:val="auto"/>
              </w:rPr>
            </w:pPr>
          </w:p>
        </w:tc>
      </w:tr>
      <w:tr>
        <w:trPr>
          <w:trHeight w:val="184"/>
        </w:trPr>
        <w:tc>
          <w:tcPr>
            <w:tcW w:w="1380" w:type="dxa"/>
            <w:vAlign w:val="bottom"/>
          </w:tcPr>
          <w:p>
            <w:pPr>
              <w:spacing w:after="0"/>
              <w:rPr>
                <w:sz w:val="16"/>
                <w:szCs w:val="16"/>
                <w:color w:val="auto"/>
              </w:rPr>
            </w:pPr>
          </w:p>
        </w:tc>
        <w:tc>
          <w:tcPr>
            <w:tcW w:w="450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right w:val="single" w:sz="8" w:color="CCFFCC"/>
            </w:tcBorders>
            <w:shd w:val="clear" w:color="auto" w:fill="CCFFCC"/>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366,464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9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6"/>
          <w:szCs w:val="16"/>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62" w:lineRule="exact"/>
        <w:rPr>
          <w:sz w:val="20"/>
          <w:szCs w:val="20"/>
          <w:color w:val="auto"/>
        </w:rPr>
      </w:pPr>
    </w:p>
    <w:p>
      <w:pPr>
        <w:jc w:val="both"/>
        <w:ind w:left="1340" w:right="20"/>
        <w:spacing w:after="0" w:line="25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68"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ASC-718-10-20, compensation cost will be recognized if the performance condition is satisfied. As of December 31, 2012, no compensation cost was recognized.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340" w:right="20"/>
        <w:spacing w:after="0" w:line="282" w:lineRule="auto"/>
        <w:rPr>
          <w:sz w:val="20"/>
          <w:szCs w:val="20"/>
          <w:color w:val="auto"/>
        </w:rPr>
      </w:pPr>
      <w:r>
        <w:rPr>
          <w:rFonts w:ascii="Arial" w:cs="Arial" w:eastAsia="Arial" w:hAnsi="Arial"/>
          <w:sz w:val="15"/>
          <w:szCs w:val="15"/>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50"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52" w:lineRule="exact"/>
        <w:rPr>
          <w:sz w:val="20"/>
          <w:szCs w:val="20"/>
          <w:color w:val="auto"/>
        </w:rPr>
      </w:pPr>
    </w:p>
    <w:p>
      <w:pPr>
        <w:ind w:left="1340" w:hanging="443"/>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Options granted to consultants:</w:t>
      </w:r>
    </w:p>
    <w:p>
      <w:pPr>
        <w:spacing w:after="0" w:line="200" w:lineRule="exact"/>
        <w:rPr>
          <w:rFonts w:ascii="Arial" w:cs="Arial" w:eastAsia="Arial" w:hAnsi="Arial"/>
          <w:sz w:val="16"/>
          <w:szCs w:val="16"/>
          <w:color w:val="auto"/>
        </w:rPr>
      </w:pPr>
    </w:p>
    <w:p>
      <w:pPr>
        <w:ind w:left="1360" w:right="2160"/>
        <w:spacing w:after="0" w:line="498" w:lineRule="auto"/>
        <w:rPr>
          <w:rFonts w:ascii="Arial" w:cs="Arial" w:eastAsia="Arial" w:hAnsi="Arial"/>
          <w:sz w:val="16"/>
          <w:szCs w:val="16"/>
          <w:color w:val="auto"/>
        </w:rPr>
      </w:pPr>
      <w:r>
        <w:rPr>
          <w:rFonts w:ascii="Arial" w:cs="Arial" w:eastAsia="Arial" w:hAnsi="Arial"/>
          <w:sz w:val="16"/>
          <w:szCs w:val="16"/>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Exercise</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840"/>
              <w:spacing w:after="0"/>
              <w:rPr>
                <w:sz w:val="20"/>
                <w:szCs w:val="20"/>
                <w:color w:val="auto"/>
              </w:rPr>
            </w:pPr>
            <w:r>
              <w:rPr>
                <w:rFonts w:ascii="Arial" w:cs="Arial" w:eastAsia="Arial" w:hAnsi="Arial"/>
                <w:sz w:val="16"/>
                <w:szCs w:val="16"/>
                <w:b w:val="1"/>
                <w:bCs w:val="1"/>
                <w:color w:val="auto"/>
              </w:rPr>
              <w:t>Grant date</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 options</w:t>
            </w:r>
          </w:p>
        </w:tc>
        <w:tc>
          <w:tcPr>
            <w:tcW w:w="18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price</w:t>
            </w:r>
          </w:p>
        </w:tc>
        <w:tc>
          <w:tcPr>
            <w:tcW w:w="3020" w:type="dxa"/>
            <w:vAlign w:val="bottom"/>
            <w:gridSpan w:val="2"/>
          </w:tcPr>
          <w:p>
            <w:pPr>
              <w:ind w:left="9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58,700</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April 2, 2018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February 28, 2010</w:t>
            </w:r>
          </w:p>
        </w:tc>
        <w:tc>
          <w:tcPr>
            <w:tcW w:w="1860" w:type="dxa"/>
            <w:vAlign w:val="bottom"/>
          </w:tcPr>
          <w:p>
            <w:pPr>
              <w:jc w:val="right"/>
              <w:spacing w:after="0"/>
              <w:rPr>
                <w:sz w:val="20"/>
                <w:szCs w:val="20"/>
                <w:color w:val="auto"/>
              </w:rPr>
            </w:pPr>
            <w:r>
              <w:rPr>
                <w:rFonts w:ascii="Arial" w:cs="Arial" w:eastAsia="Arial" w:hAnsi="Arial"/>
                <w:sz w:val="16"/>
                <w:szCs w:val="16"/>
                <w:color w:val="auto"/>
              </w:rPr>
              <w:t>8,805</w:t>
            </w:r>
          </w:p>
        </w:tc>
        <w:tc>
          <w:tcPr>
            <w:tcW w:w="2320" w:type="dxa"/>
            <w:vAlign w:val="bottom"/>
            <w:gridSpan w:val="3"/>
          </w:tcPr>
          <w:p>
            <w:pPr>
              <w:jc w:val="right"/>
              <w:ind w:right="200"/>
              <w:spacing w:after="0"/>
              <w:rPr>
                <w:sz w:val="20"/>
                <w:szCs w:val="20"/>
                <w:color w:val="auto"/>
              </w:rPr>
            </w:pPr>
            <w:r>
              <w:rPr>
                <w:rFonts w:ascii="Arial" w:cs="Arial" w:eastAsia="Arial" w:hAnsi="Arial"/>
                <w:sz w:val="16"/>
                <w:szCs w:val="16"/>
                <w:color w:val="auto"/>
              </w:rPr>
              <w:t>2.184</w:t>
            </w:r>
          </w:p>
        </w:tc>
        <w:tc>
          <w:tcPr>
            <w:tcW w:w="3000" w:type="dxa"/>
            <w:vAlign w:val="bottom"/>
          </w:tcPr>
          <w:p>
            <w:pPr>
              <w:jc w:val="right"/>
              <w:spacing w:after="0"/>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1,174</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February 13,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FFCC"/>
            </w:tcBorders>
            <w:gridSpan w:val="2"/>
          </w:tcPr>
          <w:p>
            <w:pPr>
              <w:ind w:left="40"/>
              <w:spacing w:after="0"/>
              <w:rPr>
                <w:sz w:val="20"/>
                <w:szCs w:val="20"/>
                <w:color w:val="auto"/>
              </w:rPr>
            </w:pPr>
            <w:r>
              <w:rPr>
                <w:rFonts w:ascii="Arial" w:cs="Arial" w:eastAsia="Arial" w:hAnsi="Arial"/>
                <w:sz w:val="16"/>
                <w:szCs w:val="16"/>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320" w:type="dxa"/>
            <w:vAlign w:val="bottom"/>
            <w:tcBorders>
              <w:bottom w:val="single" w:sz="8" w:color="CCFFCC"/>
            </w:tcBorders>
            <w:gridSpan w:val="3"/>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February 17,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9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0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72,483*)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All options were fully vested on grant date.</w:t>
      </w:r>
    </w:p>
    <w:p>
      <w:pPr>
        <w:spacing w:after="0" w:line="200" w:lineRule="exact"/>
        <w:rPr>
          <w:sz w:val="20"/>
          <w:szCs w:val="20"/>
          <w:color w:val="auto"/>
        </w:rPr>
      </w:pPr>
    </w:p>
    <w:p>
      <w:pPr>
        <w:ind w:left="1340" w:hanging="443"/>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Share-based payment:</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The share based expense recognized in the financial statements for services received from employees and non-employees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February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7, 2008 (date of</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503"/>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 to</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403"/>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350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Research and development, net</w:t>
            </w:r>
          </w:p>
        </w:tc>
        <w:tc>
          <w:tcPr>
            <w:tcW w:w="250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35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1,535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Borders>
              <w:top w:val="single" w:sz="8" w:color="CCFFCC"/>
            </w:tcBorders>
            <w:shd w:val="clear" w:color="auto" w:fill="CCFFCC"/>
          </w:tcPr>
          <w:p>
            <w:pPr>
              <w:spacing w:after="0"/>
              <w:rPr>
                <w:sz w:val="16"/>
                <w:szCs w:val="16"/>
                <w:color w:val="auto"/>
              </w:rPr>
            </w:pPr>
          </w:p>
        </w:tc>
        <w:tc>
          <w:tcPr>
            <w:tcW w:w="324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3240" w:type="dxa"/>
            <w:vAlign w:val="bottom"/>
            <w:vMerge w:val="restart"/>
          </w:tcPr>
          <w:p>
            <w:pPr>
              <w:ind w:left="160"/>
              <w:spacing w:after="0"/>
              <w:rPr>
                <w:sz w:val="20"/>
                <w:szCs w:val="20"/>
                <w:color w:val="auto"/>
              </w:rPr>
            </w:pPr>
            <w:r>
              <w:rPr>
                <w:rFonts w:ascii="Arial" w:cs="Arial" w:eastAsia="Arial" w:hAnsi="Arial"/>
                <w:sz w:val="16"/>
                <w:szCs w:val="16"/>
                <w:color w:val="auto"/>
              </w:rPr>
              <w:t>Represents an amount lower than $ 1.</w:t>
            </w:r>
          </w:p>
        </w:tc>
        <w:tc>
          <w:tcPr>
            <w:tcW w:w="1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640" w:type="dxa"/>
            <w:vAlign w:val="bottom"/>
            <w:gridSpan w:val="2"/>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jc w:val="center"/>
        <w:ind w:right="6700"/>
        <w:spacing w:after="0"/>
        <w:rPr>
          <w:sz w:val="20"/>
          <w:szCs w:val="20"/>
          <w:color w:val="auto"/>
        </w:rPr>
      </w:pPr>
      <w:r>
        <w:rPr>
          <w:rFonts w:ascii="Arial" w:cs="Arial" w:eastAsia="Arial" w:hAnsi="Arial"/>
          <w:sz w:val="15"/>
          <w:szCs w:val="15"/>
          <w:b w:val="1"/>
          <w:bCs w:val="1"/>
          <w:color w:val="auto"/>
        </w:rPr>
        <w:t>NOTE 10:- RELATED PARTY BALANCES AND TRANSACTIONS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Balances with related parties: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Convertible Notes (e)</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610</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accounts payable (c)</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bottom w:val="single" w:sz="8" w:color="CCFFCC"/>
            </w:tcBorders>
            <w:gridSpan w:val="2"/>
            <w:vMerge w:val="restart"/>
          </w:tcPr>
          <w:p>
            <w:pPr>
              <w:ind w:left="100"/>
              <w:spacing w:after="0"/>
              <w:rPr>
                <w:sz w:val="20"/>
                <w:szCs w:val="20"/>
                <w:color w:val="auto"/>
              </w:rPr>
            </w:pPr>
            <w:r>
              <w:rPr>
                <w:rFonts w:ascii="Arial" w:cs="Arial" w:eastAsia="Arial" w:hAnsi="Arial"/>
                <w:sz w:val="16"/>
                <w:szCs w:val="16"/>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Amounts charged to: *)</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 (a) (b) (c) (d)</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22"/>
                <w:szCs w:val="22"/>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40" w:type="dxa"/>
            <w:vAlign w:val="bottom"/>
            <w:tcBorders>
              <w:top w:val="single" w:sz="8" w:color="CCFFCC"/>
            </w:tcBorders>
            <w:shd w:val="clear" w:color="auto" w:fill="CCFFCC"/>
          </w:tcPr>
          <w:p>
            <w:pPr>
              <w:spacing w:after="0"/>
              <w:rPr>
                <w:sz w:val="14"/>
                <w:szCs w:val="14"/>
                <w:color w:val="auto"/>
              </w:rPr>
            </w:pPr>
          </w:p>
        </w:tc>
        <w:tc>
          <w:tcPr>
            <w:tcW w:w="4720" w:type="dxa"/>
            <w:vAlign w:val="bottom"/>
            <w:tcBorders>
              <w:top w:val="single" w:sz="8" w:color="CCFFCC"/>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Financial expense (e)</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9400" w:type="dxa"/>
            <w:vAlign w:val="bottom"/>
            <w:gridSpan w:val="8"/>
          </w:tcPr>
          <w:p>
            <w:pPr>
              <w:jc w:val="center"/>
              <w:ind w:left="80"/>
              <w:spacing w:after="0"/>
              <w:rPr>
                <w:sz w:val="20"/>
                <w:szCs w:val="20"/>
                <w:color w:val="auto"/>
              </w:rPr>
            </w:pPr>
            <w:r>
              <w:rPr>
                <w:rFonts w:ascii="Arial" w:cs="Arial" w:eastAsia="Arial" w:hAnsi="Arial"/>
                <w:sz w:val="16"/>
                <w:szCs w:val="16"/>
                <w:color w:val="auto"/>
                <w:w w:val="97"/>
              </w:rPr>
              <w:t>Including share based compensation expenses for the years ended December 31, 2012 and 2011 in the amounts of $ 26 and $ 1,394,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51" w:lineRule="exact"/>
        <w:rPr>
          <w:rFonts w:ascii="Arial" w:cs="Arial" w:eastAsia="Arial" w:hAnsi="Arial"/>
          <w:sz w:val="16"/>
          <w:szCs w:val="16"/>
          <w:color w:val="auto"/>
        </w:rPr>
      </w:pPr>
    </w:p>
    <w:p>
      <w:pPr>
        <w:jc w:val="both"/>
        <w:ind w:left="1340" w:right="20" w:hanging="443"/>
        <w:spacing w:after="0" w:line="264"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6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51" w:lineRule="exact"/>
        <w:rPr>
          <w:rFonts w:ascii="Arial" w:cs="Arial" w:eastAsia="Arial" w:hAnsi="Arial"/>
          <w:sz w:val="16"/>
          <w:szCs w:val="16"/>
          <w:color w:val="auto"/>
        </w:rPr>
      </w:pPr>
    </w:p>
    <w:p>
      <w:pPr>
        <w:jc w:val="both"/>
        <w:ind w:left="1340" w:right="20" w:hanging="443"/>
        <w:spacing w:after="0" w:line="319" w:lineRule="auto"/>
        <w:tabs>
          <w:tab w:leader="none" w:pos="1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26" w:lineRule="exact"/>
        <w:rPr>
          <w:rFonts w:ascii="Arial" w:cs="Arial" w:eastAsia="Arial" w:hAnsi="Arial"/>
          <w:sz w:val="14"/>
          <w:szCs w:val="14"/>
          <w:color w:val="auto"/>
        </w:rPr>
      </w:pPr>
    </w:p>
    <w:p>
      <w:pPr>
        <w:ind w:left="1340" w:hanging="443"/>
        <w:spacing w:after="0"/>
        <w:tabs>
          <w:tab w:leader="none" w:pos="13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gridSpan w:val="7"/>
          </w:tcPr>
          <w:p>
            <w:pPr>
              <w:jc w:val="right"/>
              <w:spacing w:after="0"/>
              <w:rPr>
                <w:sz w:val="20"/>
                <w:szCs w:val="20"/>
                <w:color w:val="auto"/>
              </w:rPr>
            </w:pPr>
            <w:r>
              <w:rPr>
                <w:rFonts w:ascii="Arial" w:cs="Arial" w:eastAsia="Arial" w:hAnsi="Arial"/>
                <w:sz w:val="16"/>
                <w:szCs w:val="16"/>
                <w:b w:val="1"/>
                <w:bCs w:val="1"/>
                <w:color w:val="auto"/>
                <w:w w:val="99"/>
              </w:rPr>
              <w:t>(A development stage company)</w:t>
            </w: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NOTE 11:- FINANCIAL EXPENSES, NET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February 7, 2008</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(date of inception)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w w:val="97"/>
              </w:rPr>
              <w:t>December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to December 31,</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bottom w:val="single" w:sz="8" w:color="CCFFCC"/>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FFCC"/>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Borders>
              <w:bottom w:val="single" w:sz="8" w:color="CCFFCC"/>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expenses:</w:t>
            </w:r>
          </w:p>
        </w:tc>
        <w:tc>
          <w:tcPr>
            <w:tcW w:w="96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Exchange rate</w:t>
            </w:r>
          </w:p>
        </w:tc>
        <w:tc>
          <w:tcPr>
            <w:tcW w:w="9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FFCC"/>
          </w:tcPr>
          <w:p>
            <w:pPr>
              <w:spacing w:after="0"/>
              <w:rPr>
                <w:sz w:val="16"/>
                <w:szCs w:val="16"/>
                <w:color w:val="auto"/>
              </w:rPr>
            </w:pP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Interest on convertible notes</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52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Financial income:</w:t>
            </w: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12:- BASIC AND 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of Ordinary share:</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Ordinary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(1,579)</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Shares used in computing net loss per share of Ordinary shares, basic and diluted</w:t>
            </w:r>
          </w:p>
        </w:tc>
        <w:tc>
          <w:tcPr>
            <w:tcW w:w="3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7,791,932</w:t>
            </w:r>
          </w:p>
        </w:tc>
        <w:tc>
          <w:tcPr>
            <w:tcW w:w="14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per share of Ordinary share, basic and diluted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(0.2)</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right="240"/>
        <w:spacing w:after="0" w:line="277" w:lineRule="auto"/>
        <w:rPr>
          <w:sz w:val="20"/>
          <w:szCs w:val="20"/>
          <w:color w:val="auto"/>
        </w:rPr>
      </w:pPr>
      <w:r>
        <w:rPr>
          <w:rFonts w:ascii="Arial" w:cs="Arial" w:eastAsia="Arial" w:hAnsi="Arial"/>
          <w:sz w:val="16"/>
          <w:szCs w:val="16"/>
          <w:color w:val="auto"/>
        </w:rPr>
        <w:t>For the years ended December 31, 2012 and 2011, all outstanding options and warrants have been excluded from the calculation of the diluted net loss per share since their effect was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EVENTS</w:t>
      </w:r>
    </w:p>
    <w:p>
      <w:pPr>
        <w:spacing w:after="0" w:line="204" w:lineRule="exact"/>
        <w:rPr>
          <w:sz w:val="20"/>
          <w:szCs w:val="20"/>
          <w:color w:val="auto"/>
        </w:rPr>
      </w:pPr>
    </w:p>
    <w:p>
      <w:pPr>
        <w:ind w:left="1180" w:right="20" w:hanging="283"/>
        <w:spacing w:after="0" w:line="312" w:lineRule="auto"/>
        <w:tabs>
          <w:tab w:leader="none" w:pos="11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NOTE 13:- SUBSEQUENT EVENTS (Cont.)</w:t>
      </w:r>
    </w:p>
    <w:p>
      <w:pPr>
        <w:spacing w:after="0" w:line="204" w:lineRule="exact"/>
        <w:rPr>
          <w:sz w:val="20"/>
          <w:szCs w:val="20"/>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51" w:lineRule="exact"/>
        <w:rPr>
          <w:rFonts w:ascii="Arial" w:cs="Arial" w:eastAsia="Arial" w:hAnsi="Arial"/>
          <w:sz w:val="16"/>
          <w:szCs w:val="16"/>
          <w:color w:val="auto"/>
        </w:rPr>
      </w:pPr>
    </w:p>
    <w:p>
      <w:pPr>
        <w:jc w:val="both"/>
        <w:ind w:left="1180" w:hanging="283"/>
        <w:spacing w:after="0" w:line="264"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61" w:lineRule="exact"/>
        <w:rPr>
          <w:rFonts w:ascii="Arial" w:cs="Arial" w:eastAsia="Arial" w:hAnsi="Arial"/>
          <w:sz w:val="16"/>
          <w:szCs w:val="16"/>
          <w:color w:val="auto"/>
        </w:rPr>
      </w:pPr>
    </w:p>
    <w:p>
      <w:pPr>
        <w:ind w:left="1180" w:hanging="283"/>
        <w:spacing w:after="0"/>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18" w:name="page119"/>
    <w:bookmarkEnd w:id="118"/>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1468120</wp:posOffset>
            </wp:positionV>
            <wp:extent cx="18154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5465" cy="762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628650</wp:posOffset>
            </wp:positionV>
            <wp:extent cx="1365250" cy="442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525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173355</wp:posOffset>
            </wp:positionV>
            <wp:extent cx="18154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Aegis Capital Corp</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Sunrise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660400</wp:posOffset>
            </wp:positionV>
            <wp:extent cx="726186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1072515</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Officers and Employees</w:t>
      </w:r>
    </w:p>
    <w:p>
      <w:pPr>
        <w:spacing w:after="0" w:line="204"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company may indemnify an office holder against the following liabilities incurred for acts performed as an office holder:</w:t>
      </w:r>
    </w:p>
    <w:p>
      <w:pPr>
        <w:spacing w:after="0" w:line="200" w:lineRule="exact"/>
        <w:rPr>
          <w:sz w:val="20"/>
          <w:szCs w:val="20"/>
          <w:color w:val="auto"/>
        </w:rPr>
      </w:pPr>
    </w:p>
    <w:p>
      <w:pPr>
        <w:ind w:left="580" w:right="140" w:hanging="296"/>
        <w:spacing w:after="0" w:line="25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68" w:lineRule="exact"/>
        <w:rPr>
          <w:rFonts w:ascii="Arial" w:cs="Arial" w:eastAsia="Arial" w:hAnsi="Arial"/>
          <w:sz w:val="16"/>
          <w:szCs w:val="16"/>
          <w:color w:val="A6A6A6"/>
        </w:rPr>
      </w:pPr>
    </w:p>
    <w:p>
      <w:pPr>
        <w:jc w:val="both"/>
        <w:ind w:left="580" w:hanging="296"/>
        <w:spacing w:after="0" w:line="264"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An Israeli company may insure a director or officer against the following liabilities incurred for acts performed as a director or officer: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including a breach arising out of the negligent conduct of an office holder;</w:t>
      </w:r>
    </w:p>
    <w:p>
      <w:pPr>
        <w:spacing w:after="0" w:line="200" w:lineRule="exact"/>
        <w:rPr>
          <w:rFonts w:ascii="Arial" w:cs="Arial" w:eastAsia="Arial" w:hAnsi="Arial"/>
          <w:sz w:val="16"/>
          <w:szCs w:val="16"/>
          <w:color w:val="A6A6A6"/>
        </w:rPr>
      </w:pPr>
    </w:p>
    <w:p>
      <w:pPr>
        <w:ind w:left="580" w:right="100" w:hanging="296"/>
        <w:spacing w:after="0" w:line="27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loyalty to the Company, provided the director or officer acted in good faith and had a reasonable basis to believe that the act would not prejudice the interests of the Company;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Financial liabilities imposed on the office holder for the benefit of a third party.</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 Israeli company may not, however, indemnify or insure an office holder against any of the following:</w:t>
      </w:r>
    </w:p>
    <w:p>
      <w:pPr>
        <w:spacing w:after="0" w:line="200" w:lineRule="exact"/>
        <w:rPr>
          <w:sz w:val="20"/>
          <w:szCs w:val="20"/>
          <w:color w:val="auto"/>
        </w:rPr>
      </w:pPr>
    </w:p>
    <w:p>
      <w:pPr>
        <w:ind w:left="580" w:right="520" w:hanging="296"/>
        <w:spacing w:after="0" w:line="277"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loyalty, except to the extent that the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20" w:name="page121"/>
    <w:bookmarkEnd w:id="120"/>
    <w:p>
      <w:pPr>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are the sales of all securities by the Company since January 1, 2010.</w:t>
      </w:r>
    </w:p>
    <w:p>
      <w:pPr>
        <w:spacing w:after="0" w:line="200" w:lineRule="exact"/>
        <w:rPr>
          <w:sz w:val="20"/>
          <w:szCs w:val="20"/>
          <w:color w:val="auto"/>
        </w:rPr>
      </w:pPr>
    </w:p>
    <w:p>
      <w:pPr>
        <w:ind w:left="580" w:right="20" w:hanging="296"/>
        <w:spacing w:after="0" w:line="277"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397,698 Series B1 preferred shares, convertible into ordinary shares on a one-for-one basis. The price per Series B1 preferred share was approximately $2.18 and the aggregate consideration received was approximately $867,000.</w:t>
      </w:r>
    </w:p>
    <w:p>
      <w:pPr>
        <w:spacing w:after="0" w:line="151" w:lineRule="exact"/>
        <w:rPr>
          <w:rFonts w:ascii="Arial" w:cs="Arial" w:eastAsia="Arial" w:hAnsi="Arial"/>
          <w:sz w:val="16"/>
          <w:szCs w:val="16"/>
          <w:color w:val="A6A6A6"/>
        </w:rPr>
      </w:pPr>
    </w:p>
    <w:p>
      <w:pPr>
        <w:ind w:left="560" w:right="140"/>
        <w:spacing w:after="0" w:line="277" w:lineRule="auto"/>
        <w:rPr>
          <w:rFonts w:ascii="Arial" w:cs="Arial" w:eastAsia="Arial" w:hAnsi="Arial"/>
          <w:sz w:val="16"/>
          <w:szCs w:val="16"/>
          <w:color w:val="A6A6A6"/>
        </w:rPr>
      </w:pPr>
      <w:r>
        <w:rPr>
          <w:rFonts w:ascii="Arial" w:cs="Arial" w:eastAsia="Arial" w:hAnsi="Arial"/>
          <w:sz w:val="16"/>
          <w:szCs w:val="16"/>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51" w:lineRule="exact"/>
        <w:rPr>
          <w:rFonts w:ascii="Arial" w:cs="Arial" w:eastAsia="Arial" w:hAnsi="Arial"/>
          <w:sz w:val="16"/>
          <w:szCs w:val="16"/>
          <w:color w:val="A6A6A6"/>
        </w:rPr>
      </w:pPr>
    </w:p>
    <w:p>
      <w:pPr>
        <w:ind w:left="560" w:right="40"/>
        <w:spacing w:after="0" w:line="264" w:lineRule="auto"/>
        <w:rPr>
          <w:rFonts w:ascii="Arial" w:cs="Arial" w:eastAsia="Arial" w:hAnsi="Arial"/>
          <w:sz w:val="16"/>
          <w:szCs w:val="16"/>
          <w:color w:val="A6A6A6"/>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5"/>
          <w:szCs w:val="15"/>
          <w:color w:val="A6A6A6"/>
        </w:rPr>
      </w:pPr>
      <w:r>
        <w:rPr>
          <w:rFonts w:ascii="Arial" w:cs="Arial" w:eastAsia="Arial" w:hAnsi="Arial"/>
          <w:sz w:val="15"/>
          <w:szCs w:val="15"/>
          <w:color w:val="auto"/>
        </w:rPr>
        <w:t>In March 2011 we issued 304,324 ordinary shares, at a price per share of approximately $11.5 and an aggregate consideration of approximately $3.5 million.</w:t>
      </w:r>
    </w:p>
    <w:p>
      <w:pPr>
        <w:spacing w:after="0" w:line="211" w:lineRule="exact"/>
        <w:rPr>
          <w:rFonts w:ascii="Arial" w:cs="Arial" w:eastAsia="Arial" w:hAnsi="Arial"/>
          <w:sz w:val="15"/>
          <w:szCs w:val="15"/>
          <w:color w:val="A6A6A6"/>
        </w:rPr>
      </w:pPr>
    </w:p>
    <w:p>
      <w:pPr>
        <w:jc w:val="both"/>
        <w:ind w:left="580" w:right="20" w:hanging="296"/>
        <w:spacing w:after="0" w:line="259"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67" w:lineRule="exact"/>
        <w:rPr>
          <w:sz w:val="20"/>
          <w:szCs w:val="20"/>
          <w:color w:val="auto"/>
        </w:rPr>
      </w:pPr>
    </w:p>
    <w:p>
      <w:pPr>
        <w:jc w:val="both"/>
        <w:ind w:right="160" w:firstLine="577"/>
        <w:spacing w:after="0" w:line="264" w:lineRule="auto"/>
        <w:rPr>
          <w:sz w:val="20"/>
          <w:szCs w:val="20"/>
          <w:color w:val="auto"/>
        </w:rPr>
      </w:pPr>
      <w:r>
        <w:rPr>
          <w:rFonts w:ascii="Arial" w:cs="Arial" w:eastAsia="Arial" w:hAnsi="Arial"/>
          <w:sz w:val="16"/>
          <w:szCs w:val="16"/>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62" w:lineRule="exact"/>
        <w:rPr>
          <w:sz w:val="20"/>
          <w:szCs w:val="20"/>
          <w:color w:val="auto"/>
        </w:rPr>
      </w:pPr>
    </w:p>
    <w:p>
      <w:pPr>
        <w:jc w:val="both"/>
        <w:ind w:left="580" w:hanging="296"/>
        <w:spacing w:after="0" w:line="289" w:lineRule="auto"/>
        <w:tabs>
          <w:tab w:leader="none" w:pos="580" w:val="left"/>
        </w:tabs>
        <w:numPr>
          <w:ilvl w:val="0"/>
          <w:numId w:val="112"/>
        </w:numPr>
        <w:rPr>
          <w:rFonts w:ascii="Arial" w:cs="Arial" w:eastAsia="Arial" w:hAnsi="Arial"/>
          <w:sz w:val="15"/>
          <w:szCs w:val="15"/>
          <w:color w:val="A6A6A6"/>
        </w:rPr>
      </w:pPr>
      <w:r>
        <w:rPr>
          <w:rFonts w:ascii="Arial" w:cs="Arial" w:eastAsia="Arial" w:hAnsi="Arial"/>
          <w:sz w:val="15"/>
          <w:szCs w:val="15"/>
          <w:color w:val="auto"/>
        </w:rPr>
        <w:t>We granted options to employees, directors and consultants under our equity incentive plan covering an aggregate of 1,345,909 ordinary shares, with exercise prices ranging from $0.005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46" w:lineRule="exact"/>
        <w:rPr>
          <w:sz w:val="20"/>
          <w:szCs w:val="20"/>
          <w:color w:val="auto"/>
        </w:rPr>
      </w:pPr>
    </w:p>
    <w:p>
      <w:pPr>
        <w:ind w:right="460" w:firstLine="577"/>
        <w:spacing w:after="0" w:line="264" w:lineRule="auto"/>
        <w:rPr>
          <w:sz w:val="20"/>
          <w:szCs w:val="20"/>
          <w:color w:val="auto"/>
        </w:rPr>
      </w:pPr>
      <w:r>
        <w:rPr>
          <w:rFonts w:ascii="Arial" w:cs="Arial" w:eastAsia="Arial" w:hAnsi="Arial"/>
          <w:sz w:val="16"/>
          <w:szCs w:val="16"/>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underwriters were employed in connection with any of the securities issuances set forth in this Item 7.</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920" w:type="dxa"/>
            <w:vAlign w:val="bottom"/>
          </w:tcPr>
          <w:p>
            <w:pPr>
              <w:spacing w:after="0"/>
              <w:rPr>
                <w:sz w:val="18"/>
                <w:szCs w:val="18"/>
                <w:color w:val="auto"/>
              </w:rPr>
            </w:pPr>
          </w:p>
        </w:tc>
      </w:tr>
      <w:tr>
        <w:trPr>
          <w:trHeight w:val="368"/>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Exhibit</w:t>
            </w:r>
          </w:p>
        </w:tc>
        <w:tc>
          <w:tcPr>
            <w:tcW w:w="8920" w:type="dxa"/>
            <w:vAlign w:val="bottom"/>
          </w:tcPr>
          <w:p>
            <w:pPr>
              <w:spacing w:after="0"/>
              <w:rPr>
                <w:sz w:val="24"/>
                <w:szCs w:val="24"/>
                <w:color w:val="auto"/>
              </w:rPr>
            </w:pPr>
          </w:p>
        </w:tc>
      </w:tr>
      <w:tr>
        <w:trPr>
          <w:trHeight w:val="209"/>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Number</w:t>
            </w:r>
          </w:p>
        </w:tc>
        <w:tc>
          <w:tcPr>
            <w:tcW w:w="8920" w:type="dxa"/>
            <w:vAlign w:val="bottom"/>
          </w:tcPr>
          <w:p>
            <w:pPr>
              <w:ind w:left="3780"/>
              <w:spacing w:after="0"/>
              <w:rPr>
                <w:sz w:val="20"/>
                <w:szCs w:val="20"/>
                <w:color w:val="auto"/>
              </w:rPr>
            </w:pPr>
            <w:r>
              <w:rPr>
                <w:rFonts w:ascii="Arial" w:cs="Arial" w:eastAsia="Arial" w:hAnsi="Arial"/>
                <w:sz w:val="16"/>
                <w:szCs w:val="16"/>
                <w:b w:val="1"/>
                <w:bCs w:val="1"/>
                <w:color w:val="auto"/>
              </w:rPr>
              <w:t>Exhibit Description</w:t>
            </w:r>
          </w:p>
        </w:tc>
      </w:tr>
      <w:tr>
        <w:trPr>
          <w:trHeight w:val="376"/>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800" w:type="dxa"/>
            <w:vAlign w:val="bottom"/>
          </w:tcPr>
          <w:p>
            <w:pPr>
              <w:spacing w:after="0"/>
              <w:rPr>
                <w:sz w:val="24"/>
                <w:szCs w:val="24"/>
                <w:color w:val="auto"/>
              </w:rPr>
            </w:pPr>
          </w:p>
        </w:tc>
        <w:tc>
          <w:tcPr>
            <w:tcW w:w="8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Underwriting Agreement by and among the Company and the underwriters named therein.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Amended and Restated Articles of Association of the Company, as currently in effect.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Articles of Association of the Company, to be in effect upon completion of this offering.</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a Convertible Note.</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Representative’s Warrant.</w:t>
            </w:r>
          </w:p>
        </w:tc>
      </w:tr>
      <w:tr>
        <w:trPr>
          <w:trHeight w:val="372"/>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8"/>
              </w:rPr>
              <w:t>Opinion of Zysman, Aharoni, Gayer &amp; Co., Israeli counsel to the Company, as to the validity of the ordinary shares being offered</w:t>
            </w:r>
          </w:p>
        </w:tc>
      </w:tr>
      <w:tr>
        <w:trPr>
          <w:trHeight w:val="205"/>
        </w:trPr>
        <w:tc>
          <w:tcPr>
            <w:tcW w:w="1720" w:type="dxa"/>
            <w:vAlign w:val="bottom"/>
          </w:tcPr>
          <w:p>
            <w:pPr>
              <w:jc w:val="center"/>
              <w:spacing w:after="0"/>
              <w:rPr>
                <w:sz w:val="20"/>
                <w:szCs w:val="20"/>
                <w:color w:val="auto"/>
              </w:rPr>
            </w:pPr>
            <w:r>
              <w:rPr>
                <w:rFonts w:ascii="Arial" w:cs="Arial" w:eastAsia="Arial" w:hAnsi="Arial"/>
                <w:sz w:val="16"/>
                <w:szCs w:val="16"/>
                <w:color w:val="auto"/>
                <w:w w:val="97"/>
              </w:rPr>
              <w:t>5.1 *</w:t>
            </w: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(including consent).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Consulting Agreement between the Company and Adler Consulting LLC, dated November 2010.</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rPr>
              <w:t>10.2**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4"/>
              </w:rPr>
              <w:t>Addendum to Services Agreement between the Company and Top-Notch Consulting 2009 Ltd., dated June 1, 2010, and as an exhibit</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thereto, Services Agreement between the Company and Top-Notch Finance (2003) Ltd.,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10.3**</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Alcobra Ltd. 2010 Incentive Option Plan.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10.4**</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Indemnification Agreement.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10.5**</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Ehud Gilboa,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10.6**</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Ehud Gilboa,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10.7**</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Dalia Megiddo, dated June 2, 2011.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10.8**</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Dalia Megiddo,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Employment agreement between the Company and Yaron Daniely, dated March 4, 2010.</w:t>
            </w:r>
          </w:p>
        </w:tc>
      </w:tr>
      <w:tr>
        <w:trPr>
          <w:trHeight w:val="384"/>
        </w:trPr>
        <w:tc>
          <w:tcPr>
            <w:tcW w:w="2520" w:type="dxa"/>
            <w:vAlign w:val="bottom"/>
            <w:gridSpan w:val="2"/>
          </w:tcPr>
          <w:p>
            <w:pPr>
              <w:jc w:val="center"/>
              <w:ind w:right="800"/>
              <w:spacing w:after="0"/>
              <w:rPr>
                <w:sz w:val="20"/>
                <w:szCs w:val="20"/>
                <w:color w:val="auto"/>
              </w:rPr>
            </w:pPr>
            <w:r>
              <w:rPr>
                <w:rFonts w:ascii="Arial" w:cs="Arial" w:eastAsia="Arial" w:hAnsi="Arial"/>
                <w:sz w:val="16"/>
                <w:szCs w:val="16"/>
                <w:color w:val="auto"/>
                <w:w w:val="99"/>
              </w:rPr>
              <w:t>10.10** ∞</w:t>
            </w:r>
          </w:p>
        </w:tc>
        <w:tc>
          <w:tcPr>
            <w:tcW w:w="8920" w:type="dxa"/>
            <w:vAlign w:val="bottom"/>
          </w:tcPr>
          <w:p>
            <w:pPr>
              <w:spacing w:after="0"/>
              <w:rPr>
                <w:sz w:val="20"/>
                <w:szCs w:val="20"/>
                <w:color w:val="auto"/>
              </w:rPr>
            </w:pPr>
            <w:r>
              <w:rPr>
                <w:rFonts w:ascii="Arial" w:cs="Arial" w:eastAsia="Arial" w:hAnsi="Arial"/>
                <w:sz w:val="16"/>
                <w:szCs w:val="16"/>
                <w:color w:val="auto"/>
              </w:rPr>
              <w:t>Letter of Approval from the Office of Chief Scientist.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5"/>
              </w:rPr>
              <w:t>23.1 *</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5"/>
              </w:rPr>
              <w:t>23.2 *</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Zysman, Aharoni, Gayer, &amp; Co. (included in Exhibit 5.1).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24.1**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rPr>
              <w:t>99.1**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Daniel E. Geffken (Director Nominee)</w:t>
            </w:r>
          </w:p>
        </w:tc>
      </w:tr>
    </w:tbl>
    <w:p>
      <w:pPr>
        <w:sectPr>
          <w:pgSz w:w="11900" w:h="16838" w:orient="portrait"/>
          <w:cols w:equalWidth="0" w:num="1">
            <w:col w:w="11440"/>
          </w:cols>
          <w:pgMar w:left="240" w:top="628" w:right="219" w:bottom="0" w:gutter="0" w:footer="0" w:header="0"/>
        </w:sectPr>
      </w:pPr>
    </w:p>
    <w:bookmarkStart w:id="121" w:name="page122"/>
    <w:bookmarkEnd w:id="121"/>
    <w:p>
      <w:pPr>
        <w:ind w:left="220"/>
        <w:spacing w:after="0"/>
        <w:tabs>
          <w:tab w:leader="none" w:pos="20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Consent of Howard B. Rosen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165735</wp:posOffset>
            </wp:positionV>
            <wp:extent cx="18154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301" w:lineRule="exact"/>
        <w:rPr>
          <w:sz w:val="20"/>
          <w:szCs w:val="20"/>
          <w:color w:val="auto"/>
        </w:rPr>
      </w:pPr>
    </w:p>
    <w:p>
      <w:pPr>
        <w:ind w:right="8319" w:firstLine="9"/>
        <w:spacing w:after="0" w:line="276" w:lineRule="auto"/>
        <w:tabs>
          <w:tab w:leader="none" w:pos="1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Being filed herewith. ** Previously filed.</w:t>
      </w:r>
    </w:p>
    <w:p>
      <w:pPr>
        <w:spacing w:after="0"/>
        <w:rPr>
          <w:rFonts w:ascii="Arial" w:cs="Arial" w:eastAsia="Arial" w:hAnsi="Arial"/>
          <w:sz w:val="15"/>
          <w:szCs w:val="15"/>
          <w:color w:val="auto"/>
        </w:rPr>
      </w:pPr>
      <w:r>
        <w:rPr>
          <w:rFonts w:ascii="Arial" w:cs="Arial" w:eastAsia="Arial" w:hAnsi="Arial"/>
          <w:sz w:val="16"/>
          <w:szCs w:val="16"/>
          <w:color w:val="auto"/>
        </w:rPr>
        <w:t>∞ English translation of original Hebrew document.</w:t>
      </w:r>
    </w:p>
    <w:p>
      <w:pPr>
        <w:spacing w:after="0" w:line="3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20955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99"/>
          </w:cols>
          <w:pgMar w:left="660" w:top="319" w:right="1440"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20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04" w:lineRule="exact"/>
        <w:rPr>
          <w:sz w:val="20"/>
          <w:szCs w:val="20"/>
          <w:color w:val="auto"/>
        </w:rPr>
      </w:pPr>
    </w:p>
    <w:p>
      <w:pPr>
        <w:ind w:right="120" w:firstLine="356"/>
        <w:spacing w:after="0" w:line="277" w:lineRule="auto"/>
        <w:tabs>
          <w:tab w:leader="none" w:pos="5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51" w:lineRule="exact"/>
        <w:rPr>
          <w:rFonts w:ascii="Arial" w:cs="Arial" w:eastAsia="Arial" w:hAnsi="Arial"/>
          <w:sz w:val="16"/>
          <w:szCs w:val="16"/>
          <w:color w:val="auto"/>
        </w:rPr>
      </w:pPr>
    </w:p>
    <w:p>
      <w:pPr>
        <w:ind w:firstLine="356"/>
        <w:spacing w:after="0" w:line="255"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9" w:lineRule="exact"/>
        <w:rPr>
          <w:rFonts w:ascii="Arial" w:cs="Arial" w:eastAsia="Arial" w:hAnsi="Arial"/>
          <w:sz w:val="16"/>
          <w:szCs w:val="16"/>
          <w:color w:val="auto"/>
        </w:rPr>
      </w:pPr>
    </w:p>
    <w:p>
      <w:pPr>
        <w:ind w:left="580" w:hanging="224"/>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200" w:lineRule="exact"/>
        <w:rPr>
          <w:sz w:val="20"/>
          <w:szCs w:val="20"/>
          <w:color w:val="auto"/>
        </w:rPr>
      </w:pPr>
    </w:p>
    <w:p>
      <w:pPr>
        <w:jc w:val="both"/>
        <w:ind w:left="360" w:right="260" w:hanging="4"/>
        <w:spacing w:after="0" w:line="264" w:lineRule="auto"/>
        <w:tabs>
          <w:tab w:leader="none" w:pos="5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6"/>
          <w:szCs w:val="16"/>
          <w:color w:val="auto"/>
        </w:rPr>
      </w:pPr>
    </w:p>
    <w:p>
      <w:pPr>
        <w:ind w:left="360" w:right="60" w:hanging="4"/>
        <w:spacing w:after="0" w:line="264" w:lineRule="auto"/>
        <w:tabs>
          <w:tab w:leader="none" w:pos="58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April 25, 2013.</w:t>
      </w:r>
    </w:p>
    <w:p>
      <w:pPr>
        <w:spacing w:after="0" w:line="16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ind w:left="5760"/>
        <w:spacing w:after="0"/>
        <w:rPr>
          <w:sz w:val="20"/>
          <w:szCs w:val="20"/>
          <w:color w:val="auto"/>
        </w:rPr>
      </w:pPr>
      <w:r>
        <w:rPr>
          <w:rFonts w:ascii="Arial" w:cs="Arial" w:eastAsia="Arial" w:hAnsi="Arial"/>
          <w:sz w:val="16"/>
          <w:szCs w:val="16"/>
          <w:u w:val="single" w:color="auto"/>
          <w:color w:val="auto"/>
        </w:rPr>
        <w:t>By: /s/ Dr. Yaron Daniely</w:t>
      </w:r>
      <w:r>
        <w:rPr>
          <w:rFonts w:ascii="Arial" w:cs="Arial" w:eastAsia="Arial" w:hAnsi="Arial"/>
          <w:sz w:val="16"/>
          <w:szCs w:val="16"/>
          <w:color w:val="auto"/>
        </w:rPr>
        <w:t>_________</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Yaron Daniely</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Chief Executive Officer and President</w:t>
      </w:r>
    </w:p>
    <w:p>
      <w:pPr>
        <w:spacing w:after="0" w:line="188" w:lineRule="exact"/>
        <w:rPr>
          <w:sz w:val="20"/>
          <w:szCs w:val="20"/>
          <w:color w:val="auto"/>
        </w:rPr>
      </w:pPr>
    </w:p>
    <w:p>
      <w:pPr>
        <w:ind w:right="520" w:firstLine="360"/>
        <w:spacing w:after="0" w:line="277" w:lineRule="auto"/>
        <w:rPr>
          <w:sz w:val="20"/>
          <w:szCs w:val="20"/>
          <w:color w:val="auto"/>
        </w:rPr>
      </w:pPr>
      <w:r>
        <w:rPr>
          <w:rFonts w:ascii="Arial" w:cs="Arial" w:eastAsia="Arial" w:hAnsi="Arial"/>
          <w:sz w:val="16"/>
          <w:szCs w:val="16"/>
          <w:color w:val="auto"/>
        </w:rPr>
        <w:t>Pursuant to the requirements of the Securities Act of 1933, this amendment to the registration statement on Form F-1 has been signed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spacing w:after="0"/>
              <w:rPr>
                <w:sz w:val="18"/>
                <w:szCs w:val="18"/>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Date</w:t>
            </w:r>
          </w:p>
        </w:tc>
      </w:tr>
      <w:tr>
        <w:trPr>
          <w:trHeight w:val="581"/>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Dr. 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Executive Officer and President</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April 25, 2013</w:t>
            </w:r>
          </w:p>
        </w:tc>
      </w:tr>
      <w:tr>
        <w:trPr>
          <w:trHeight w:val="197"/>
        </w:trPr>
        <w:tc>
          <w:tcPr>
            <w:tcW w:w="3780" w:type="dxa"/>
            <w:vAlign w:val="bottom"/>
            <w:gridSpan w:val="2"/>
          </w:tcPr>
          <w:p>
            <w:pPr>
              <w:spacing w:after="0"/>
              <w:rPr>
                <w:sz w:val="20"/>
                <w:szCs w:val="20"/>
                <w:color w:val="auto"/>
              </w:rPr>
            </w:pPr>
            <w:r>
              <w:rPr>
                <w:rFonts w:ascii="Arial" w:cs="Arial" w:eastAsia="Arial" w:hAnsi="Arial"/>
                <w:sz w:val="16"/>
                <w:szCs w:val="16"/>
                <w:color w:val="auto"/>
              </w:rPr>
              <w:t>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(Principal Executive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Financial Officer (Principal Financial</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April 25, 2013</w:t>
            </w:r>
          </w:p>
        </w:tc>
      </w:tr>
      <w:tr>
        <w:trPr>
          <w:trHeight w:val="197"/>
        </w:trPr>
        <w:tc>
          <w:tcPr>
            <w:tcW w:w="3780" w:type="dxa"/>
            <w:vAlign w:val="bottom"/>
            <w:gridSpan w:val="2"/>
          </w:tcPr>
          <w:p>
            <w:pPr>
              <w:spacing w:after="0"/>
              <w:rPr>
                <w:sz w:val="20"/>
                <w:szCs w:val="20"/>
                <w:color w:val="auto"/>
              </w:rPr>
            </w:pPr>
            <w:r>
              <w:rPr>
                <w:rFonts w:ascii="Arial" w:cs="Arial" w:eastAsia="Arial" w:hAnsi="Arial"/>
                <w:sz w:val="16"/>
                <w:szCs w:val="16"/>
                <w:color w:val="auto"/>
              </w:rPr>
              <w:t>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and Accounting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Dr. Aharon Schwartz*</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 Chairman of the Board of Directors</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April 25, 2013</w:t>
            </w:r>
          </w:p>
        </w:tc>
      </w:tr>
      <w:tr>
        <w:trPr>
          <w:trHeight w:val="197"/>
        </w:trPr>
        <w:tc>
          <w:tcPr>
            <w:tcW w:w="378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Dr. Dalia Megiddo*</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April 25, 2013</w:t>
            </w:r>
          </w:p>
        </w:tc>
      </w:tr>
      <w:tr>
        <w:trPr>
          <w:trHeight w:val="197"/>
        </w:trPr>
        <w:tc>
          <w:tcPr>
            <w:tcW w:w="3780" w:type="dxa"/>
            <w:vAlign w:val="bottom"/>
            <w:gridSpan w:val="2"/>
          </w:tcPr>
          <w:p>
            <w:pPr>
              <w:spacing w:after="0"/>
              <w:rPr>
                <w:sz w:val="20"/>
                <w:szCs w:val="20"/>
                <w:color w:val="auto"/>
              </w:rPr>
            </w:pPr>
            <w:r>
              <w:rPr>
                <w:rFonts w:ascii="Arial" w:cs="Arial" w:eastAsia="Arial" w:hAnsi="Arial"/>
                <w:sz w:val="16"/>
                <w:szCs w:val="16"/>
                <w:color w:val="auto"/>
              </w:rPr>
              <w:t>Dalia Megiddo</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72"/>
        </w:trPr>
        <w:tc>
          <w:tcPr>
            <w:tcW w:w="3780" w:type="dxa"/>
            <w:vAlign w:val="bottom"/>
            <w:gridSpan w:val="2"/>
          </w:tcPr>
          <w:p>
            <w:pPr>
              <w:spacing w:after="0"/>
              <w:rPr>
                <w:sz w:val="20"/>
                <w:szCs w:val="20"/>
                <w:color w:val="auto"/>
              </w:rPr>
            </w:pPr>
            <w:r>
              <w:rPr>
                <w:rFonts w:ascii="Arial" w:cs="Arial" w:eastAsia="Arial" w:hAnsi="Arial"/>
                <w:sz w:val="16"/>
                <w:szCs w:val="16"/>
                <w:color w:val="auto"/>
              </w:rPr>
              <w:t>*  By:  /s/ Yaron Daniely</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7"/>
        </w:trPr>
        <w:tc>
          <w:tcPr>
            <w:tcW w:w="580" w:type="dxa"/>
            <w:vAlign w:val="bottom"/>
          </w:tcPr>
          <w:p>
            <w:pPr>
              <w:spacing w:after="0"/>
              <w:rPr>
                <w:sz w:val="17"/>
                <w:szCs w:val="17"/>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Yaron Daniely, Attorney-in-Fact</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564"/>
        </w:trPr>
        <w:tc>
          <w:tcPr>
            <w:tcW w:w="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II-4</w:t>
            </w: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6"/>
          <w:szCs w:val="16"/>
          <w:b w:val="1"/>
          <w:bCs w:val="1"/>
          <w:color w:val="auto"/>
        </w:rPr>
        <w:t>SIGNATURE OF AUTHORIZED REPRESENTATIVE IN THE UNITED STATES</w:t>
      </w:r>
    </w:p>
    <w:p>
      <w:pPr>
        <w:spacing w:after="0" w:line="397" w:lineRule="exact"/>
        <w:rPr>
          <w:sz w:val="20"/>
          <w:szCs w:val="20"/>
          <w:color w:val="auto"/>
        </w:rPr>
      </w:pPr>
    </w:p>
    <w:p>
      <w:pPr>
        <w:ind w:firstLine="288"/>
        <w:spacing w:after="0" w:line="277" w:lineRule="auto"/>
        <w:rPr>
          <w:sz w:val="20"/>
          <w:szCs w:val="20"/>
          <w:color w:val="auto"/>
        </w:rPr>
      </w:pPr>
      <w:r>
        <w:rPr>
          <w:rFonts w:ascii="Arial" w:cs="Arial" w:eastAsia="Arial" w:hAnsi="Arial"/>
          <w:sz w:val="16"/>
          <w:szCs w:val="16"/>
          <w:color w:val="auto"/>
        </w:rPr>
        <w:t>Pursuant to the Securities Act of 1933, as amended, the undersigned, Zysman, Aharoni, Gayer &amp; Sullivan &amp; Worcester LLP, the duly authorized representative in the United States of Alcobra Ltd., has signed this registration statement on April 25, 2013.</w:t>
      </w:r>
    </w:p>
    <w:p>
      <w:pPr>
        <w:spacing w:after="0" w:line="15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ZYSMAN, AHARONI, GAYER AND</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SULLIVAN &amp; WORCESTER LLP</w:t>
      </w:r>
    </w:p>
    <w:p>
      <w:pPr>
        <w:spacing w:after="0" w:line="380"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6"/>
          <w:szCs w:val="16"/>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-8890</wp:posOffset>
            </wp:positionV>
            <wp:extent cx="153352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3525" cy="7620"/>
                    </a:xfrm>
                    <a:prstGeom prst="rect">
                      <a:avLst/>
                    </a:prstGeom>
                    <a:noFill/>
                  </pic:spPr>
                </pic:pic>
              </a:graphicData>
            </a:graphic>
          </wp:anchor>
        </w:drawing>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0"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1.1</w:t>
      </w: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UNDERWRITING AGREEMENT</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AEGIS CAPITAL CORP.,</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as Representative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379095</wp:posOffset>
            </wp:positionV>
            <wp:extent cx="72618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40"/>
          </w:cols>
          <w:pgMar w:left="1440" w:top="315" w:right="219" w:bottom="1440" w:gutter="0" w:footer="0" w:header="0"/>
        </w:sectPr>
      </w:pPr>
    </w:p>
    <w:bookmarkStart w:id="126" w:name="page127"/>
    <w:bookmarkEnd w:id="126"/>
    <w:p>
      <w:pPr>
        <w:jc w:val="center"/>
        <w:ind w:right="-3"/>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UNDERWRITING AGREEMENT</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New York, New York</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2013</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Aegis Capital Corp.</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Representative of the several Underwriters named on Schedule 1 attached hereto</w:t>
      </w:r>
    </w:p>
    <w:p>
      <w:pPr>
        <w:ind w:left="4"/>
        <w:spacing w:after="0" w:line="191" w:lineRule="auto"/>
        <w:rPr>
          <w:sz w:val="20"/>
          <w:szCs w:val="20"/>
          <w:color w:val="auto"/>
        </w:rPr>
      </w:pPr>
      <w:r>
        <w:rPr>
          <w:rFonts w:ascii="Arial" w:cs="Arial" w:eastAsia="Arial" w:hAnsi="Arial"/>
          <w:sz w:val="16"/>
          <w:szCs w:val="16"/>
          <w:color w:val="auto"/>
        </w:rPr>
        <w:t>810 Seventh Avenue,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4"/>
        <w:spacing w:after="0"/>
        <w:rPr>
          <w:sz w:val="20"/>
          <w:szCs w:val="20"/>
          <w:color w:val="auto"/>
        </w:rPr>
      </w:pPr>
      <w:r>
        <w:rPr>
          <w:rFonts w:ascii="Arial" w:cs="Arial" w:eastAsia="Arial" w:hAnsi="Arial"/>
          <w:sz w:val="16"/>
          <w:szCs w:val="16"/>
          <w:color w:val="auto"/>
        </w:rPr>
        <w:t>New York, New York 10019</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Ladies and Gentlemen:</w:t>
      </w:r>
    </w:p>
    <w:p>
      <w:pPr>
        <w:spacing w:after="0" w:line="200" w:lineRule="exact"/>
        <w:rPr>
          <w:sz w:val="20"/>
          <w:szCs w:val="20"/>
          <w:color w:val="auto"/>
        </w:rPr>
      </w:pPr>
    </w:p>
    <w:p>
      <w:pPr>
        <w:jc w:val="both"/>
        <w:ind w:left="4" w:right="20" w:firstLine="577"/>
        <w:spacing w:after="0" w:line="257" w:lineRule="auto"/>
        <w:rPr>
          <w:sz w:val="20"/>
          <w:szCs w:val="20"/>
          <w:color w:val="auto"/>
        </w:rPr>
      </w:pPr>
      <w:r>
        <w:rPr>
          <w:rFonts w:ascii="Arial" w:cs="Arial" w:eastAsia="Arial" w:hAnsi="Arial"/>
          <w:sz w:val="16"/>
          <w:szCs w:val="16"/>
          <w:color w:val="auto"/>
        </w:rPr>
        <w:t xml:space="preserve">The undersigned, Alcobra Ltd., a corporation incorporated under the laws of the State of Israel (collectively with its subsidiaries and affiliates, including, without limitation, all entities disclosed or described in the Registration Statement (as hereinafter defined) as being subsidiaries or affiliates of Alcobra Ltd., the “Company”), hereby confirms its agreement (this “Agreement”) with Aegis Capital Corp. (hereinafter referred to as “you” (including its correlatives) or the “Representative”) and with the other underwriters named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for which the Representative is acting as representative (the Representative and such other underwriters being collectively called the “Underwriters” or, individually, an “Underwriter”) as follows:</w:t>
      </w:r>
    </w:p>
    <w:p>
      <w:pPr>
        <w:spacing w:after="0" w:line="168" w:lineRule="exact"/>
        <w:rPr>
          <w:sz w:val="20"/>
          <w:szCs w:val="20"/>
          <w:color w:val="auto"/>
        </w:rPr>
      </w:pPr>
    </w:p>
    <w:p>
      <w:pPr>
        <w:ind w:left="524" w:hanging="524"/>
        <w:spacing w:after="0"/>
        <w:tabs>
          <w:tab w:leader="none" w:pos="52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1.1</w:t>
      </w:r>
      <w:r>
        <w:rPr>
          <w:rFonts w:ascii="Arial" w:cs="Arial" w:eastAsia="Arial" w:hAnsi="Arial"/>
          <w:sz w:val="14"/>
          <w:szCs w:val="14"/>
          <w:u w:val="single" w:color="auto"/>
          <w:color w:val="auto"/>
        </w:rPr>
        <w:t>Firm Shares</w:t>
      </w:r>
      <w:r>
        <w:rPr>
          <w:rFonts w:ascii="Arial" w:cs="Arial" w:eastAsia="Arial" w:hAnsi="Arial"/>
          <w:sz w:val="14"/>
          <w:szCs w:val="14"/>
          <w:color w:val="auto"/>
        </w:rPr>
        <w:t>.</w:t>
      </w:r>
    </w:p>
    <w:p>
      <w:pPr>
        <w:spacing w:after="0" w:line="200" w:lineRule="exact"/>
        <w:rPr>
          <w:rFonts w:ascii="Arial" w:cs="Arial" w:eastAsia="Arial" w:hAnsi="Arial"/>
          <w:sz w:val="16"/>
          <w:szCs w:val="16"/>
          <w:color w:val="auto"/>
        </w:rPr>
      </w:pPr>
    </w:p>
    <w:p>
      <w:pPr>
        <w:ind w:left="1144"/>
        <w:spacing w:after="0"/>
        <w:rPr>
          <w:rFonts w:ascii="Arial" w:cs="Arial" w:eastAsia="Arial" w:hAnsi="Arial"/>
          <w:sz w:val="16"/>
          <w:szCs w:val="16"/>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Nature and Purchase of Firm Shares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left="4" w:right="20" w:firstLine="1726"/>
        <w:spacing w:after="0" w:line="264" w:lineRule="auto"/>
        <w:tabs>
          <w:tab w:leader="none" w:pos="239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On the basis of the representations and warranties herein contained, but subject to the terms and conditions herein set forth, the Company agrees to issue and sell to the several Underwriters, an aggregate of [•] shares (“Firm Shares”) of the Company’s ordinary shares, par value NIS 0.01 per share (the “Ordinary Shares”).</w:t>
      </w:r>
    </w:p>
    <w:p>
      <w:pPr>
        <w:spacing w:after="0" w:line="161" w:lineRule="exact"/>
        <w:rPr>
          <w:rFonts w:ascii="Arial" w:cs="Arial" w:eastAsia="Arial" w:hAnsi="Arial"/>
          <w:sz w:val="16"/>
          <w:szCs w:val="16"/>
          <w:color w:val="auto"/>
        </w:rPr>
      </w:pPr>
    </w:p>
    <w:p>
      <w:pPr>
        <w:jc w:val="both"/>
        <w:ind w:left="4" w:right="20" w:firstLine="1726"/>
        <w:spacing w:after="0" w:line="264" w:lineRule="auto"/>
        <w:tabs>
          <w:tab w:leader="none" w:pos="229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Underwriters, severally and not jointly, agree to purchase from the Company the number of Firm Shares set forth opposite their respective names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and made a part hereof at a purchase price of $[•] per share (93% of the per Firm Share offering price). The Firm Shares are to be offered initially to the public at the offering price set forth on the cover page of the Prospectus (as defined in Section 2.1.1 hereof).</w:t>
      </w:r>
    </w:p>
    <w:p>
      <w:pPr>
        <w:spacing w:after="0" w:line="162"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u w:val="single" w:color="auto"/>
          <w:color w:val="auto"/>
        </w:rPr>
        <w:t>Shares Payment and Delivery</w:t>
      </w:r>
      <w:r>
        <w:rPr>
          <w:rFonts w:ascii="Arial" w:cs="Arial" w:eastAsia="Arial" w:hAnsi="Arial"/>
          <w:sz w:val="14"/>
          <w:szCs w:val="14"/>
          <w:color w:val="auto"/>
        </w:rPr>
        <w:t>.</w:t>
      </w:r>
    </w:p>
    <w:p>
      <w:pPr>
        <w:spacing w:after="0" w:line="189" w:lineRule="exact"/>
        <w:rPr>
          <w:sz w:val="20"/>
          <w:szCs w:val="20"/>
          <w:color w:val="auto"/>
        </w:rPr>
      </w:pPr>
    </w:p>
    <w:p>
      <w:pPr>
        <w:ind w:left="2344" w:hanging="614"/>
        <w:spacing w:after="0"/>
        <w:tabs>
          <w:tab w:leader="none" w:pos="2344"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Delivery and payment for the Firm Shares shall be made at 10:00 a.m., Eastern time, on the third (3</w:t>
      </w:r>
      <w:r>
        <w:rPr>
          <w:rFonts w:ascii="Arial" w:cs="Arial" w:eastAsia="Arial" w:hAnsi="Arial"/>
          <w:sz w:val="22"/>
          <w:szCs w:val="22"/>
          <w:color w:val="auto"/>
          <w:vertAlign w:val="superscript"/>
        </w:rPr>
        <w:t>rd</w:t>
      </w:r>
      <w:r>
        <w:rPr>
          <w:rFonts w:ascii="Arial" w:cs="Arial" w:eastAsia="Arial" w:hAnsi="Arial"/>
          <w:sz w:val="14"/>
          <w:szCs w:val="14"/>
          <w:color w:val="auto"/>
        </w:rPr>
        <w:t>) Business Day following the effective</w:t>
      </w:r>
    </w:p>
    <w:p>
      <w:pPr>
        <w:jc w:val="both"/>
        <w:ind w:left="4" w:right="20"/>
        <w:spacing w:after="0" w:line="230" w:lineRule="auto"/>
        <w:rPr>
          <w:sz w:val="20"/>
          <w:szCs w:val="20"/>
          <w:color w:val="auto"/>
        </w:rPr>
      </w:pPr>
      <w:r>
        <w:rPr>
          <w:rFonts w:ascii="Arial" w:cs="Arial" w:eastAsia="Arial" w:hAnsi="Arial"/>
          <w:sz w:val="16"/>
          <w:szCs w:val="16"/>
          <w:color w:val="auto"/>
        </w:rPr>
        <w:t>date (the “Effective Date”) of the Registration Statement (as defined in Section 2.1.1 below) (or the fourth (4</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the Effective Date if the Registration Statement is declared effective after 4:01 p.m., Eastern time) or at such earlier time as shall be agreed upon by the Representative and the Company, at the offices of Troutman Sanders LLP, The Chrysler Building, 405 Lexington Avenue, New York, NY 10174 (“Representative Counsel”), or at such other place (or remotely by facsimile or other electronic transmission) as shall be agreed upon by the Representative and the Company. The hour and date of delivery and payment for the Firm Shares is called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27" w:name="page128"/>
    <w:bookmarkEnd w:id="127"/>
    <w:p>
      <w:pPr>
        <w:jc w:val="both"/>
        <w:ind w:left="4" w:firstLine="1726"/>
        <w:spacing w:after="0" w:line="256" w:lineRule="auto"/>
        <w:tabs>
          <w:tab w:leader="none" w:pos="239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(“DTC”)) for the account of the Underwriters. The Firm Shares shall be registered in such name or names and in such authorized denominations as the Representative may request in writing at least two (2) full Business Days prior to the Closing Date. The Company shall not be obligated to sell or deliver the Firm Shares except upon tender of payment by the Representative for all of the Firm Shares. The term “Business Day” means any day other than a Saturday, a Sunday or a legal holiday or a day on which banking institutions are authorized or obligated by law to close in New York, New York.</w:t>
      </w:r>
    </w:p>
    <w:p>
      <w:pPr>
        <w:spacing w:after="0" w:line="168"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Over-allotment Option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53"/>
        <w:spacing w:after="0" w:line="278"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Option Shares</w:t>
      </w:r>
      <w:r>
        <w:rPr>
          <w:rFonts w:ascii="Arial" w:cs="Arial" w:eastAsia="Arial" w:hAnsi="Arial"/>
          <w:sz w:val="15"/>
          <w:szCs w:val="15"/>
          <w:color w:val="auto"/>
        </w:rPr>
        <w:t>. For the purposes of covering any over-allotments in connection with the distribution and sale of the Firm Shares, the Company hereby grants to the Underwriters an option to purchase up to [•] additional Ordinary Shares, representing fifteen percent (15%) of the Firm Shares sold in the offering, from the Company (the “Over-allotment Option”). Such [•] additional Ordinary Shares, the net proceeds of which will be deposited with the Company’s account, are hereinafter referred to as “Option Shares.” The purchase price to be paid per Option Share shall be equal to the price per Firm Share set forth in Section 1.1.1 hereof. The Firm Shares and the Option Shares are hereinafter referred to together as the “Public Securities.” The offering and sale of the Public Securities is hereinafter referred to as the “Offering.”</w:t>
      </w:r>
    </w:p>
    <w:p>
      <w:pPr>
        <w:spacing w:after="0" w:line="154" w:lineRule="exact"/>
        <w:rPr>
          <w:sz w:val="20"/>
          <w:szCs w:val="20"/>
          <w:color w:val="auto"/>
        </w:rPr>
      </w:pPr>
    </w:p>
    <w:p>
      <w:pPr>
        <w:jc w:val="both"/>
        <w:ind w:left="4" w:firstLine="1153"/>
        <w:spacing w:after="0" w:line="288"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Exercise of Option</w:t>
      </w:r>
      <w:r>
        <w:rPr>
          <w:rFonts w:ascii="Arial" w:cs="Arial" w:eastAsia="Arial" w:hAnsi="Arial"/>
          <w:sz w:val="14"/>
          <w:szCs w:val="14"/>
          <w:color w:val="auto"/>
        </w:rPr>
        <w:t>. The Over-allotment Option granted pursuant to Section 1.2.1 hereof may be exercised by the Representative as to all (at any time) or any part (from time to time) of the Option Shares within 45 days after the Effective Date. The Underwriters shall not be under any obligation to purchase any Option Shares prior to the exercise of the Over-allotment Option.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(the “Option Closing Date”), which shall not be later than five (5) full Business Days after the date of the notice or such other time as shall be agreed upon by the Company and the Representative, at the offices of Representative Counsel or at such other place (including remotely by facsimile or other electronic transmission) as shall be agreed upon by the Company and the Representative.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Option Shares specified in such notice and</w:t>
      </w:r>
    </w:p>
    <w:p>
      <w:pPr>
        <w:spacing w:after="0" w:line="4" w:lineRule="exact"/>
        <w:rPr>
          <w:sz w:val="20"/>
          <w:szCs w:val="20"/>
          <w:color w:val="auto"/>
        </w:rPr>
      </w:pPr>
    </w:p>
    <w:p>
      <w:pPr>
        <w:ind w:left="4" w:right="20" w:hanging="4"/>
        <w:spacing w:after="0" w:line="261" w:lineRule="auto"/>
        <w:tabs>
          <w:tab w:leader="none" w:pos="25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each of the Underwriters, acting severally and not jointly, shall purchase that portion of the total number of Option Shares then being purchased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opposite the name of such Underwriter.</w:t>
      </w:r>
    </w:p>
    <w:p>
      <w:pPr>
        <w:spacing w:after="0" w:line="164" w:lineRule="exact"/>
        <w:rPr>
          <w:sz w:val="20"/>
          <w:szCs w:val="20"/>
          <w:color w:val="auto"/>
        </w:rPr>
      </w:pPr>
    </w:p>
    <w:p>
      <w:pPr>
        <w:jc w:val="both"/>
        <w:ind w:left="4" w:right="20" w:firstLine="1153"/>
        <w:spacing w:after="0" w:line="302" w:lineRule="auto"/>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u w:val="single" w:color="auto"/>
          <w:color w:val="auto"/>
        </w:rPr>
        <w:t>Payment and Delivery</w:t>
      </w:r>
      <w:r>
        <w:rPr>
          <w:rFonts w:ascii="Arial" w:cs="Arial" w:eastAsia="Arial" w:hAnsi="Arial"/>
          <w:sz w:val="14"/>
          <w:szCs w:val="14"/>
          <w:color w:val="auto"/>
        </w:rPr>
        <w:t>. Payment for the Option Shares shall be made on the Option Closing Date by wire transfer in Federal (same day) funds, payable to the order of the Company upon delivery to you of certificates (in form and substance satisfactory to the Underwriters)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Representative for applicable Option Shares. The Option Closing Date may be simultaneous with, but not earlier than, the Closing Date.</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28" w:name="page129"/>
    <w:bookmarkEnd w:id="128"/>
    <w:p>
      <w:pPr>
        <w:ind w:left="584"/>
        <w:spacing w:after="0"/>
        <w:tabs>
          <w:tab w:leader="none" w:pos="1204"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Representative’s Warrants</w:t>
      </w:r>
      <w:r>
        <w:rPr>
          <w:rFonts w:ascii="Arial" w:cs="Arial" w:eastAsia="Arial" w:hAnsi="Arial"/>
          <w:sz w:val="14"/>
          <w:szCs w:val="14"/>
          <w:color w:val="auto"/>
        </w:rPr>
        <w:t>.</w:t>
      </w:r>
    </w:p>
    <w:p>
      <w:pPr>
        <w:spacing w:after="0" w:line="200" w:lineRule="exact"/>
        <w:rPr>
          <w:sz w:val="20"/>
          <w:szCs w:val="20"/>
          <w:color w:val="auto"/>
        </w:rPr>
      </w:pPr>
    </w:p>
    <w:p>
      <w:pPr>
        <w:jc w:val="both"/>
        <w:ind w:left="4" w:firstLine="1153"/>
        <w:spacing w:after="0" w:line="287" w:lineRule="auto"/>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u w:val="single" w:color="auto"/>
          <w:color w:val="auto"/>
        </w:rPr>
        <w:t>Purchase Warrants</w:t>
      </w:r>
      <w:r>
        <w:rPr>
          <w:rFonts w:ascii="Arial" w:cs="Arial" w:eastAsia="Arial" w:hAnsi="Arial"/>
          <w:sz w:val="14"/>
          <w:szCs w:val="14"/>
          <w:color w:val="auto"/>
        </w:rPr>
        <w:t xml:space="preserve">. The Company hereby agrees to issue and sell to the Representative (and/or its designees) on the Closing Date an option (“Representative’s Warrant”) for the purchase of an aggregate of [•] Ordinary Shares, representing 5% of the Firm Shares (excluding the Option Shares), for an aggregate purchase price of $100.00. The Representative’s Warrant, a form of which is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“Representative’s Warrant Agreement”), shall be exercisable at any time and from time to time, in whole or in part, during a period commencing one year from the Effective Date (the “First Anniversary”), as follows: (i) one third of the Representative’s Warrant will have an exercise period of 12 months beginning on the First Anniversary, at an initial exercise price per Ordinary Share of $[•], which is equal to 150.0% of the initial public offering price per share of Ordinary Share; (ii) one third of the Representative’s Warrant will have an exercise period of 18 months beginning on the First Anniversary, at an initial exercise price per Ordinary Share of $[•], which is equal to 200.0% of the initial public offering price per share of Ordinary Share; and (iii) one third of the Representative’s Warrant will have an exercise period of 24 months beginning on the First Anniversary, at an initial exercise price per share of Ordinary Share of $[•], which is equal to 250.0% of the initial public offering price per share of Ordinary Share. The Representative’s Warrant Agreement and the Ordinary Shares issuable upon exercise thereof are hereinafter referred to together as the “Representative’s Securities.” The Representative understands and agrees that there are significant restrictions pursuant to FINRA Rule 5110 against transferring the Representative’s Warrant Agreement and the underlying Ordinary Shares during the one hundred eighty (180) days after the Effective Date and by its acceptance thereof shall agree that it will not sell, transfer, assign, pledge or hypothecate the Representative’s Warrant Agreement, or any portion thereof, or be the subject of any hedging, short sale, derivative, put or call transaction that would result in the effective economic disposition of such securities for a period of one hundred eighty</w:t>
      </w:r>
    </w:p>
    <w:p>
      <w:pPr>
        <w:spacing w:after="0" w:line="8" w:lineRule="exact"/>
        <w:rPr>
          <w:sz w:val="20"/>
          <w:szCs w:val="20"/>
          <w:color w:val="auto"/>
        </w:rPr>
      </w:pPr>
    </w:p>
    <w:p>
      <w:pPr>
        <w:ind w:left="4" w:right="20" w:hanging="4"/>
        <w:spacing w:after="0" w:line="261" w:lineRule="auto"/>
        <w:tabs>
          <w:tab w:leader="none" w:pos="39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days following the Effective Date to anyone other than (i) an Underwriter or a selected dealer in connection with the Offering, or (ii) a bona fide officer or partner of the Representative or of any such Underwriter or selected dealer; and only if any such transferee agrees to the foregoing lock-up restrictions.</w:t>
      </w:r>
    </w:p>
    <w:p>
      <w:pPr>
        <w:spacing w:after="0" w:line="164" w:lineRule="exact"/>
        <w:rPr>
          <w:sz w:val="20"/>
          <w:szCs w:val="20"/>
          <w:color w:val="auto"/>
        </w:rPr>
      </w:pPr>
    </w:p>
    <w:p>
      <w:pPr>
        <w:ind w:left="4" w:right="20" w:firstLine="1153"/>
        <w:spacing w:after="0" w:line="277"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Delivery</w:t>
      </w:r>
      <w:r>
        <w:rPr>
          <w:rFonts w:ascii="Arial" w:cs="Arial" w:eastAsia="Arial" w:hAnsi="Arial"/>
          <w:sz w:val="16"/>
          <w:szCs w:val="16"/>
          <w:color w:val="auto"/>
        </w:rPr>
        <w:t>. Delivery of the Representative’s Warrant Agreement shall be made on the Closing Date and shall be issued in the name or names and in such authorized denominations as the Representative may request.</w:t>
      </w:r>
    </w:p>
    <w:p>
      <w:pPr>
        <w:spacing w:after="0" w:line="152" w:lineRule="exact"/>
        <w:rPr>
          <w:sz w:val="20"/>
          <w:szCs w:val="20"/>
          <w:color w:val="auto"/>
        </w:rPr>
      </w:pPr>
    </w:p>
    <w:p>
      <w:pPr>
        <w:ind w:left="4" w:right="20" w:hanging="4"/>
        <w:spacing w:after="0" w:line="277" w:lineRule="auto"/>
        <w:tabs>
          <w:tab w:leader="none" w:pos="684"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of the Applicable Time (as defined below), as of the Closing Date and as of the Option Closing Date, if any, as follows:</w:t>
      </w:r>
    </w:p>
    <w:p>
      <w:pPr>
        <w:spacing w:after="0" w:line="152"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Filing of Registration Statement</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53"/>
        <w:spacing w:after="0" w:line="271"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Pursuant to the Securities Act</w:t>
      </w:r>
      <w:r>
        <w:rPr>
          <w:rFonts w:ascii="Arial" w:cs="Arial" w:eastAsia="Arial" w:hAnsi="Arial"/>
          <w:sz w:val="15"/>
          <w:szCs w:val="15"/>
          <w:color w:val="auto"/>
        </w:rPr>
        <w:t>. The Company has filed with the U.S. Securities and Exchange Commission (the “Commission”) a registration statement, and an amendment or amendments thereto, on Form F-1 (File No. 333-186003), including any related prospectus or prospectuses, for the registration of the Public Securities and the Representative’s Securities under the Securities Act of 1933, as amended (the “Securities Act”), which registration statement and amendment or amendments have been prepared by the Company in all material respects in conformity with the requirements of the Securities Act and the rules and regulations of the Commission under the Securities Act (the “Securities Act Regulations”) and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Effective Date pursuant to paragraph (b) of Rule 430A of the Securities Act Regulations (the “Rule 430A Information”)), is referred to herein as the “Registration Statement.”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29" w:name="page130"/>
    <w:bookmarkEnd w:id="129"/>
    <w:p>
      <w:pPr>
        <w:jc w:val="both"/>
        <w:ind w:right="20" w:firstLine="577"/>
        <w:spacing w:after="0" w:line="257" w:lineRule="auto"/>
        <w:rPr>
          <w:sz w:val="20"/>
          <w:szCs w:val="20"/>
          <w:color w:val="auto"/>
        </w:rPr>
      </w:pPr>
      <w:r>
        <w:rPr>
          <w:rFonts w:ascii="Arial" w:cs="Arial" w:eastAsia="Arial" w:hAnsi="Arial"/>
          <w:sz w:val="16"/>
          <w:szCs w:val="16"/>
          <w:color w:val="auto"/>
        </w:rPr>
        <w:t>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Preliminary Prospectus, subject to completion, dated [•], 2013, that was included in the Registration Statement immediately prior to the Applicable Time is hereinafter called the “Pricing Prospectus.” The final prospectus in the form first furnished to the Underwriters for use in the Offering is hereinafter called the “Prospectus.” Any reference to the “most recent Preliminary Prospectus” shall be deemed to refer to the latest Preliminary Prospectus included in the Registration Statement.</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“Applicable Time” means [TIME] [a.m./p.m.], Eastern time, on the date of this Agreement.</w:t>
      </w:r>
    </w:p>
    <w:p>
      <w:pPr>
        <w:spacing w:after="0" w:line="200"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“Issuer Free Writing Prospectus” means any “issuer free writing prospectus,” as defined in Rule 433 of the Securities Act Regulations (“Rule 433”),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68"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“Issuer General Use Free Writing Prospectus” means any Issuer Free Writing Prospectus that is intended for general distribution to prospective investors (other than a “bona fide electronic road show,” as defined in Rule 433 (the “Bona Fide Electronic Road Show”)), as evidenced by its being specified in </w:t>
      </w:r>
      <w:r>
        <w:rPr>
          <w:rFonts w:ascii="Arial" w:cs="Arial" w:eastAsia="Arial" w:hAnsi="Arial"/>
          <w:sz w:val="15"/>
          <w:szCs w:val="15"/>
          <w:u w:val="single" w:color="auto"/>
          <w:color w:val="auto"/>
        </w:rPr>
        <w:t>Schedule 2-B</w:t>
      </w:r>
      <w:r>
        <w:rPr>
          <w:rFonts w:ascii="Arial" w:cs="Arial" w:eastAsia="Arial" w:hAnsi="Arial"/>
          <w:sz w:val="15"/>
          <w:szCs w:val="15"/>
          <w:color w:val="auto"/>
        </w:rPr>
        <w:t xml:space="preserve"> hereto.</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“Issuer Limited Use Free Writing Prospectus” means any Issuer Free Writing Prospectus that is not an Issuer General Use Free Writing Prospectus.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 xml:space="preserve">“Pricing Disclosure Package” means any Issuer General Use Free Writing Prospectus issued at or prior to the Applicable Time, the Pricing Prospectus and the information included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hereto, all considered together.</w:t>
      </w:r>
    </w:p>
    <w:p>
      <w:pPr>
        <w:spacing w:after="0" w:line="152" w:lineRule="exact"/>
        <w:rPr>
          <w:sz w:val="20"/>
          <w:szCs w:val="20"/>
          <w:color w:val="auto"/>
        </w:rPr>
      </w:pPr>
    </w:p>
    <w:p>
      <w:pPr>
        <w:jc w:val="both"/>
        <w:ind w:firstLine="1153"/>
        <w:spacing w:after="0" w:line="25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Pursuant to the Exchange Act</w:t>
      </w:r>
      <w:r>
        <w:rPr>
          <w:rFonts w:ascii="Arial" w:cs="Arial" w:eastAsia="Arial" w:hAnsi="Arial"/>
          <w:sz w:val="16"/>
          <w:szCs w:val="16"/>
          <w:color w:val="auto"/>
        </w:rPr>
        <w:t>. The Company has filed with the Commission a Form 8-A (File Number 000-[•]) providing for the registration pursuant to Section 12(b) under the Securities Exchange Act of 1934, as amended (the “Exchange Act”), of the Ordinary Shares. The registration of Ordinary Shares under the Exchange Act has been declared effective by the Commission on or prior to the date hereof. The Company has taken no action designed to, or likely to have the effect of, terminating the registration of the Ordinary Shares under the Exchange Act, nor has the Company received any notification that the Commission is contemplating terminating such registration.</w:t>
      </w:r>
    </w:p>
    <w:p>
      <w:pPr>
        <w:spacing w:after="0" w:line="168" w:lineRule="exact"/>
        <w:rPr>
          <w:sz w:val="20"/>
          <w:szCs w:val="20"/>
          <w:color w:val="auto"/>
        </w:rPr>
      </w:pPr>
    </w:p>
    <w:p>
      <w:pPr>
        <w:jc w:val="both"/>
        <w:ind w:firstLine="577"/>
        <w:spacing w:after="0" w:line="319"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Stock Exchange Listing</w:t>
      </w:r>
      <w:r>
        <w:rPr>
          <w:rFonts w:ascii="Arial" w:cs="Arial" w:eastAsia="Arial" w:hAnsi="Arial"/>
          <w:sz w:val="14"/>
          <w:szCs w:val="14"/>
          <w:color w:val="auto"/>
        </w:rPr>
        <w:t>. The Public Securities and the Ordinary Shares issuable upon exercise of the Representative’s Warrant have been approved for listing on The Nasdaq Capital Market (the “Exchange”), and the Company has taken no action designed to, or likely to have the effect of, delisting the Public Securities and the Ordinary Share issuable upon exercise of the Representative’s Warrant, nor has the Company received any notification that the Exchange is contemplating terminating such listing.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0" w:name="page131"/>
    <w:bookmarkEnd w:id="130"/>
    <w:p>
      <w:pPr>
        <w:jc w:val="both"/>
        <w:ind w:right="20" w:firstLine="577"/>
        <w:spacing w:after="0" w:line="26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Stop Orders, etc</w:t>
      </w:r>
      <w:r>
        <w:rPr>
          <w:rFonts w:ascii="Arial" w:cs="Arial" w:eastAsia="Arial" w:hAnsi="Arial"/>
          <w:sz w:val="16"/>
          <w:szCs w:val="16"/>
          <w:color w:val="auto"/>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6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u w:val="single" w:color="auto"/>
          <w:color w:val="auto"/>
        </w:rPr>
        <w:t>Disclosures in Registration Statement</w:t>
      </w:r>
      <w:r>
        <w:rPr>
          <w:rFonts w:ascii="Arial" w:cs="Arial" w:eastAsia="Arial" w:hAnsi="Arial"/>
          <w:sz w:val="14"/>
          <w:szCs w:val="14"/>
          <w:color w:val="auto"/>
        </w:rPr>
        <w:t>.</w:t>
      </w:r>
    </w:p>
    <w:p>
      <w:pPr>
        <w:spacing w:after="0" w:line="200"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u w:val="single" w:color="auto"/>
          <w:color w:val="auto"/>
        </w:rPr>
        <w:t>Compliance with Securities Act and 10b-5 Representation</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56" w:lineRule="auto"/>
        <w:tabs>
          <w:tab w:leader="none" w:pos="228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7" w:lineRule="exact"/>
        <w:rPr>
          <w:rFonts w:ascii="Arial" w:cs="Arial" w:eastAsia="Arial" w:hAnsi="Arial"/>
          <w:sz w:val="16"/>
          <w:szCs w:val="16"/>
          <w:color w:val="auto"/>
        </w:rPr>
      </w:pPr>
    </w:p>
    <w:p>
      <w:pPr>
        <w:jc w:val="both"/>
        <w:ind w:right="20" w:firstLine="1726"/>
        <w:spacing w:after="0" w:line="264" w:lineRule="auto"/>
        <w:tabs>
          <w:tab w:leader="none" w:pos="233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w:t>
      </w:r>
    </w:p>
    <w:p>
      <w:pPr>
        <w:spacing w:after="0" w:line="161" w:lineRule="exact"/>
        <w:rPr>
          <w:rFonts w:ascii="Arial" w:cs="Arial" w:eastAsia="Arial" w:hAnsi="Arial"/>
          <w:sz w:val="16"/>
          <w:szCs w:val="16"/>
          <w:color w:val="auto"/>
        </w:rPr>
      </w:pPr>
    </w:p>
    <w:p>
      <w:pPr>
        <w:jc w:val="both"/>
        <w:ind w:right="20" w:firstLine="1726"/>
        <w:spacing w:after="0" w:line="293" w:lineRule="auto"/>
        <w:tabs>
          <w:tab w:leader="none" w:pos="231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the following disclosure contained in the “Underwriting” section of the Prospectus: (a) the third full paragraph and (b) the first sentence and the four bullets points under the subcaption “Stabilization” (the “Underwriters’ Information”); and</w:t>
      </w:r>
    </w:p>
    <w:p>
      <w:pPr>
        <w:spacing w:after="0" w:line="148" w:lineRule="exact"/>
        <w:rPr>
          <w:rFonts w:ascii="Arial" w:cs="Arial" w:eastAsia="Arial" w:hAnsi="Arial"/>
          <w:sz w:val="14"/>
          <w:szCs w:val="14"/>
          <w:color w:val="auto"/>
        </w:rPr>
      </w:pPr>
    </w:p>
    <w:p>
      <w:pPr>
        <w:jc w:val="both"/>
        <w:ind w:right="20" w:firstLine="1726"/>
        <w:spacing w:after="0" w:line="282" w:lineRule="auto"/>
        <w:tabs>
          <w:tab w:leader="none" w:pos="232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w:t>
      </w:r>
    </w:p>
    <w:p>
      <w:pPr>
        <w:spacing w:after="0" w:line="342" w:lineRule="exact"/>
        <w:rPr>
          <w:rFonts w:ascii="Arial" w:cs="Arial" w:eastAsia="Arial" w:hAnsi="Arial"/>
          <w:sz w:val="15"/>
          <w:szCs w:val="15"/>
          <w:color w:val="auto"/>
        </w:rPr>
      </w:pPr>
    </w:p>
    <w:p>
      <w:pPr>
        <w:ind w:left="5680" w:hanging="99"/>
        <w:spacing w:after="0"/>
        <w:tabs>
          <w:tab w:leader="none" w:pos="56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1" w:name="page132"/>
    <w:bookmarkEnd w:id="131"/>
    <w:p>
      <w:pPr>
        <w:jc w:val="both"/>
        <w:ind w:firstLine="1153"/>
        <w:spacing w:after="0" w:line="270" w:lineRule="auto"/>
        <w:rPr>
          <w:sz w:val="20"/>
          <w:szCs w:val="20"/>
          <w:color w:val="auto"/>
        </w:rPr>
      </w:pPr>
      <w:r>
        <w:rPr>
          <w:rFonts w:ascii="Arial" w:cs="Arial" w:eastAsia="Arial" w:hAnsi="Arial"/>
          <w:sz w:val="15"/>
          <w:szCs w:val="15"/>
          <w:color w:val="auto"/>
        </w:rPr>
        <w:t xml:space="preserve">2.4.2. </w:t>
      </w:r>
      <w:r>
        <w:rPr>
          <w:rFonts w:ascii="Arial" w:cs="Arial" w:eastAsia="Arial" w:hAnsi="Arial"/>
          <w:sz w:val="15"/>
          <w:szCs w:val="15"/>
          <w:u w:val="single" w:color="auto"/>
          <w:color w:val="auto"/>
        </w:rPr>
        <w:t>Disclosure of Agreements</w:t>
      </w:r>
      <w:r>
        <w:rPr>
          <w:rFonts w:ascii="Arial" w:cs="Arial" w:eastAsia="Arial" w:hAnsi="Arial"/>
          <w:sz w:val="15"/>
          <w:szCs w:val="15"/>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Pricing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for any such default that would not have or reasonably be expected to result in a material adverse change in the financial position or results of operations of the Company, nor any change or development that, singularly or in the aggregate, would involve a material adverse change, in or affecting the condition (financial or otherwise), results of operations, business or assets of the Company (a “Material Adverse Change”).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“Governmental Entity”), including, without limitation, those relating to environmental laws and regulations except for any such violation that would not have or reasonably be expected to result in a Material Adverse Change.</w:t>
      </w:r>
    </w:p>
    <w:p>
      <w:pPr>
        <w:spacing w:after="0" w:line="159"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Prior Securities Transactions</w:t>
      </w:r>
      <w:r>
        <w:rPr>
          <w:rFonts w:ascii="Arial" w:cs="Arial" w:eastAsia="Arial" w:hAnsi="Arial"/>
          <w:sz w:val="16"/>
          <w:szCs w:val="16"/>
          <w:color w:val="auto"/>
        </w:rPr>
        <w:t>. During the last three years,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62"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Regulations</w:t>
      </w:r>
      <w:r>
        <w:rPr>
          <w:rFonts w:ascii="Arial" w:cs="Arial" w:eastAsia="Arial" w:hAnsi="Arial"/>
          <w:sz w:val="16"/>
          <w:szCs w:val="16"/>
          <w:color w:val="auto"/>
        </w:rPr>
        <w:t>. 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w:t>
      </w:r>
    </w:p>
    <w:p>
      <w:pPr>
        <w:spacing w:after="0" w:line="16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u w:val="single" w:color="auto"/>
          <w:color w:val="auto"/>
        </w:rPr>
        <w:t>Changes After Dates in Registration Statement</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319" w:lineRule="auto"/>
        <w:rPr>
          <w:sz w:val="20"/>
          <w:szCs w:val="20"/>
          <w:color w:val="auto"/>
        </w:rPr>
      </w:pPr>
      <w:r>
        <w:rPr>
          <w:rFonts w:ascii="Arial" w:cs="Arial" w:eastAsia="Arial" w:hAnsi="Arial"/>
          <w:sz w:val="14"/>
          <w:szCs w:val="14"/>
          <w:color w:val="auto"/>
        </w:rPr>
        <w:t xml:space="preserve">2.5.1. </w:t>
      </w:r>
      <w:r>
        <w:rPr>
          <w:rFonts w:ascii="Arial" w:cs="Arial" w:eastAsia="Arial" w:hAnsi="Arial"/>
          <w:sz w:val="14"/>
          <w:szCs w:val="14"/>
          <w:u w:val="single" w:color="auto"/>
          <w:color w:val="auto"/>
        </w:rPr>
        <w:t>No Material Adverse Change</w:t>
      </w:r>
      <w:r>
        <w:rPr>
          <w:rFonts w:ascii="Arial" w:cs="Arial" w:eastAsia="Arial" w:hAnsi="Arial"/>
          <w:sz w:val="14"/>
          <w:szCs w:val="14"/>
          <w:color w:val="auto"/>
        </w:rPr>
        <w:t>. Since the respective dates as of which information is given in the Registration Statement, the Pricing Disclosure Package and the Prospectus, except as otherwise specifically stated therein: (i) there has been no Material Adverse Change; (ii) there have been no material transactions entered into by the Company, other than as contemplated pursuant to this Agreement; and (iii) no officer or director of the Company has resigned from any position with the Company.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2" w:name="page133"/>
    <w:bookmarkEnd w:id="132"/>
    <w:p>
      <w:pPr>
        <w:jc w:val="both"/>
        <w:ind w:firstLine="1153"/>
        <w:spacing w:after="0" w:line="259"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Recent Securities Transactions, etc</w:t>
      </w:r>
      <w:r>
        <w:rPr>
          <w:rFonts w:ascii="Arial" w:cs="Arial" w:eastAsia="Arial" w:hAnsi="Arial"/>
          <w:sz w:val="16"/>
          <w:szCs w:val="16"/>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67"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To the knowledge of the Company, Kost Forer Gabbay &amp; Kasierer (a Member of Ernst &amp; Young Global) (the “Auditor”),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The Auditor has not, during the periods covered by the financial statements included in the Registration Statement, the Pricing Disclosure Package and the Prospectus, provided to the Company any non-audit services, as such term is used in Section 10A(g) of the Exchange Act.</w:t>
      </w:r>
    </w:p>
    <w:p>
      <w:pPr>
        <w:spacing w:after="0" w:line="16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Financial Statements, etc</w:t>
      </w:r>
      <w:r>
        <w:rPr>
          <w:rFonts w:ascii="Arial" w:cs="Arial" w:eastAsia="Arial" w:hAnsi="Arial"/>
          <w:sz w:val="14"/>
          <w:szCs w:val="14"/>
          <w:color w:val="auto"/>
        </w:rPr>
        <w:t>. The financial statements, including the notes thereto and supporting schedules included in the Registration Statement, the Pricing Disclosure Package and the Prospectus, fairly present the financial position and the results of operations of the Company at the dates and for the periods to which they apply; and such financial statements have been prepared in conformity with U.S. generally accepted accounting principles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direct and indirect subsidiaries, including each entity disclosed or described in the Registration Statement, the Pricing Disclosure Package and the Prospectus as being a subsidiary of the Company (each, a “Subsidiary” and, collectively, the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and consistent with the Company's prior policies, made any grants under any stock compensation plan, and (d) there has not been any material adverse change in the Company’s long-term or short-term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3" w:name="page134"/>
    <w:bookmarkEnd w:id="133"/>
    <w:p>
      <w:pPr>
        <w:jc w:val="both"/>
        <w:ind w:firstLine="577"/>
        <w:spacing w:after="0" w:line="25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Authorized Capital; Options, etc</w:t>
      </w:r>
      <w:r>
        <w:rPr>
          <w:rFonts w:ascii="Arial" w:cs="Arial" w:eastAsia="Arial" w:hAnsi="Arial"/>
          <w:sz w:val="16"/>
          <w:szCs w:val="16"/>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the adjusted stock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Ordinary Shares of the Company or any security convertible or exercisable into Ordinary Shares of the Company, or any contracts or commitments to issue or sell Ordinary Shares or any such options, warrants, rights or convertible securities.</w:t>
      </w:r>
    </w:p>
    <w:p>
      <w:pPr>
        <w:spacing w:after="0" w:line="16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u w:val="single" w:color="auto"/>
          <w:color w:val="auto"/>
        </w:rPr>
        <w:t>Valid Issuance of Securities, etc.</w:t>
      </w:r>
    </w:p>
    <w:p>
      <w:pPr>
        <w:spacing w:after="0" w:line="200" w:lineRule="exact"/>
        <w:rPr>
          <w:sz w:val="20"/>
          <w:szCs w:val="20"/>
          <w:color w:val="auto"/>
        </w:rPr>
      </w:pPr>
    </w:p>
    <w:p>
      <w:pPr>
        <w:jc w:val="both"/>
        <w:ind w:firstLine="1153"/>
        <w:spacing w:after="0" w:line="274" w:lineRule="auto"/>
        <w:rPr>
          <w:sz w:val="20"/>
          <w:szCs w:val="20"/>
          <w:color w:val="auto"/>
        </w:rPr>
      </w:pPr>
      <w:r>
        <w:rPr>
          <w:rFonts w:ascii="Arial" w:cs="Arial" w:eastAsia="Arial" w:hAnsi="Arial"/>
          <w:sz w:val="15"/>
          <w:szCs w:val="15"/>
          <w:color w:val="auto"/>
        </w:rPr>
        <w:t xml:space="preserve">2.9.1. </w:t>
      </w:r>
      <w:r>
        <w:rPr>
          <w:rFonts w:ascii="Arial" w:cs="Arial" w:eastAsia="Arial" w:hAnsi="Arial"/>
          <w:sz w:val="15"/>
          <w:szCs w:val="15"/>
          <w:u w:val="single" w:color="auto"/>
          <w:color w:val="auto"/>
        </w:rPr>
        <w:t>Outstanding Securities</w:t>
      </w:r>
      <w:r>
        <w:rPr>
          <w:rFonts w:ascii="Arial" w:cs="Arial" w:eastAsia="Arial" w:hAnsi="Arial"/>
          <w:sz w:val="15"/>
          <w:szCs w:val="15"/>
          <w:color w:val="auto"/>
        </w:rPr>
        <w:t>. All issued and outstanding securities of the Company issued prior to the transactions contemplated by this Agreement have been duly authorized and validly issued and are fully paid and non-assessable; the holders thereof have no rights of rescission or the ability to force the Company to repurchase such securities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Ordinary Shares conform in all material respects to all statements relating thereto contained in the Registration Statement, the Pricing Disclosure Package and the Prospectus. The offers and sales of the outstanding Ordinary Shares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159" w:lineRule="exact"/>
        <w:rPr>
          <w:sz w:val="20"/>
          <w:szCs w:val="20"/>
          <w:color w:val="auto"/>
        </w:rPr>
      </w:pPr>
    </w:p>
    <w:p>
      <w:pPr>
        <w:jc w:val="both"/>
        <w:ind w:firstLine="1153"/>
        <w:spacing w:after="0" w:line="271" w:lineRule="auto"/>
        <w:rPr>
          <w:sz w:val="20"/>
          <w:szCs w:val="20"/>
          <w:color w:val="auto"/>
        </w:rPr>
      </w:pPr>
      <w:r>
        <w:rPr>
          <w:rFonts w:ascii="Arial" w:cs="Arial" w:eastAsia="Arial" w:hAnsi="Arial"/>
          <w:sz w:val="15"/>
          <w:szCs w:val="15"/>
          <w:color w:val="auto"/>
        </w:rPr>
        <w:t xml:space="preserve">2.9.2. </w:t>
      </w:r>
      <w:r>
        <w:rPr>
          <w:rFonts w:ascii="Arial" w:cs="Arial" w:eastAsia="Arial" w:hAnsi="Arial"/>
          <w:sz w:val="15"/>
          <w:szCs w:val="15"/>
          <w:u w:val="single" w:color="auto"/>
          <w:color w:val="auto"/>
        </w:rPr>
        <w:t>Securities Sold Pursuant to this Agreement</w:t>
      </w:r>
      <w:r>
        <w:rPr>
          <w:rFonts w:ascii="Arial" w:cs="Arial" w:eastAsia="Arial" w:hAnsi="Arial"/>
          <w:sz w:val="15"/>
          <w:szCs w:val="15"/>
          <w:color w:val="auto"/>
        </w:rPr>
        <w:t>. The Public Securities and Representative’s Securities have been duly authorized for issuance and sale and, when issued and paid for, will be validly issued, fully paid and non-assessable; the holders thereof are not and will not be subject to personal liability by reason of being such holders; the Public Securities and Representative’s Securities are not and will not be subject to the preemptive rights of any holders of any security of the Company or similar contractual rights granted by the Company; and all corporate action required to be taken for the authorization, issuance and sale of the Public Securities and Representative’s Securities has been duly and validly taken. The Public Securities and Representative’s Securities conform in all material respects to all statements with respect thereto contained in the Registration Statement, the Pricing Disclosure Package and the Prospectus. All corporate action required to be taken for the authorization, issuance and sale of the Representative’s Warrant Agreement has been duly and validly taken; the Ordinary Shares issuable upon exercise of the Representative’s Warrant have been duly authorized and reserved for issuance by all necessary corporate action on the part of the Company and when paid for and issued in accordance with the Representative’s Warrant and the Representative’s Warrant Agreement, such Ordinary Shares will be validly issued, fully paid and non-assessable; the holders thereof are not and will not be subject to personal liability by reason of being such holders; and such Ordinary Shares are not and will not be subject to the preemptive rights of any holders of any security of the Company or similar contractual rights granted by the Company.</w:t>
      </w:r>
    </w:p>
    <w:p>
      <w:pPr>
        <w:spacing w:after="0" w:line="164"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Registration Rights of Third Parties</w:t>
      </w:r>
      <w:r>
        <w:rPr>
          <w:rFonts w:ascii="Arial" w:cs="Arial" w:eastAsia="Arial" w:hAnsi="Arial"/>
          <w:sz w:val="15"/>
          <w:szCs w:val="15"/>
          <w:color w:val="auto"/>
        </w:rPr>
        <w:t>. 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4" w:name="page135"/>
    <w:bookmarkEnd w:id="134"/>
    <w:p>
      <w:pPr>
        <w:jc w:val="both"/>
        <w:ind w:firstLine="577"/>
        <w:spacing w:after="0" w:line="302"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Validity and Binding Effect of Agreements</w:t>
      </w:r>
      <w:r>
        <w:rPr>
          <w:rFonts w:ascii="Arial" w:cs="Arial" w:eastAsia="Arial" w:hAnsi="Arial"/>
          <w:sz w:val="14"/>
          <w:szCs w:val="14"/>
          <w:color w:val="auto"/>
        </w:rPr>
        <w:t>. This Agreement and the Representative’s Warrant Agreement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40" w:lineRule="exact"/>
        <w:rPr>
          <w:sz w:val="20"/>
          <w:szCs w:val="20"/>
          <w:color w:val="auto"/>
        </w:rPr>
      </w:pPr>
    </w:p>
    <w:p>
      <w:pPr>
        <w:jc w:val="both"/>
        <w:ind w:firstLine="577"/>
        <w:spacing w:after="0" w:line="294"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u w:val="single" w:color="auto"/>
          <w:color w:val="auto"/>
        </w:rPr>
        <w:t>No Conflicts, etc</w:t>
      </w:r>
      <w:r>
        <w:rPr>
          <w:rFonts w:ascii="Arial" w:cs="Arial" w:eastAsia="Arial" w:hAnsi="Arial"/>
          <w:sz w:val="14"/>
          <w:szCs w:val="14"/>
          <w:color w:val="auto"/>
        </w:rPr>
        <w:t>. The execution, delivery and performance by the Company of this Agreement, the Representative’s Warrant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Amended and Restated Articles of Association of the Company (as the same may be amended or restated from time to time, the “Charter”); or (iii) violate any existing applicable law, rule, regulation, judgment, order or decree of any Governmental Entity as of the date hereof (including, without limitation, those promulgated by the Food and Drug Administration of the U.S. Department of Health and Human Services (the “FDA”) or by any foreign, federal, state or local regulatory authority performing functions similar to those performed by the FDA), except, in the case of clause (iii), for any such violation that would not have or reasonably be expected to result in a Material Adverse Change.</w:t>
      </w:r>
    </w:p>
    <w:p>
      <w:pPr>
        <w:spacing w:after="0" w:line="147"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No Defaults; Violations</w:t>
      </w:r>
      <w:r>
        <w:rPr>
          <w:rFonts w:ascii="Arial" w:cs="Arial" w:eastAsia="Arial" w:hAnsi="Arial"/>
          <w:sz w:val="16"/>
          <w:szCs w:val="16"/>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Charter, or in violation of any franchise, license, permit, applicable law, rule, regulation, judgment or decree of any Governmental Entity.</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u w:val="single" w:color="auto"/>
          <w:color w:val="auto"/>
        </w:rPr>
        <w:t>Corporate Power; Licenses; Consents</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308" w:lineRule="auto"/>
        <w:rPr>
          <w:sz w:val="20"/>
          <w:szCs w:val="20"/>
          <w:color w:val="auto"/>
        </w:rPr>
      </w:pPr>
      <w:r>
        <w:rPr>
          <w:rFonts w:ascii="Arial" w:cs="Arial" w:eastAsia="Arial" w:hAnsi="Arial"/>
          <w:sz w:val="14"/>
          <w:szCs w:val="14"/>
          <w:color w:val="auto"/>
        </w:rPr>
        <w:t xml:space="preserve">2.14.1. </w:t>
      </w:r>
      <w:r>
        <w:rPr>
          <w:rFonts w:ascii="Arial" w:cs="Arial" w:eastAsia="Arial" w:hAnsi="Arial"/>
          <w:sz w:val="14"/>
          <w:szCs w:val="14"/>
          <w:u w:val="single" w:color="auto"/>
          <w:color w:val="auto"/>
        </w:rPr>
        <w:t>Conduct of Business</w:t>
      </w:r>
      <w:r>
        <w:rPr>
          <w:rFonts w:ascii="Arial" w:cs="Arial" w:eastAsia="Arial" w:hAnsi="Arial"/>
          <w:sz w:val="14"/>
          <w:szCs w:val="14"/>
          <w:color w:val="auto"/>
        </w:rPr>
        <w:t>. Except as described in the Registration Statement, the Pricing Disclosure Package and the Prospectus,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Registration Statement, the Pricing Disclosure Package and the Prospectus, except where the failure to have any such authorization, approval, order, license, certificate or permit would not have or reasonably be expected to result in a Material Adverse Change.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5" w:name="page136"/>
    <w:bookmarkEnd w:id="135"/>
    <w:p>
      <w:pPr>
        <w:jc w:val="both"/>
        <w:ind w:firstLine="1153"/>
        <w:spacing w:after="0" w:line="256"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Transactions Contemplated Herein</w:t>
      </w:r>
      <w:r>
        <w:rPr>
          <w:rFonts w:ascii="Arial" w:cs="Arial" w:eastAsia="Arial" w:hAnsi="Arial"/>
          <w:sz w:val="16"/>
          <w:szCs w:val="16"/>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Public Securities and the consummation of the transactions and agreements contemplated by this Agreement and the Representative’s Warrant Agreement and as contemplated by the Registration Statement, the Pricing Disclosure Package and the Prospectus, except with respect to applicable federal and state securities laws and the rules and regulations of the Financial Industry Regulatory Authority, Inc. (“FINRA”).</w:t>
      </w:r>
    </w:p>
    <w:p>
      <w:pPr>
        <w:spacing w:after="0" w:line="168"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D&amp;O Questionnaires</w:t>
      </w:r>
      <w:r>
        <w:rPr>
          <w:rFonts w:ascii="Arial" w:cs="Arial" w:eastAsia="Arial" w:hAnsi="Arial"/>
          <w:sz w:val="16"/>
          <w:szCs w:val="16"/>
          <w:color w:val="auto"/>
        </w:rPr>
        <w:t>. To the Company’s knowledge, all information contained in the questionnaires (the “Questionnaires”) completed by each of the Company’s directors and officers immediately prior to the Offering (the “Insiders”) as supplemented by all information concerning the Company’s directors, officers and principal shareholders as described in the Registration Statement, the Pricing Disclosure Package and the Prospectus, as well as in the Lock-Up Agreement (as defined in Section 2.25 below), provided to the Underwriters, is true and correct in all material respects and the Company has not become aware of any information which would cause the information disclosed in the Questionnaires to become materially inaccurate and incorrect.</w:t>
      </w:r>
    </w:p>
    <w:p>
      <w:pPr>
        <w:spacing w:after="0" w:line="168"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except for any such action, suit, proceeding, inquiry, arbitration, investigation, litigation or governmental proceeding that would not have or reasonably be expected to result in a Material Adverse Change, or in connection with the Company’s listing application for the listing of the Public Securities on the Exchange.</w:t>
      </w:r>
    </w:p>
    <w:p>
      <w:pPr>
        <w:spacing w:after="0" w:line="16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u w:val="single" w:color="auto"/>
          <w:color w:val="auto"/>
        </w:rPr>
        <w:t>Good Standing</w:t>
      </w:r>
      <w:r>
        <w:rPr>
          <w:rFonts w:ascii="Arial" w:cs="Arial" w:eastAsia="Arial" w:hAnsi="Arial"/>
          <w:sz w:val="14"/>
          <w:szCs w:val="14"/>
          <w:color w:val="auto"/>
        </w:rPr>
        <w:t>. The Company has been duly organized and is validly existing as a corporation and is in good standing under the laws of the State of Israel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27"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carries or is entitled to the benefits of insurance, with reputable insurers, in such amounts and covering such risks which the Company believes are adequate,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2.19</w:t>
      </w:r>
      <w:r>
        <w:rPr>
          <w:sz w:val="20"/>
          <w:szCs w:val="20"/>
          <w:color w:val="auto"/>
        </w:rPr>
        <w:tab/>
      </w:r>
      <w:r>
        <w:rPr>
          <w:rFonts w:ascii="Arial" w:cs="Arial" w:eastAsia="Arial" w:hAnsi="Arial"/>
          <w:sz w:val="14"/>
          <w:szCs w:val="14"/>
          <w:u w:val="single" w:color="auto"/>
          <w:color w:val="auto"/>
        </w:rPr>
        <w:t>Transactions Affecting Disclosure to FINRA</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2.19.1. </w:t>
      </w:r>
      <w:r>
        <w:rPr>
          <w:rFonts w:ascii="Arial" w:cs="Arial" w:eastAsia="Arial" w:hAnsi="Arial"/>
          <w:sz w:val="16"/>
          <w:szCs w:val="16"/>
          <w:u w:val="single" w:color="auto"/>
          <w:color w:val="auto"/>
        </w:rPr>
        <w:t>Finder’s Fees</w:t>
      </w:r>
      <w:r>
        <w:rPr>
          <w:rFonts w:ascii="Arial" w:cs="Arial" w:eastAsia="Arial" w:hAnsi="Arial"/>
          <w:sz w:val="16"/>
          <w:szCs w:val="16"/>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Public Securities hereunder or any other arrangements, agreements or understandings of the Company or, to the Company’s knowledge, any of its shareholders that may affect the Underwriters’ compensation, as determined by FINRA.</w:t>
      </w:r>
    </w:p>
    <w:p>
      <w:pPr>
        <w:spacing w:after="0" w:line="167" w:lineRule="exact"/>
        <w:rPr>
          <w:sz w:val="20"/>
          <w:szCs w:val="20"/>
          <w:color w:val="auto"/>
        </w:rPr>
      </w:pPr>
    </w:p>
    <w:p>
      <w:pPr>
        <w:jc w:val="both"/>
        <w:ind w:right="20" w:firstLine="1153"/>
        <w:spacing w:after="0" w:line="257" w:lineRule="auto"/>
        <w:rPr>
          <w:sz w:val="20"/>
          <w:szCs w:val="20"/>
          <w:color w:val="auto"/>
        </w:rPr>
      </w:pPr>
      <w:r>
        <w:rPr>
          <w:rFonts w:ascii="Arial" w:cs="Arial" w:eastAsia="Arial" w:hAnsi="Arial"/>
          <w:sz w:val="16"/>
          <w:szCs w:val="16"/>
          <w:color w:val="auto"/>
        </w:rPr>
        <w:t xml:space="preserve">2.19.2. </w:t>
      </w:r>
      <w:r>
        <w:rPr>
          <w:rFonts w:ascii="Arial" w:cs="Arial" w:eastAsia="Arial" w:hAnsi="Arial"/>
          <w:sz w:val="16"/>
          <w:szCs w:val="16"/>
          <w:u w:val="single" w:color="auto"/>
          <w:color w:val="auto"/>
        </w:rPr>
        <w:t>Payments Within Twelve (12) Months</w:t>
      </w:r>
      <w:r>
        <w:rPr>
          <w:rFonts w:ascii="Arial" w:cs="Arial" w:eastAsia="Arial" w:hAnsi="Arial"/>
          <w:sz w:val="16"/>
          <w:szCs w:val="16"/>
          <w:color w:val="auto"/>
        </w:rPr>
        <w:t>.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6" w:name="page137"/>
    <w:bookmarkEnd w:id="136"/>
    <w:p>
      <w:pPr>
        <w:jc w:val="both"/>
        <w:ind w:firstLine="1153"/>
        <w:spacing w:after="0" w:line="277" w:lineRule="auto"/>
        <w:rPr>
          <w:sz w:val="20"/>
          <w:szCs w:val="20"/>
          <w:color w:val="auto"/>
        </w:rPr>
      </w:pPr>
      <w:r>
        <w:rPr>
          <w:rFonts w:ascii="Arial" w:cs="Arial" w:eastAsia="Arial" w:hAnsi="Arial"/>
          <w:sz w:val="16"/>
          <w:szCs w:val="16"/>
          <w:color w:val="auto"/>
        </w:rPr>
        <w:t xml:space="preserve">2.19.3. </w:t>
      </w:r>
      <w:r>
        <w:rPr>
          <w:rFonts w:ascii="Arial" w:cs="Arial" w:eastAsia="Arial" w:hAnsi="Arial"/>
          <w:sz w:val="16"/>
          <w:szCs w:val="16"/>
          <w:u w:val="single" w:color="auto"/>
          <w:color w:val="auto"/>
        </w:rPr>
        <w:t>Use of Proceeds</w:t>
      </w:r>
      <w:r>
        <w:rPr>
          <w:rFonts w:ascii="Arial" w:cs="Arial" w:eastAsia="Arial" w:hAnsi="Arial"/>
          <w:sz w:val="16"/>
          <w:szCs w:val="16"/>
          <w:color w:val="auto"/>
        </w:rPr>
        <w:t>. None of the net proceeds of the Offering will be paid by the Company to any participating FINRA member or its affiliates, except as specifically authorized herein.</w:t>
      </w:r>
    </w:p>
    <w:p>
      <w:pPr>
        <w:spacing w:after="0" w:line="152" w:lineRule="exact"/>
        <w:rPr>
          <w:sz w:val="20"/>
          <w:szCs w:val="20"/>
          <w:color w:val="auto"/>
        </w:rPr>
      </w:pPr>
    </w:p>
    <w:p>
      <w:pPr>
        <w:jc w:val="both"/>
        <w:ind w:firstLine="1153"/>
        <w:spacing w:after="0" w:line="289" w:lineRule="auto"/>
        <w:rPr>
          <w:sz w:val="20"/>
          <w:szCs w:val="20"/>
          <w:color w:val="auto"/>
        </w:rPr>
      </w:pPr>
      <w:r>
        <w:rPr>
          <w:rFonts w:ascii="Arial" w:cs="Arial" w:eastAsia="Arial" w:hAnsi="Arial"/>
          <w:sz w:val="15"/>
          <w:szCs w:val="15"/>
          <w:color w:val="auto"/>
        </w:rPr>
        <w:t xml:space="preserve">2.19.4. </w:t>
      </w:r>
      <w:r>
        <w:rPr>
          <w:rFonts w:ascii="Arial" w:cs="Arial" w:eastAsia="Arial" w:hAnsi="Arial"/>
          <w:sz w:val="15"/>
          <w:szCs w:val="15"/>
          <w:u w:val="single" w:color="auto"/>
          <w:color w:val="auto"/>
        </w:rPr>
        <w:t>FINRA Affiliation</w:t>
      </w:r>
      <w:r>
        <w:rPr>
          <w:rFonts w:ascii="Arial" w:cs="Arial" w:eastAsia="Arial" w:hAnsi="Arial"/>
          <w:sz w:val="15"/>
          <w:szCs w:val="15"/>
          <w:color w:val="auto"/>
        </w:rPr>
        <w:t>. There is no (i) officer or director of the Company, (ii) beneficial owner of 5% or more of any class of the Company's securities or (iii)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46" w:lineRule="exact"/>
        <w:rPr>
          <w:sz w:val="20"/>
          <w:szCs w:val="20"/>
          <w:color w:val="auto"/>
        </w:rPr>
      </w:pPr>
    </w:p>
    <w:p>
      <w:pPr>
        <w:jc w:val="both"/>
        <w:ind w:right="20" w:firstLine="1153"/>
        <w:spacing w:after="0" w:line="312" w:lineRule="auto"/>
        <w:rPr>
          <w:sz w:val="20"/>
          <w:szCs w:val="20"/>
          <w:color w:val="auto"/>
        </w:rPr>
      </w:pPr>
      <w:r>
        <w:rPr>
          <w:rFonts w:ascii="Arial" w:cs="Arial" w:eastAsia="Arial" w:hAnsi="Arial"/>
          <w:sz w:val="15"/>
          <w:szCs w:val="15"/>
          <w:color w:val="auto"/>
        </w:rPr>
        <w:t xml:space="preserve">2.19.5. </w:t>
      </w:r>
      <w:r>
        <w:rPr>
          <w:rFonts w:ascii="Arial" w:cs="Arial" w:eastAsia="Arial" w:hAnsi="Arial"/>
          <w:sz w:val="15"/>
          <w:szCs w:val="15"/>
          <w:u w:val="single" w:color="auto"/>
          <w:color w:val="auto"/>
        </w:rPr>
        <w:t>Information</w:t>
      </w:r>
      <w:r>
        <w:rPr>
          <w:rFonts w:ascii="Arial" w:cs="Arial" w:eastAsia="Arial" w:hAnsi="Arial"/>
          <w:sz w:val="15"/>
          <w:szCs w:val="15"/>
          <w:color w:val="auto"/>
        </w:rPr>
        <w:t>. All information provided by the Company in its FINRA questionnaire to Representative Counsel specifically for use by Representative Counsel in connection with its Public Offering System filings (and related disclosure) with FINRA is true, correct and complete in all material respects.</w:t>
      </w:r>
    </w:p>
    <w:p>
      <w:pPr>
        <w:spacing w:after="0" w:line="128"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Foreign Corrupt Practices Act</w:t>
      </w:r>
      <w:r>
        <w:rPr>
          <w:rFonts w:ascii="Arial" w:cs="Arial" w:eastAsia="Arial" w:hAnsi="Arial"/>
          <w:sz w:val="15"/>
          <w:szCs w:val="15"/>
          <w:color w:val="auto"/>
        </w:rPr>
        <w:t>. None of the Company and its Subsidiaries or, to the Company’s knowledge, any director, officer, agent, 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 or Title 5 of the Israeli Penalty Law (Bribery Transactions).</w:t>
      </w:r>
    </w:p>
    <w:p>
      <w:pPr>
        <w:spacing w:after="0" w:line="156"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Compliance with OFAC</w:t>
      </w:r>
      <w:r>
        <w:rPr>
          <w:rFonts w:ascii="Arial" w:cs="Arial" w:eastAsia="Arial" w:hAnsi="Arial"/>
          <w:sz w:val="16"/>
          <w:szCs w:val="16"/>
          <w:color w:val="auto"/>
        </w:rPr>
        <w:t>. None of the Company and its Subsidiaries or, to the Company’s knowledge,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(“OFAC”),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68" w:lineRule="exact"/>
        <w:rPr>
          <w:sz w:val="20"/>
          <w:szCs w:val="20"/>
          <w:color w:val="auto"/>
        </w:rPr>
      </w:pPr>
    </w:p>
    <w:p>
      <w:pPr>
        <w:jc w:val="both"/>
        <w:ind w:right="20" w:firstLine="577"/>
        <w:spacing w:after="0" w:line="278"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Money Laundering Laws</w:t>
      </w:r>
      <w:r>
        <w:rPr>
          <w:rFonts w:ascii="Arial" w:cs="Arial" w:eastAsia="Arial" w:hAnsi="Arial"/>
          <w:sz w:val="15"/>
          <w:szCs w:val="15"/>
          <w:color w:val="auto"/>
        </w:rPr>
        <w:t>. The operations of the Company and its Subsidiaries are and have been conducted at all times in compliance with applicable financial recordkeeping and reporting requirements of the Currency and Foreign Transactions Reporting Act of 1970, as amended, the Israeli Prohibition on Money Laundering Law, 2000,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with respect to the Money Laundering Laws is pending or, to the best knowledge of the Company, threatened.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7" w:name="page138"/>
    <w:bookmarkEnd w:id="137"/>
    <w:p>
      <w:pPr>
        <w:jc w:val="both"/>
        <w:ind w:firstLine="577"/>
        <w:spacing w:after="0" w:line="270" w:lineRule="auto"/>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u w:val="single" w:color="auto"/>
          <w:color w:val="auto"/>
        </w:rPr>
        <w:t>Regulatory</w:t>
      </w:r>
      <w:r>
        <w:rPr>
          <w:rFonts w:ascii="Arial" w:cs="Arial" w:eastAsia="Arial" w:hAnsi="Arial"/>
          <w:sz w:val="15"/>
          <w:szCs w:val="15"/>
          <w:color w:val="auto"/>
        </w:rPr>
        <w:t>. All preclinical and clinical studies conducted by or on behalf of the Company that are material to the Company and its Subsidiaries, taken as a whole, are or have been adequately described in the Registration Statement, the Pricing Disclosure Package and the Prospectus in all material respects. The clinical and preclinical studies conducted by or on behalf of the Company and its Subsidiaries that are described in the Registration Statement, the Pricing Disclosure Package and the Prospectus or the results of which are referred to in the Registration Statement, the Pricing Disclosure Package and the Prospectus were and, if still ongoing, are being conducted in material compliance with all laws and regulations applicable thereto in the jurisdictions in which they are being conducted and with all laws and regulations applicable to preclinical and clinical studies from which data will be submitted to support marketing approval. The descriptions in the Registration Statement, the Pricing Disclosure Package and the Prospectus of the results of such studies are accurate and complete in all material respects and fairly present the data derived from such studies, and the Company has no knowledge of, or reason to believe that, any large well-controlled clinical study the aggregate results of which are inconsistent with or otherwise call into question the results of any clinical study conducted by or on behalf of the Company that are described in the Registration Statement, the Pricing Disclosure Package and the Prospectus or the results of which are referred to in the Registration Statement, the Pricing Disclosure Package and the Prospectus. Except as disclosed in the Registration Statement, the Pricing Disclosure Package and the Prospectus, the Company has not received any written notices or statements from the FDA, the European Medicines Agency (“EMA”) or any other governmental agency or authority imposing, requiring, requesting or suggesting a clinical hold, termination, suspension or material modification for or of any clinical or preclinical studies that are described in the Registration Statement, the Pricing Disclosure Package and the Prospectus or the results of which are referred to in the Registration Statement, the Pricing Disclosure Package and the Prospectus. Except as disclosed in the Registration Statement, the Pricing Disclosure Package and the Prospectus, the Company has not received any written notices or statements from the FDA, the EMA or any other governmental agency, and otherwise has no knowledge of, or reason to believe that, (i) any investigational new drug application for potential product of the Company is or has been rejected or determined to be non-approvable or conditionally approvable; and (ii) any license, approval, permit or authorization to conduct any clinical trial of any potential product of the Company has been, will be or may be suspended, revoked, modified or limited.</w:t>
      </w:r>
    </w:p>
    <w:p>
      <w:pPr>
        <w:spacing w:after="0" w:line="159"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you or to Representative Counsel shall be deemed a representation and warranty by the Company to the Underwriters as to the matters covered thereby.</w:t>
      </w:r>
    </w:p>
    <w:p>
      <w:pPr>
        <w:spacing w:after="0" w:line="152"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 xml:space="preserve">2.25 </w:t>
      </w:r>
      <w:r>
        <w:rPr>
          <w:rFonts w:ascii="Arial" w:cs="Arial" w:eastAsia="Arial" w:hAnsi="Arial"/>
          <w:sz w:val="15"/>
          <w:szCs w:val="15"/>
          <w:u w:val="single" w:color="auto"/>
          <w:color w:val="auto"/>
        </w:rPr>
        <w:t>Lock-Up Agreements. Schedule 3</w:t>
      </w:r>
      <w:r>
        <w:rPr>
          <w:rFonts w:ascii="Arial" w:cs="Arial" w:eastAsia="Arial" w:hAnsi="Arial"/>
          <w:sz w:val="15"/>
          <w:szCs w:val="15"/>
          <w:color w:val="auto"/>
        </w:rPr>
        <w:t xml:space="preserve"> hereto contains a complete and accurate list of the Company’s officers, directors and each owner of at least 5% of the Company’s outstanding Ordinary Shares (or securities convertible or exercisable into Ordinary Shares), as well as certain other holders of Ordinary Shares heretofore agreed upon between you and the Company (collectively, the “Lock-Up Parties”). The Company has caused each of the Lock-Up Parties to deliver to the Representative an executed Lock-Up Agreement,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“Lock-Up Agreement”), prior to the execution of this Agreement.</w:t>
      </w:r>
    </w:p>
    <w:p>
      <w:pPr>
        <w:spacing w:after="0" w:line="15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Subsidiaries</w:t>
      </w:r>
      <w:r>
        <w:rPr>
          <w:rFonts w:ascii="Arial" w:cs="Arial" w:eastAsia="Arial" w:hAnsi="Arial"/>
          <w:sz w:val="16"/>
          <w:szCs w:val="16"/>
          <w:color w:val="auto"/>
        </w:rPr>
        <w:t>. 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Change. The Company’s ownership and control of each Subsidiary is as described in the Registration Statement, the Pricing Disclosure Package and the Prospectus.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8" w:name="page139"/>
    <w:bookmarkEnd w:id="138"/>
    <w:p>
      <w:pPr>
        <w:jc w:val="both"/>
        <w:ind w:firstLine="577"/>
        <w:spacing w:after="0" w:line="277"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52"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Company is comprised of the persons set forth under the heading of the Pricing Prospectus and the Prospectus captioned “Management.” The qualifications of the persons serving as board members and the overall composition of the board comply with the Exchange Act and under the Exchange Act and the rules and regulations promulgated of the Commission promulgated thereunder (the "Exchange Act Regulations"), the Sarbanes-Oxley Act of 2002 and the rules promulgated thereunder (the “Sarbanes-Oxley Act”) applicable to the Company and the listing rules of the Exchange or as otherwise as agreed between the Company and the Exchange.</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2.29</w:t>
      </w:r>
      <w:r>
        <w:rPr>
          <w:sz w:val="20"/>
          <w:szCs w:val="20"/>
          <w:color w:val="auto"/>
        </w:rPr>
        <w:tab/>
      </w:r>
      <w:r>
        <w:rPr>
          <w:rFonts w:ascii="Arial" w:cs="Arial" w:eastAsia="Arial" w:hAnsi="Arial"/>
          <w:sz w:val="14"/>
          <w:szCs w:val="14"/>
          <w:u w:val="single" w:color="auto"/>
          <w:color w:val="auto"/>
        </w:rPr>
        <w:t>Sarbanes-Oxley Compliance</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 xml:space="preserve">2.29.1. </w:t>
      </w:r>
      <w:r>
        <w:rPr>
          <w:rFonts w:ascii="Arial" w:cs="Arial" w:eastAsia="Arial" w:hAnsi="Arial"/>
          <w:sz w:val="15"/>
          <w:szCs w:val="15"/>
          <w:u w:val="single" w:color="auto"/>
          <w:color w:val="auto"/>
        </w:rPr>
        <w:t>Disclosure Controls</w:t>
      </w:r>
      <w:r>
        <w:rPr>
          <w:rFonts w:ascii="Arial" w:cs="Arial" w:eastAsia="Arial" w:hAnsi="Arial"/>
          <w:sz w:val="15"/>
          <w:szCs w:val="15"/>
          <w:color w:val="auto"/>
        </w:rPr>
        <w:t>. The Company has developed and currently maintains disclosure controls and procedures that will comply with Rule 13a-15 or 15d-15 under the Exchange Act Regulations,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spacing w:after="0" w:line="146"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2.29.2. </w:t>
      </w:r>
      <w:r>
        <w:rPr>
          <w:rFonts w:ascii="Arial" w:cs="Arial" w:eastAsia="Arial" w:hAnsi="Arial"/>
          <w:sz w:val="16"/>
          <w:szCs w:val="16"/>
          <w:u w:val="single" w:color="auto"/>
          <w:color w:val="auto"/>
        </w:rPr>
        <w:t>Compliance</w:t>
      </w:r>
      <w:r>
        <w:rPr>
          <w:rFonts w:ascii="Arial" w:cs="Arial" w:eastAsia="Arial" w:hAnsi="Arial"/>
          <w:sz w:val="16"/>
          <w:szCs w:val="16"/>
          <w:color w:val="auto"/>
        </w:rPr>
        <w:t>. The Company is, or at the Applicable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spacing w:after="0" w:line="162" w:lineRule="exact"/>
        <w:rPr>
          <w:sz w:val="20"/>
          <w:szCs w:val="20"/>
          <w:color w:val="auto"/>
        </w:rPr>
      </w:pPr>
    </w:p>
    <w:p>
      <w:pPr>
        <w:jc w:val="both"/>
        <w:ind w:right="20" w:firstLine="577"/>
        <w:spacing w:after="0" w:line="292" w:lineRule="auto"/>
        <w:rPr>
          <w:sz w:val="20"/>
          <w:szCs w:val="20"/>
          <w:color w:val="auto"/>
        </w:rPr>
      </w:pPr>
      <w:r>
        <w:rPr>
          <w:rFonts w:ascii="Arial" w:cs="Arial" w:eastAsia="Arial" w:hAnsi="Arial"/>
          <w:sz w:val="14"/>
          <w:szCs w:val="14"/>
          <w:color w:val="auto"/>
        </w:rPr>
        <w:t xml:space="preserve">2.30 </w:t>
      </w:r>
      <w:r>
        <w:rPr>
          <w:rFonts w:ascii="Arial" w:cs="Arial" w:eastAsia="Arial" w:hAnsi="Arial"/>
          <w:sz w:val="14"/>
          <w:szCs w:val="14"/>
          <w:u w:val="single" w:color="auto"/>
          <w:color w:val="auto"/>
        </w:rPr>
        <w:t>Accounting Controls</w:t>
      </w:r>
      <w:r>
        <w:rPr>
          <w:rFonts w:ascii="Arial" w:cs="Arial" w:eastAsia="Arial" w:hAnsi="Arial"/>
          <w:sz w:val="14"/>
          <w:szCs w:val="14"/>
          <w:color w:val="auto"/>
        </w:rPr>
        <w:t>. The Company and its Subsidiaries maintain systems of “internal control over financial reporting” (as defined under Rules 13a-15 and 15d-15 under the Exchange Act Regulations)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4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No Investment Company Status</w:t>
      </w:r>
      <w:r>
        <w:rPr>
          <w:rFonts w:ascii="Arial" w:cs="Arial" w:eastAsia="Arial" w:hAnsi="Arial"/>
          <w:sz w:val="16"/>
          <w:szCs w:val="16"/>
          <w:color w:val="auto"/>
        </w:rPr>
        <w:t>. The Company is not and, after giving effect to the Offering and the application of the proceeds thereof as described in the Registration Statement, the Pricing Disclosure Package and the Prospectus, will not be, required to register as an “investment company,” as defined in the Investment Company Act of 1940, as amended.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39" w:name="page140"/>
    <w:bookmarkEnd w:id="139"/>
    <w:p>
      <w:pPr>
        <w:jc w:val="both"/>
        <w:ind w:right="20" w:firstLine="577"/>
        <w:spacing w:after="0" w:line="26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No Labor Disputes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w:t>
      </w:r>
      <w:r>
        <w:rPr>
          <w:rFonts w:ascii="Arial" w:cs="Arial" w:eastAsia="Arial" w:hAnsi="Arial"/>
          <w:sz w:val="16"/>
          <w:szCs w:val="16"/>
          <w:color w:val="auto"/>
        </w:rPr>
        <w:t xml:space="preserve"> labor related litigation, and no </w:t>
      </w:r>
      <w:r>
        <w:rPr>
          <w:rFonts w:ascii="Arial" w:cs="Arial" w:eastAsia="Arial" w:hAnsi="Arial"/>
          <w:sz w:val="16"/>
          <w:szCs w:val="16"/>
          <w:b w:val="1"/>
          <w:bCs w:val="1"/>
          <w:i w:val="1"/>
          <w:iCs w:val="1"/>
          <w:color w:val="auto"/>
        </w:rPr>
        <w:t>labor</w:t>
      </w:r>
      <w:r>
        <w:rPr>
          <w:rFonts w:ascii="Arial" w:cs="Arial" w:eastAsia="Arial" w:hAnsi="Arial"/>
          <w:sz w:val="16"/>
          <w:szCs w:val="16"/>
          <w:color w:val="auto"/>
        </w:rPr>
        <w:t xml:space="preserve"> dispute </w:t>
      </w:r>
      <w:r>
        <w:rPr>
          <w:rFonts w:ascii="Arial" w:cs="Arial" w:eastAsia="Arial" w:hAnsi="Arial"/>
          <w:sz w:val="16"/>
          <w:szCs w:val="16"/>
          <w:b w:val="1"/>
          <w:bCs w:val="1"/>
          <w:i w:val="1"/>
          <w:iCs w:val="1"/>
          <w:color w:val="auto"/>
        </w:rPr>
        <w:t>with the employees of</w:t>
      </w:r>
      <w:r>
        <w:rPr>
          <w:rFonts w:ascii="Arial" w:cs="Arial" w:eastAsia="Arial" w:hAnsi="Arial"/>
          <w:sz w:val="16"/>
          <w:szCs w:val="16"/>
          <w:color w:val="auto"/>
        </w:rPr>
        <w:t xml:space="preserve"> the Company or any of its Subsidiaries exists or, to the knowledge of the Company, is </w:t>
      </w:r>
      <w:r>
        <w:rPr>
          <w:rFonts w:ascii="Arial" w:cs="Arial" w:eastAsia="Arial" w:hAnsi="Arial"/>
          <w:sz w:val="16"/>
          <w:szCs w:val="16"/>
          <w:b w:val="1"/>
          <w:bCs w:val="1"/>
          <w:i w:val="1"/>
          <w:iCs w:val="1"/>
          <w:color w:val="auto"/>
        </w:rPr>
        <w:t>imminent.</w:t>
      </w:r>
      <w:r>
        <w:rPr>
          <w:rFonts w:ascii="Arial" w:cs="Arial" w:eastAsia="Arial" w:hAnsi="Arial"/>
          <w:sz w:val="16"/>
          <w:szCs w:val="16"/>
          <w:color w:val="auto"/>
        </w:rPr>
        <w:t xml:space="preserve"> The Company and its Subsidiaries are in compliance in all material respects with the labor and employment laws and collective bargaining agreements and extension orders applicable to their employees in the State of Israel.</w:t>
      </w:r>
    </w:p>
    <w:p>
      <w:pPr>
        <w:spacing w:after="0" w:line="162" w:lineRule="exact"/>
        <w:rPr>
          <w:sz w:val="20"/>
          <w:szCs w:val="20"/>
          <w:color w:val="auto"/>
        </w:rPr>
      </w:pPr>
    </w:p>
    <w:p>
      <w:pPr>
        <w:jc w:val="both"/>
        <w:ind w:firstLine="577"/>
        <w:spacing w:after="0" w:line="288" w:lineRule="auto"/>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The Company and each of its Subsidiaries owns or possesses or has valid rights to use all patents, patent applications, trademarks, service marks, trade names, trademark registrations, service mark registrations, copyrights, licenses, inventions, trade secrets and similar rights (“Intellectual Property Rights”)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(B)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Section 2.33,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The Registration Statement, the Pricing Disclosure Package and the Prospectus contain in all material respects the same description of the matters set forth in the preceding sentence. None of the technology employed by the Company has been obtained or is being used by the Company in violation of any contractual obligation binding on the Company or, to the Company’s knowledge, any of its officers, directors or employees, or otherwise in violation of the rights of any persons. Company has not received claims for royalties or other compensation from individuals, including employees of the Company, who made inventive contributions to Company’s technology or products, and Company will have no obligation to pay royalties or other compensation to such individuals on account of such inventive contributions.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40" w:name="page141"/>
    <w:bookmarkEnd w:id="140"/>
    <w:p>
      <w:pPr>
        <w:jc w:val="both"/>
        <w:ind w:firstLine="577"/>
        <w:spacing w:after="0" w:line="271" w:lineRule="auto"/>
        <w:rPr>
          <w:sz w:val="20"/>
          <w:szCs w:val="20"/>
          <w:color w:val="auto"/>
        </w:rPr>
      </w:pPr>
      <w:r>
        <w:rPr>
          <w:rFonts w:ascii="Arial" w:cs="Arial" w:eastAsia="Arial" w:hAnsi="Arial"/>
          <w:sz w:val="15"/>
          <w:szCs w:val="15"/>
          <w:color w:val="auto"/>
        </w:rPr>
        <w:t xml:space="preserve">2.34 </w:t>
      </w:r>
      <w:r>
        <w:rPr>
          <w:rFonts w:ascii="Arial" w:cs="Arial" w:eastAsia="Arial" w:hAnsi="Arial"/>
          <w:sz w:val="15"/>
          <w:szCs w:val="15"/>
          <w:u w:val="single" w:color="auto"/>
          <w:color w:val="auto"/>
        </w:rPr>
        <w:t>Taxes</w:t>
      </w:r>
      <w:r>
        <w:rPr>
          <w:rFonts w:ascii="Arial" w:cs="Arial" w:eastAsia="Arial" w:hAnsi="Arial"/>
          <w:sz w:val="15"/>
          <w:szCs w:val="15"/>
          <w:color w:val="auto"/>
        </w:rPr>
        <w:t>. Each of the Company and its Subsidiaries has filed all returns (as hereinafter defined) required to be filed with taxing authorities prior to the date hereof or has duly obtained extensions of time for the filing thereof. Each of the Company and its Subsidiaries has paid all taxes (as hereinafter defined) shown as due on such returns that were filed and has paid all taxes imposed on or assessed against the Company or such respective Subsidiary.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 all federal, state, local, foreign and other net income, gross income, gross receipts, sales, use, ad valorem, transfer, franchise, profits, license, lease, service, service use, withholding, payroll, employment, national insurance, value added, excise, severance, stamp, occupation, premium, property, windfall profits, customs, duties or other taxes, fees, assessments or charges of any kind whatever, together with any interest and any penalties, inflation linkages, additions to tax or additional amounts with respect thereto. The term “returns” means all returns, declarations, reports, statements and other documents required to be filed in respect to taxes.</w:t>
      </w:r>
    </w:p>
    <w:p>
      <w:pPr>
        <w:spacing w:after="0" w:line="164"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u w:val="single" w:color="auto"/>
          <w:color w:val="auto"/>
        </w:rPr>
        <w:t>PFIC Status</w:t>
      </w:r>
      <w:r>
        <w:rPr>
          <w:rFonts w:ascii="Arial" w:cs="Arial" w:eastAsia="Arial" w:hAnsi="Arial"/>
          <w:sz w:val="16"/>
          <w:szCs w:val="16"/>
          <w:color w:val="auto"/>
        </w:rPr>
        <w:t>. Based on the nature of the Company’s business, the projected composition of its income and the projected composition and estimated fair market values of the Company’s assets, the Company does not expect to be a passive foreign investment company within the meaning of Section 1297 of the United States Internal Revenue Code of 1986, as amended or the regulations promulgated thereunder in 2013, 2014 or a subsequent year.</w:t>
      </w:r>
    </w:p>
    <w:p>
      <w:pPr>
        <w:spacing w:after="0" w:line="162"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2.36 </w:t>
      </w:r>
      <w:r>
        <w:rPr>
          <w:rFonts w:ascii="Arial" w:cs="Arial" w:eastAsia="Arial" w:hAnsi="Arial"/>
          <w:sz w:val="15"/>
          <w:szCs w:val="15"/>
          <w:u w:val="single" w:color="auto"/>
          <w:color w:val="auto"/>
        </w:rPr>
        <w:t>Compliance with Environmental Laws</w:t>
      </w:r>
      <w:r>
        <w:rPr>
          <w:rFonts w:ascii="Arial" w:cs="Arial" w:eastAsia="Arial" w:hAnsi="Arial"/>
          <w:sz w:val="15"/>
          <w:szCs w:val="15"/>
          <w:color w:val="auto"/>
        </w:rPr>
        <w:t>. Except as described in the Registration Statement, the Pricing Disclosure Package and the Prospectus and except as would not, singly or in the aggregate, reasonably be expected to result in a Material Adverse Change, (i) the Company is not in violation of any material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the Company has all material permits, authorizations and approvals required under any applicable Environmental Laws and is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and (iv) to the Company’s knowledge, there are no events or circumstances that might reasonably be expected to form the basis of an order for clean-up or remediation, or an action, suit or proceeding by any private party or governmental body or agency, against or affecting the Company relating to Hazardous Materials or any Environmental Laws.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41" w:name="page142"/>
    <w:bookmarkEnd w:id="141"/>
    <w:p>
      <w:pPr>
        <w:ind w:left="584"/>
        <w:spacing w:after="0"/>
        <w:tabs>
          <w:tab w:leader="none" w:pos="1204" w:val="left"/>
        </w:tabs>
        <w:rPr>
          <w:sz w:val="20"/>
          <w:szCs w:val="20"/>
          <w:color w:val="auto"/>
        </w:rPr>
      </w:pPr>
      <w:r>
        <w:rPr>
          <w:rFonts w:ascii="Arial" w:cs="Arial" w:eastAsia="Arial" w:hAnsi="Arial"/>
          <w:sz w:val="16"/>
          <w:szCs w:val="16"/>
          <w:color w:val="auto"/>
        </w:rPr>
        <w:t>2.37</w:t>
      </w:r>
      <w:r>
        <w:rPr>
          <w:sz w:val="20"/>
          <w:szCs w:val="20"/>
          <w:color w:val="auto"/>
        </w:rPr>
        <w:tab/>
      </w:r>
      <w:r>
        <w:rPr>
          <w:rFonts w:ascii="Arial" w:cs="Arial" w:eastAsia="Arial" w:hAnsi="Arial"/>
          <w:sz w:val="14"/>
          <w:szCs w:val="14"/>
          <w:u w:val="single" w:color="auto"/>
          <w:color w:val="auto"/>
        </w:rPr>
        <w:t>ERISA Compliance</w:t>
      </w:r>
      <w:r>
        <w:rPr>
          <w:rFonts w:ascii="Arial" w:cs="Arial" w:eastAsia="Arial" w:hAnsi="Arial"/>
          <w:sz w:val="14"/>
          <w:szCs w:val="14"/>
          <w:color w:val="auto"/>
        </w:rPr>
        <w:t>. The Company has no employees in the United States and is not subject to Employee Retirement Income Security Act of 1974.</w:t>
      </w:r>
    </w:p>
    <w:p>
      <w:pPr>
        <w:spacing w:after="0" w:line="200" w:lineRule="exact"/>
        <w:rPr>
          <w:sz w:val="20"/>
          <w:szCs w:val="20"/>
          <w:color w:val="auto"/>
        </w:rPr>
      </w:pPr>
    </w:p>
    <w:p>
      <w:pPr>
        <w:jc w:val="both"/>
        <w:ind w:left="4" w:firstLine="577"/>
        <w:spacing w:after="0" w:line="270" w:lineRule="auto"/>
        <w:rPr>
          <w:sz w:val="20"/>
          <w:szCs w:val="20"/>
          <w:color w:val="auto"/>
        </w:rPr>
      </w:pPr>
      <w:r>
        <w:rPr>
          <w:rFonts w:ascii="Arial" w:cs="Arial" w:eastAsia="Arial" w:hAnsi="Arial"/>
          <w:sz w:val="15"/>
          <w:szCs w:val="15"/>
          <w:color w:val="auto"/>
        </w:rPr>
        <w:t xml:space="preserve">2.38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The Company: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(“Applicable Laws”), except as could not, individually or in the aggregate, reasonably be expected to have a Material Adverse Change; (B) has not received any FDA Form 483, notice of adverse finding, warning letter, untitled letter or other correspondence or notice from the U.S. Food and Drug Administration or any other governmental authority alleging or asserting noncompliance with any Applicable Laws or any licenses, certificates, approvals, clearances, authorizations, permits and supplements or amendments thereto required by any such Applicable Laws (“Authorizations”);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61" w:lineRule="exact"/>
        <w:rPr>
          <w:sz w:val="20"/>
          <w:szCs w:val="20"/>
          <w:color w:val="auto"/>
        </w:rPr>
      </w:pPr>
    </w:p>
    <w:p>
      <w:pPr>
        <w:ind w:left="4" w:right="140" w:firstLine="577"/>
        <w:spacing w:after="0" w:line="295" w:lineRule="auto"/>
        <w:rPr>
          <w:sz w:val="20"/>
          <w:szCs w:val="20"/>
          <w:color w:val="auto"/>
        </w:rPr>
      </w:pPr>
      <w:r>
        <w:rPr>
          <w:rFonts w:ascii="Arial" w:cs="Arial" w:eastAsia="Arial" w:hAnsi="Arial"/>
          <w:sz w:val="14"/>
          <w:szCs w:val="14"/>
          <w:color w:val="auto"/>
        </w:rPr>
        <w:t xml:space="preserve">2.39 </w:t>
      </w:r>
      <w:r>
        <w:rPr>
          <w:rFonts w:ascii="Arial" w:cs="Arial" w:eastAsia="Arial" w:hAnsi="Arial"/>
          <w:sz w:val="14"/>
          <w:szCs w:val="14"/>
          <w:u w:val="single" w:color="auto"/>
          <w:color w:val="auto"/>
        </w:rPr>
        <w:t>Ineligible Issuer</w:t>
      </w:r>
      <w:r>
        <w:rPr>
          <w:rFonts w:ascii="Arial" w:cs="Arial" w:eastAsia="Arial" w:hAnsi="Arial"/>
          <w:sz w:val="14"/>
          <w:szCs w:val="14"/>
          <w:color w:val="auto"/>
        </w:rPr>
        <w:t>. At the time of filing the Registration Statement and any post-effective amendment thereto, at the time of effectiveness of the Registration Statement and any amendment thereto, at the earliest time thereafter that the Company or another offering participant made a bona fide offer (within the meaning of Rule 164(h)</w:t>
      </w:r>
    </w:p>
    <w:p>
      <w:pPr>
        <w:spacing w:after="0" w:line="1" w:lineRule="exact"/>
        <w:rPr>
          <w:sz w:val="20"/>
          <w:szCs w:val="20"/>
          <w:color w:val="auto"/>
        </w:rPr>
      </w:pPr>
    </w:p>
    <w:p>
      <w:pPr>
        <w:ind w:left="4" w:right="60" w:hanging="4"/>
        <w:spacing w:after="0" w:line="294" w:lineRule="auto"/>
        <w:tabs>
          <w:tab w:leader="none" w:pos="23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of the Securities Act Regulations) of the Public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42"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2.40</w:t>
      </w:r>
      <w:r>
        <w:rPr>
          <w:sz w:val="20"/>
          <w:szCs w:val="20"/>
          <w:color w:val="auto"/>
        </w:rPr>
        <w:tab/>
      </w:r>
      <w:r>
        <w:rPr>
          <w:rFonts w:ascii="Arial" w:cs="Arial" w:eastAsia="Arial" w:hAnsi="Arial"/>
          <w:sz w:val="14"/>
          <w:szCs w:val="14"/>
          <w:u w:val="single" w:color="auto"/>
          <w:color w:val="auto"/>
        </w:rPr>
        <w:t>Foreign Private Issuer</w:t>
      </w:r>
      <w:r>
        <w:rPr>
          <w:rFonts w:ascii="Arial" w:cs="Arial" w:eastAsia="Arial" w:hAnsi="Arial"/>
          <w:sz w:val="14"/>
          <w:szCs w:val="14"/>
          <w:color w:val="auto"/>
        </w:rPr>
        <w:t>. The Company is a “foreign private issuer” within the meaning of Rule 405 under the Securities Act.</w:t>
      </w:r>
    </w:p>
    <w:p>
      <w:pPr>
        <w:spacing w:after="0" w:line="200" w:lineRule="exact"/>
        <w:rPr>
          <w:sz w:val="20"/>
          <w:szCs w:val="20"/>
          <w:color w:val="auto"/>
        </w:rPr>
      </w:pPr>
    </w:p>
    <w:p>
      <w:pPr>
        <w:ind w:left="4" w:right="20" w:firstLine="577"/>
        <w:spacing w:after="0" w:line="264"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62"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Industry Data</w:t>
      </w:r>
      <w:r>
        <w:rPr>
          <w:rFonts w:ascii="Arial" w:cs="Arial" w:eastAsia="Arial" w:hAnsi="Arial"/>
          <w:sz w:val="16"/>
          <w:szCs w:val="16"/>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42" w:name="page143"/>
    <w:bookmarkEnd w:id="142"/>
    <w:p>
      <w:pPr>
        <w:jc w:val="both"/>
        <w:ind w:right="20" w:firstLine="577"/>
        <w:spacing w:after="0" w:line="277"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Emerging Growth Company</w:t>
      </w:r>
      <w:r>
        <w:rPr>
          <w:rFonts w:ascii="Arial" w:cs="Arial" w:eastAsia="Arial" w:hAnsi="Arial"/>
          <w:sz w:val="16"/>
          <w:szCs w:val="16"/>
          <w:color w:val="auto"/>
        </w:rPr>
        <w:t>. The Company is an “emerging growth company,” as defined in Section 2(a) of the Securities Act (an “Emerging Growth Company”).</w:t>
      </w:r>
    </w:p>
    <w:p>
      <w:pPr>
        <w:spacing w:after="0" w:line="15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The Company has not engaged in any Testing-the-Waters Communications. “Testing-the-Waters Communication” means any oral or written communication with potential investors undertaken in reliance on Section 5(d) of the Securities Act.</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2.45 </w:t>
      </w:r>
      <w:r>
        <w:rPr>
          <w:rFonts w:ascii="Arial" w:cs="Arial" w:eastAsia="Arial" w:hAnsi="Arial"/>
          <w:sz w:val="16"/>
          <w:szCs w:val="16"/>
          <w:u w:val="single" w:color="auto"/>
          <w:color w:val="auto"/>
        </w:rPr>
        <w:t>Electronic Road Show</w:t>
      </w:r>
      <w:r>
        <w:rPr>
          <w:rFonts w:ascii="Arial" w:cs="Arial" w:eastAsia="Arial" w:hAnsi="Arial"/>
          <w:sz w:val="16"/>
          <w:szCs w:val="16"/>
          <w:color w:val="auto"/>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152"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 xml:space="preserve">2.46 </w:t>
      </w:r>
      <w:r>
        <w:rPr>
          <w:rFonts w:ascii="Arial" w:cs="Arial" w:eastAsia="Arial" w:hAnsi="Arial"/>
          <w:sz w:val="15"/>
          <w:szCs w:val="15"/>
          <w:u w:val="single" w:color="auto"/>
          <w:color w:val="auto"/>
        </w:rPr>
        <w:t>Margin Securities</w:t>
      </w:r>
      <w:r>
        <w:rPr>
          <w:rFonts w:ascii="Arial" w:cs="Arial" w:eastAsia="Arial" w:hAnsi="Arial"/>
          <w:sz w:val="15"/>
          <w:szCs w:val="15"/>
          <w:color w:val="auto"/>
        </w:rPr>
        <w:t>. The Company owns no “margin securities” as that term is defined in Regulation U of the Board of Governors of the Federal Reserve System (the “Federal Reserve Board”),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Ordinary Shares to be considered a “purpose credit” within the meanings of Regulation T, U or X of the Federal Reserve Board.</w:t>
      </w:r>
    </w:p>
    <w:p>
      <w:pPr>
        <w:spacing w:after="0" w:line="150"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2.47</w:t>
      </w:r>
      <w:r>
        <w:rPr>
          <w:sz w:val="20"/>
          <w:szCs w:val="20"/>
          <w:color w:val="auto"/>
        </w:rPr>
        <w:tab/>
      </w:r>
      <w:r>
        <w:rPr>
          <w:rFonts w:ascii="Arial" w:cs="Arial" w:eastAsia="Arial" w:hAnsi="Arial"/>
          <w:sz w:val="14"/>
          <w:szCs w:val="14"/>
          <w:u w:val="single" w:color="auto"/>
          <w:color w:val="auto"/>
        </w:rPr>
        <w:t>Israeli Law Matters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2.47.1. The Company has validly appointed Zysman, Aharoni, Gayer &amp; Sullivan &amp; Worcester LLP, 1633 Broadway, New York, NY 10019, as its authorized agent for service of process.</w:t>
      </w:r>
    </w:p>
    <w:p>
      <w:pPr>
        <w:spacing w:after="0" w:line="152"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2.47.2. Neither the Company nor any of its Subsidiaries organized under the laws of the State of Israel nor any of their properties or assets has any immunity from the jurisdiction of any court or from any legal process (whether through service or notice, attachment prior to judgment, attachment in aid of execution or otherwise) under the laws of the State of Israel.</w:t>
      </w:r>
    </w:p>
    <w:p>
      <w:pPr>
        <w:spacing w:after="0" w:line="162" w:lineRule="exact"/>
        <w:rPr>
          <w:sz w:val="20"/>
          <w:szCs w:val="20"/>
          <w:color w:val="auto"/>
        </w:rPr>
      </w:pPr>
    </w:p>
    <w:p>
      <w:pPr>
        <w:ind w:right="80" w:firstLine="1153"/>
        <w:spacing w:after="0" w:line="278" w:lineRule="auto"/>
        <w:rPr>
          <w:sz w:val="20"/>
          <w:szCs w:val="20"/>
          <w:color w:val="auto"/>
        </w:rPr>
      </w:pPr>
      <w:r>
        <w:rPr>
          <w:rFonts w:ascii="Arial" w:cs="Arial" w:eastAsia="Arial" w:hAnsi="Arial"/>
          <w:sz w:val="15"/>
          <w:szCs w:val="15"/>
          <w:color w:val="auto"/>
        </w:rPr>
        <w:t>2.47.3. No consent, approval, authorization or order of, or filing, qualification or registration with, any Israeli court or governmental agency or body, which has not been made, obtained or taken and is not in full force and effect, is required for the execution, delivery and performance of this Agreement and the Representative’s Warrant by the Company, the offer or sale of the Pubic Securities and the Representative Warrants or the consummation of the transactions contemplated hereby or thereby, other than (A) the obligation to file certain information following the Closing and the Option Closing with the Israeli Investment Center and the Chief Scientist and (B) the filing of certain notices with the Registrar of Companies in the State of Israel regarding the issuance of shares.</w:t>
      </w:r>
    </w:p>
    <w:p>
      <w:pPr>
        <w:spacing w:after="0" w:line="154" w:lineRule="exact"/>
        <w:rPr>
          <w:sz w:val="20"/>
          <w:szCs w:val="20"/>
          <w:color w:val="auto"/>
        </w:rPr>
      </w:pPr>
    </w:p>
    <w:p>
      <w:pPr>
        <w:ind w:right="40" w:firstLine="1153"/>
        <w:spacing w:after="0" w:line="289" w:lineRule="auto"/>
        <w:rPr>
          <w:sz w:val="20"/>
          <w:szCs w:val="20"/>
          <w:color w:val="auto"/>
        </w:rPr>
      </w:pPr>
      <w:r>
        <w:rPr>
          <w:rFonts w:ascii="Arial" w:cs="Arial" w:eastAsia="Arial" w:hAnsi="Arial"/>
          <w:sz w:val="15"/>
          <w:szCs w:val="15"/>
          <w:color w:val="auto"/>
        </w:rPr>
        <w:t>2.47.4. Assuming none of the Underwriters maintains a permanent establishment in the State of Israel, or is either not subject to taxation in Israel or are exempt from such taxation pursuant to the Israeli Income Tax Ordinance, 1961, or pursuant to the U.S. Israel Income Tax Treaty, then the issuance, delivery and sale of the Public Shares and the Representative Warrant are not subject to any tax imposed by the State of Israel or any political subdivision thereof.</w:t>
      </w:r>
    </w:p>
    <w:p>
      <w:pPr>
        <w:spacing w:after="0" w:line="146" w:lineRule="exact"/>
        <w:rPr>
          <w:sz w:val="20"/>
          <w:szCs w:val="20"/>
          <w:color w:val="auto"/>
        </w:rPr>
      </w:pPr>
    </w:p>
    <w:p>
      <w:pPr>
        <w:ind w:right="140" w:firstLine="1153"/>
        <w:spacing w:after="0" w:line="264" w:lineRule="auto"/>
        <w:rPr>
          <w:sz w:val="20"/>
          <w:szCs w:val="20"/>
          <w:color w:val="auto"/>
        </w:rPr>
      </w:pPr>
      <w:r>
        <w:rPr>
          <w:rFonts w:ascii="Arial" w:cs="Arial" w:eastAsia="Arial" w:hAnsi="Arial"/>
          <w:sz w:val="16"/>
          <w:szCs w:val="16"/>
          <w:color w:val="auto"/>
        </w:rPr>
        <w:t>2.47.5. The Company has not engaged in any form of solicitation, advertising or any other action constituting an offer of securities under the Israeli Securities Law 5728-1968, as amended, and the regulations promulgated thereunder (collectively, the “Israeli Securities Law”) in connection with the transactions contemplated hereby which would require the Company to publish a prospectus in the State of Israel under the laws of the State of Israel.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43" w:name="page144"/>
    <w:bookmarkEnd w:id="143"/>
    <w:p>
      <w:pPr>
        <w:ind w:left="4" w:right="260" w:firstLine="1153"/>
        <w:spacing w:after="0" w:line="277" w:lineRule="auto"/>
        <w:rPr>
          <w:sz w:val="20"/>
          <w:szCs w:val="20"/>
          <w:color w:val="auto"/>
        </w:rPr>
      </w:pPr>
      <w:r>
        <w:rPr>
          <w:rFonts w:ascii="Arial" w:cs="Arial" w:eastAsia="Arial" w:hAnsi="Arial"/>
          <w:sz w:val="16"/>
          <w:szCs w:val="16"/>
          <w:color w:val="auto"/>
        </w:rPr>
        <w:t>2.47.6. No stamp duty or similar tax or duty is payable under applicable laws or regulations in connection with the creation, issuance or delivery of the Public Shares or the Representative Warrant.</w:t>
      </w:r>
    </w:p>
    <w:p>
      <w:pPr>
        <w:spacing w:after="0" w:line="152" w:lineRule="exact"/>
        <w:rPr>
          <w:sz w:val="20"/>
          <w:szCs w:val="20"/>
          <w:color w:val="auto"/>
        </w:rPr>
      </w:pPr>
    </w:p>
    <w:p>
      <w:pPr>
        <w:ind w:left="4" w:right="80" w:firstLine="1153"/>
        <w:spacing w:after="0" w:line="312" w:lineRule="auto"/>
        <w:rPr>
          <w:sz w:val="20"/>
          <w:szCs w:val="20"/>
          <w:color w:val="auto"/>
        </w:rPr>
      </w:pPr>
      <w:r>
        <w:rPr>
          <w:rFonts w:ascii="Arial" w:cs="Arial" w:eastAsia="Arial" w:hAnsi="Arial"/>
          <w:sz w:val="15"/>
          <w:szCs w:val="15"/>
          <w:color w:val="auto"/>
        </w:rPr>
        <w:t>2.47.7. Subject to the conditions and qualifications set forth in the Registration Statement, the General Disclosure Package and the Prospectus, a final and conclusive judgment against the Company for a definitive sum of money entered by any court in the United States may be enforced by an Israeli court.</w:t>
      </w:r>
    </w:p>
    <w:p>
      <w:pPr>
        <w:spacing w:after="0" w:line="128" w:lineRule="exact"/>
        <w:rPr>
          <w:sz w:val="20"/>
          <w:szCs w:val="20"/>
          <w:color w:val="auto"/>
        </w:rPr>
      </w:pPr>
    </w:p>
    <w:p>
      <w:pPr>
        <w:ind w:left="4" w:right="80" w:firstLine="1153"/>
        <w:spacing w:after="0" w:line="264" w:lineRule="auto"/>
        <w:rPr>
          <w:sz w:val="20"/>
          <w:szCs w:val="20"/>
          <w:color w:val="auto"/>
        </w:rPr>
      </w:pPr>
      <w:r>
        <w:rPr>
          <w:rFonts w:ascii="Arial" w:cs="Arial" w:eastAsia="Arial" w:hAnsi="Arial"/>
          <w:sz w:val="16"/>
          <w:szCs w:val="16"/>
          <w:color w:val="auto"/>
        </w:rPr>
        <w:t>2.47.8. For a period of 12 months prior to and including the date of the Closing, the Company has not offered or sold any of its securities in Israel, except for the issuance of the Ordinary Shares and options to purchase Ordinary Shares exercisable under the Company’s equity incentive plans, which are exempt from prospectus requirements under the Israeli Securities Law or otherwise as described in the Registration Statement.</w:t>
      </w:r>
    </w:p>
    <w:p>
      <w:pPr>
        <w:spacing w:after="0" w:line="162" w:lineRule="exact"/>
        <w:rPr>
          <w:sz w:val="20"/>
          <w:szCs w:val="20"/>
          <w:color w:val="auto"/>
        </w:rPr>
      </w:pPr>
    </w:p>
    <w:p>
      <w:pPr>
        <w:ind w:left="4" w:right="40" w:firstLine="1153"/>
        <w:spacing w:after="0" w:line="273" w:lineRule="auto"/>
        <w:rPr>
          <w:sz w:val="20"/>
          <w:szCs w:val="20"/>
          <w:color w:val="auto"/>
        </w:rPr>
      </w:pPr>
      <w:r>
        <w:rPr>
          <w:rFonts w:ascii="Arial" w:cs="Arial" w:eastAsia="Arial" w:hAnsi="Arial"/>
          <w:sz w:val="15"/>
          <w:szCs w:val="15"/>
          <w:color w:val="auto"/>
        </w:rPr>
        <w:t>2.47.9. Neither the Company nor any of its Subsidiaries is in violation of any condition or requirement stipulated (A) by any instruments of approval, granted to it by the Office of the Chief Scientist in the Israeli Ministry of Industry, Trade and Labor (the “</w:t>
      </w:r>
      <w:r>
        <w:rPr>
          <w:rFonts w:ascii="Arial" w:cs="Arial" w:eastAsia="Arial" w:hAnsi="Arial"/>
          <w:sz w:val="15"/>
          <w:szCs w:val="15"/>
          <w:u w:val="single" w:color="auto"/>
          <w:color w:val="auto"/>
        </w:rPr>
        <w:t>Chief Scientist</w:t>
      </w:r>
      <w:r>
        <w:rPr>
          <w:rFonts w:ascii="Arial" w:cs="Arial" w:eastAsia="Arial" w:hAnsi="Arial"/>
          <w:sz w:val="15"/>
          <w:szCs w:val="15"/>
          <w:color w:val="auto"/>
        </w:rPr>
        <w:t>”), or the Law for Encouragement of Industrial Research and Development, 5744-1984 (the “R&amp;D Law”), with respect to any research and development grants or benefits given to the Company by the Chief Scientist or (B) with respect to any instrument of approval granted to it by the Investment Center of the Ministry of Industry, Trade and Labor of the State of Israel with respect to grants or benefits given to the Company. The Company has not received any notice denying, revoking or modifying any “approved enterprise” or “benefited enterprise” or “privilged enterprise” status with respect to any of the Company’s facilities or operations or with respect to any grants or benefits from the Chief Scientist or the Investment Center (including, in all such cases, notice of proceedings or investigations related thereto). All information supplied by the Company with respect to the applications or notifications relating to such “approved enterprise” status, “privileged enterprise status” and “benefitted enterprise” status and to grants and benefits from the Chief Scientist and/or the Investment Center was true, correct and complete in all material respects when supplied to the appropriate authorities.</w:t>
      </w:r>
    </w:p>
    <w:p>
      <w:pPr>
        <w:spacing w:after="0" w:line="156" w:lineRule="exact"/>
        <w:rPr>
          <w:sz w:val="20"/>
          <w:szCs w:val="20"/>
          <w:color w:val="auto"/>
        </w:rPr>
      </w:pPr>
    </w:p>
    <w:p>
      <w:pPr>
        <w:ind w:left="1144"/>
        <w:spacing w:after="0"/>
        <w:tabs>
          <w:tab w:leader="none" w:pos="2004" w:val="left"/>
        </w:tabs>
        <w:rPr>
          <w:sz w:val="20"/>
          <w:szCs w:val="20"/>
          <w:color w:val="auto"/>
        </w:rPr>
      </w:pPr>
      <w:r>
        <w:rPr>
          <w:rFonts w:ascii="Arial" w:cs="Arial" w:eastAsia="Arial" w:hAnsi="Arial"/>
          <w:sz w:val="16"/>
          <w:szCs w:val="16"/>
          <w:color w:val="auto"/>
        </w:rPr>
        <w:t>2.47.10.</w:t>
      </w:r>
      <w:r>
        <w:rPr>
          <w:sz w:val="20"/>
          <w:szCs w:val="20"/>
          <w:color w:val="auto"/>
        </w:rPr>
        <w:tab/>
      </w:r>
      <w:r>
        <w:rPr>
          <w:rFonts w:ascii="Arial" w:cs="Arial" w:eastAsia="Arial" w:hAnsi="Arial"/>
          <w:sz w:val="14"/>
          <w:szCs w:val="14"/>
          <w:color w:val="auto"/>
        </w:rPr>
        <w:t>No proceedings have been instituted in the State of Israel for the dissolution of the Company.</w:t>
      </w:r>
    </w:p>
    <w:p>
      <w:pPr>
        <w:spacing w:after="0" w:line="200" w:lineRule="exact"/>
        <w:rPr>
          <w:sz w:val="20"/>
          <w:szCs w:val="20"/>
          <w:color w:val="auto"/>
        </w:rPr>
      </w:pPr>
    </w:p>
    <w:p>
      <w:pPr>
        <w:ind w:left="4" w:right="20" w:firstLine="1153"/>
        <w:spacing w:after="0" w:line="277" w:lineRule="auto"/>
        <w:rPr>
          <w:sz w:val="20"/>
          <w:szCs w:val="20"/>
          <w:color w:val="auto"/>
        </w:rPr>
      </w:pPr>
      <w:r>
        <w:rPr>
          <w:rFonts w:ascii="Arial" w:cs="Arial" w:eastAsia="Arial" w:hAnsi="Arial"/>
          <w:sz w:val="16"/>
          <w:szCs w:val="16"/>
          <w:color w:val="auto"/>
        </w:rPr>
        <w:t>2.47.11. The Company acknowledges, understands and agrees that Public Securities may be sold in Israel only by the Underwriters and only to such Israeli investors listed in the First Addendum to the Israeli Securities Law (the “Addendum”).</w:t>
      </w:r>
    </w:p>
    <w:p>
      <w:pPr>
        <w:spacing w:after="0" w:line="152" w:lineRule="exact"/>
        <w:rPr>
          <w:sz w:val="20"/>
          <w:szCs w:val="20"/>
          <w:color w:val="auto"/>
        </w:rPr>
      </w:pPr>
    </w:p>
    <w:p>
      <w:pPr>
        <w:ind w:left="604" w:hanging="604"/>
        <w:spacing w:after="0"/>
        <w:tabs>
          <w:tab w:leader="none" w:pos="604"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and agrees as follows:</w:t>
      </w:r>
    </w:p>
    <w:p>
      <w:pPr>
        <w:spacing w:after="0" w:line="200"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Amendments to Registration Statement</w:t>
      </w:r>
      <w:r>
        <w:rPr>
          <w:rFonts w:ascii="Arial" w:cs="Arial" w:eastAsia="Arial" w:hAnsi="Arial"/>
          <w:sz w:val="16"/>
          <w:szCs w:val="16"/>
          <w:color w:val="auto"/>
        </w:rPr>
        <w:t>. The Company shall deliver to the Representative, prior to filing, any amendment or supplement to the Registration Statement or Prospectus proposed to be filed after the Effective Date and not file any such amendment or supplement to which the Representative shall reasonably object in writing.</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00" w:right="239" w:bottom="1440" w:gutter="0" w:footer="0" w:header="0"/>
        </w:sectPr>
      </w:pPr>
    </w:p>
    <w:bookmarkStart w:id="144" w:name="page145"/>
    <w:bookmarkEnd w:id="144"/>
    <w:p>
      <w:pPr>
        <w:ind w:left="584"/>
        <w:spacing w:after="0"/>
        <w:tabs>
          <w:tab w:leader="none" w:pos="116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Federal Securities Laws</w:t>
      </w:r>
      <w:r>
        <w:rPr>
          <w:rFonts w:ascii="Arial" w:cs="Arial" w:eastAsia="Arial" w:hAnsi="Arial"/>
          <w:sz w:val="14"/>
          <w:szCs w:val="14"/>
          <w:color w:val="auto"/>
        </w:rPr>
        <w:t>.</w:t>
      </w:r>
    </w:p>
    <w:p>
      <w:pPr>
        <w:spacing w:after="0" w:line="200" w:lineRule="exact"/>
        <w:rPr>
          <w:sz w:val="20"/>
          <w:szCs w:val="20"/>
          <w:color w:val="auto"/>
        </w:rPr>
      </w:pPr>
    </w:p>
    <w:p>
      <w:pPr>
        <w:jc w:val="both"/>
        <w:ind w:left="4" w:firstLine="1153"/>
        <w:spacing w:after="0" w:line="289" w:lineRule="auto"/>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Compliance</w:t>
      </w:r>
      <w:r>
        <w:rPr>
          <w:rFonts w:ascii="Arial" w:cs="Arial" w:eastAsia="Arial" w:hAnsi="Arial"/>
          <w:sz w:val="14"/>
          <w:szCs w:val="14"/>
          <w:color w:val="auto"/>
        </w:rPr>
        <w:t>. The Company, subject to Section 3.2.2, shall comply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and Representative’s Securities for offering or sale in any jurisdiction, or of the initiation or threatening of any proceedings for any of such purposes or of any examination pursuant to Section 8(d) or 8(e) of the Securities Act concerning the Registration Statement and</w:t>
      </w:r>
    </w:p>
    <w:p>
      <w:pPr>
        <w:spacing w:after="0" w:line="1" w:lineRule="exact"/>
        <w:rPr>
          <w:sz w:val="20"/>
          <w:szCs w:val="20"/>
          <w:color w:val="auto"/>
        </w:rPr>
      </w:pPr>
    </w:p>
    <w:p>
      <w:pPr>
        <w:jc w:val="both"/>
        <w:ind w:left="4" w:hanging="4"/>
        <w:spacing w:after="0" w:line="274" w:lineRule="auto"/>
        <w:tabs>
          <w:tab w:leader="none" w:pos="24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if the Company becomes the subject of a proceeding under Section 8A of the Securities Act in connection with the Offering of the Public Securities and Representative’s Securities.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best efforts to prevent the issuance of any stop order, prevention or suspension and, if any such order is issued, to obtain the lifting thereof at the earliest possible moment.</w:t>
      </w:r>
    </w:p>
    <w:p>
      <w:pPr>
        <w:spacing w:after="0" w:line="156" w:lineRule="exact"/>
        <w:rPr>
          <w:sz w:val="20"/>
          <w:szCs w:val="20"/>
          <w:color w:val="auto"/>
        </w:rPr>
      </w:pPr>
    </w:p>
    <w:p>
      <w:pPr>
        <w:jc w:val="both"/>
        <w:ind w:left="4" w:firstLine="1153"/>
        <w:spacing w:after="0" w:line="269" w:lineRule="auto"/>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Continued Compliance</w:t>
      </w:r>
      <w:r>
        <w:rPr>
          <w:rFonts w:ascii="Arial" w:cs="Arial" w:eastAsia="Arial" w:hAnsi="Arial"/>
          <w:sz w:val="15"/>
          <w:szCs w:val="15"/>
          <w:color w:val="auto"/>
        </w:rPr>
        <w:t>. The Company shall comply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(“Rule 172”), would be) required by the Securities Act to be delivered in connection with sales of the Public Securities, any event shall occur or condition shall exist as a result of which it is necessary, in the opinion of Representative Counsel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Representative Counsel shall reasonably object. The Company will furnish to the Underwriters such number of copies of such amendment or supplement as the Underwriters may reasonably request. The Company has given the Representative notice of any filings made pursuant to the Exchange Act or the Exchange Act Regulations within 48 hours prior to the Applicable Time. The Company shall give the Representative notice of its intention to make any such filing from the Applicable Time until the later of the Closing Date and the exercise in full or expiration of the Over-allotment Option specified in Section 1.2 hereof and will furnish the Representative with copies of the related document(s) a reasonable amount of time prior to such proposed filing, as the case may be, and will not file or use any such document to which the Representative or Representative Counsel shall reasonably object.</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45" w:name="page146"/>
    <w:bookmarkEnd w:id="145"/>
    <w:p>
      <w:pPr>
        <w:jc w:val="both"/>
        <w:ind w:right="20" w:firstLine="1153"/>
        <w:spacing w:after="0" w:line="264"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Exchange Act Registration</w:t>
      </w:r>
      <w:r>
        <w:rPr>
          <w:rFonts w:ascii="Arial" w:cs="Arial" w:eastAsia="Arial" w:hAnsi="Arial"/>
          <w:sz w:val="16"/>
          <w:szCs w:val="16"/>
          <w:color w:val="auto"/>
        </w:rPr>
        <w:t>. For a period of three (3) years after the date of this Agreement, the Company shall use its best efforts to maintain the registration of the Ordinary Shares under the Exchange Act. The Company shall not deregister the Ordinary Shares under the Exchange Act without the prior written consent of the Representative.</w:t>
      </w:r>
    </w:p>
    <w:p>
      <w:pPr>
        <w:spacing w:after="0" w:line="162" w:lineRule="exact"/>
        <w:rPr>
          <w:sz w:val="20"/>
          <w:szCs w:val="20"/>
          <w:color w:val="auto"/>
        </w:rPr>
      </w:pPr>
    </w:p>
    <w:p>
      <w:pPr>
        <w:jc w:val="both"/>
        <w:ind w:firstLine="1153"/>
        <w:spacing w:after="0" w:line="293" w:lineRule="auto"/>
        <w:rPr>
          <w:sz w:val="20"/>
          <w:szCs w:val="20"/>
          <w:color w:val="auto"/>
        </w:rPr>
      </w:pPr>
      <w:r>
        <w:rPr>
          <w:rFonts w:ascii="Arial" w:cs="Arial" w:eastAsia="Arial" w:hAnsi="Arial"/>
          <w:sz w:val="14"/>
          <w:szCs w:val="14"/>
          <w:color w:val="auto"/>
        </w:rPr>
        <w:t xml:space="preserve">3.2.4. </w:t>
      </w:r>
      <w:r>
        <w:rPr>
          <w:rFonts w:ascii="Arial" w:cs="Arial" w:eastAsia="Arial" w:hAnsi="Arial"/>
          <w:sz w:val="14"/>
          <w:szCs w:val="14"/>
          <w:u w:val="single" w:color="auto"/>
          <w:color w:val="auto"/>
        </w:rPr>
        <w:t>Free Writing Prospectuses</w:t>
      </w:r>
      <w:r>
        <w:rPr>
          <w:rFonts w:ascii="Arial" w:cs="Arial" w:eastAsia="Arial" w:hAnsi="Arial"/>
          <w:sz w:val="14"/>
          <w:szCs w:val="14"/>
          <w:color w:val="auto"/>
        </w:rPr>
        <w:t>. The Company agrees that, unless it obtains the prior written consent of the Representative,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shall be deemed to have consented to each Issuer General Use Free Writing Prospectus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44" w:lineRule="exact"/>
        <w:rPr>
          <w:sz w:val="20"/>
          <w:szCs w:val="20"/>
          <w:color w:val="auto"/>
        </w:rPr>
      </w:pPr>
    </w:p>
    <w:p>
      <w:pPr>
        <w:jc w:val="both"/>
        <w:ind w:right="20" w:firstLine="1153"/>
        <w:spacing w:after="0" w:line="257"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Testing-the-Waters Communications</w:t>
      </w:r>
      <w:r>
        <w:rPr>
          <w:rFonts w:ascii="Arial" w:cs="Arial" w:eastAsia="Arial" w:hAnsi="Arial"/>
          <w:sz w:val="16"/>
          <w:szCs w:val="16"/>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spacing w:after="0" w:line="168" w:lineRule="exact"/>
        <w:rPr>
          <w:sz w:val="20"/>
          <w:szCs w:val="20"/>
          <w:color w:val="auto"/>
        </w:rPr>
      </w:pPr>
    </w:p>
    <w:p>
      <w:pPr>
        <w:jc w:val="both"/>
        <w:ind w:right="20" w:firstLine="577"/>
        <w:spacing w:after="0" w:line="302"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Delivery to the Underwriters of Registration Statements</w:t>
      </w:r>
      <w:r>
        <w:rPr>
          <w:rFonts w:ascii="Arial" w:cs="Arial" w:eastAsia="Arial" w:hAnsi="Arial"/>
          <w:sz w:val="14"/>
          <w:szCs w:val="14"/>
          <w:color w:val="auto"/>
        </w:rPr>
        <w:t>. The Company has delivered or made available or shall deliver or make available to the Representative and Representative Counsel, without charge, signed copies of the Registration Statement as originally filed and each amendment thereto (including exhibits filed therewith)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4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Delivery to the Underwriters of Prospectuses</w:t>
      </w:r>
      <w:r>
        <w:rPr>
          <w:rFonts w:ascii="Arial" w:cs="Arial" w:eastAsia="Arial" w:hAnsi="Arial"/>
          <w:sz w:val="15"/>
          <w:szCs w:val="15"/>
          <w:color w:val="auto"/>
        </w:rPr>
        <w:t>.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Securities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46" w:name="page147"/>
    <w:bookmarkEnd w:id="146"/>
    <w:p>
      <w:pPr>
        <w:jc w:val="both"/>
        <w:ind w:left="4" w:firstLine="577"/>
        <w:spacing w:after="0" w:line="289"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Effectiveness and Events Requiring Notice to the Representative</w:t>
      </w:r>
      <w:r>
        <w:rPr>
          <w:rFonts w:ascii="Arial" w:cs="Arial" w:eastAsia="Arial" w:hAnsi="Arial"/>
          <w:sz w:val="14"/>
          <w:szCs w:val="14"/>
          <w:color w:val="auto"/>
        </w:rPr>
        <w:t>. The Company shall use its best efforts to cause the Registration Statement to remain effective with a current prospectus for at least nine (9) months after the Applicable Time, and shall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w:t>
      </w:r>
    </w:p>
    <w:p>
      <w:pPr>
        <w:spacing w:after="0" w:line="2" w:lineRule="exact"/>
        <w:rPr>
          <w:sz w:val="20"/>
          <w:szCs w:val="20"/>
          <w:color w:val="auto"/>
        </w:rPr>
      </w:pPr>
    </w:p>
    <w:p>
      <w:pPr>
        <w:jc w:val="both"/>
        <w:ind w:left="4" w:right="20" w:hanging="4"/>
        <w:spacing w:after="0" w:line="253" w:lineRule="auto"/>
        <w:tabs>
          <w:tab w:leader="none" w:pos="29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of the happening of any event during the period described in this Section 3.5 that, in the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shall make every reasonable effort to obtain promptly the lifting of such order.</w:t>
      </w:r>
    </w:p>
    <w:p>
      <w:pPr>
        <w:spacing w:after="0" w:line="171"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ind w:left="4" w:right="20" w:firstLine="577"/>
        <w:spacing w:after="0" w:line="27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use its best efforts to maintain the listing of the Ordinary Shares (including the Public Securities) on the Exchange for at least three years from the date of this Agreement.</w:t>
      </w:r>
    </w:p>
    <w:p>
      <w:pPr>
        <w:spacing w:after="0" w:line="152" w:lineRule="exact"/>
        <w:rPr>
          <w:sz w:val="20"/>
          <w:szCs w:val="20"/>
          <w:color w:val="auto"/>
        </w:rPr>
      </w:pPr>
    </w:p>
    <w:p>
      <w:pPr>
        <w:ind w:left="4" w:right="20" w:firstLine="577"/>
        <w:spacing w:after="0" w:line="295" w:lineRule="auto"/>
        <w:rPr>
          <w:sz w:val="20"/>
          <w:szCs w:val="20"/>
          <w:color w:val="auto"/>
        </w:rPr>
      </w:pPr>
      <w:r>
        <w:rPr>
          <w:rFonts w:ascii="Arial" w:cs="Arial" w:eastAsia="Arial" w:hAnsi="Arial"/>
          <w:sz w:val="14"/>
          <w:szCs w:val="14"/>
          <w:color w:val="auto"/>
        </w:rPr>
        <w:t xml:space="preserve">3.8 </w:t>
      </w:r>
      <w:r>
        <w:rPr>
          <w:rFonts w:ascii="Arial" w:cs="Arial" w:eastAsia="Arial" w:hAnsi="Arial"/>
          <w:sz w:val="14"/>
          <w:szCs w:val="14"/>
          <w:u w:val="single" w:color="auto"/>
          <w:color w:val="auto"/>
        </w:rPr>
        <w:t>Financial Public Relations Firm</w:t>
      </w:r>
      <w:r>
        <w:rPr>
          <w:rFonts w:ascii="Arial" w:cs="Arial" w:eastAsia="Arial" w:hAnsi="Arial"/>
          <w:sz w:val="14"/>
          <w:szCs w:val="14"/>
          <w:color w:val="auto"/>
        </w:rPr>
        <w:t>. As of the Effective Date, the Company shall have retained a financial public relations firm reasonably acceptable to the Representative and the Company, which shall initially be [__________________], which firm shall be experienced in assisting issuers in initial public offerings of securities and</w:t>
      </w:r>
    </w:p>
    <w:p>
      <w:pPr>
        <w:spacing w:after="0" w:line="1" w:lineRule="exact"/>
        <w:rPr>
          <w:sz w:val="20"/>
          <w:szCs w:val="20"/>
          <w:color w:val="auto"/>
        </w:rPr>
      </w:pPr>
    </w:p>
    <w:p>
      <w:pPr>
        <w:ind w:left="4" w:right="20"/>
        <w:spacing w:after="0" w:line="261" w:lineRule="auto"/>
        <w:rPr>
          <w:sz w:val="20"/>
          <w:szCs w:val="20"/>
          <w:color w:val="auto"/>
        </w:rPr>
      </w:pPr>
      <w:r>
        <w:rPr>
          <w:rFonts w:ascii="Arial" w:cs="Arial" w:eastAsia="Arial" w:hAnsi="Arial"/>
          <w:sz w:val="16"/>
          <w:szCs w:val="16"/>
          <w:color w:val="auto"/>
        </w:rPr>
        <w:t>in their relations with their security holders, and shall retain such firm or another firm reasonably acceptable to the Representative for a period of not less than two (2) years after the Effective Date.</w:t>
      </w:r>
    </w:p>
    <w:p>
      <w:pPr>
        <w:spacing w:after="0" w:line="164"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u w:val="single" w:color="auto"/>
          <w:color w:val="auto"/>
        </w:rPr>
        <w:t>Reports to the Representative</w:t>
      </w:r>
      <w:r>
        <w:rPr>
          <w:rFonts w:ascii="Arial" w:cs="Arial" w:eastAsia="Arial" w:hAnsi="Arial"/>
          <w:sz w:val="14"/>
          <w:szCs w:val="14"/>
          <w:color w:val="auto"/>
        </w:rPr>
        <w:t>.</w:t>
      </w:r>
    </w:p>
    <w:p>
      <w:pPr>
        <w:spacing w:after="0" w:line="200" w:lineRule="exact"/>
        <w:rPr>
          <w:sz w:val="20"/>
          <w:szCs w:val="20"/>
          <w:color w:val="auto"/>
        </w:rPr>
      </w:pPr>
    </w:p>
    <w:p>
      <w:pPr>
        <w:ind w:left="4" w:right="60" w:firstLine="1153"/>
        <w:spacing w:after="0" w:line="292" w:lineRule="auto"/>
        <w:rPr>
          <w:sz w:val="20"/>
          <w:szCs w:val="20"/>
          <w:color w:val="auto"/>
        </w:rPr>
      </w:pPr>
      <w:r>
        <w:rPr>
          <w:rFonts w:ascii="Arial" w:cs="Arial" w:eastAsia="Arial" w:hAnsi="Arial"/>
          <w:sz w:val="14"/>
          <w:szCs w:val="14"/>
          <w:color w:val="auto"/>
        </w:rPr>
        <w:t xml:space="preserve">3.9.1. </w:t>
      </w:r>
      <w:r>
        <w:rPr>
          <w:rFonts w:ascii="Arial" w:cs="Arial" w:eastAsia="Arial" w:hAnsi="Arial"/>
          <w:sz w:val="14"/>
          <w:szCs w:val="14"/>
          <w:u w:val="single" w:color="auto"/>
          <w:color w:val="auto"/>
        </w:rPr>
        <w:t>Periodic Reports</w:t>
      </w:r>
      <w:r>
        <w:rPr>
          <w:rFonts w:ascii="Arial" w:cs="Arial" w:eastAsia="Arial" w:hAnsi="Arial"/>
          <w:sz w:val="14"/>
          <w:szCs w:val="14"/>
          <w:color w:val="auto"/>
        </w:rPr>
        <w:t>. For a period of three (3) years after the date of this Agreement, the Company shall furnish to the Representative copies of such financial statements and other periodic and special reports as the Company from time to time furnishes generally to holders of any class of its securities and also promptly furnish to the Representative: (i) a copy of each periodic report the Company shall be required to file with the Commission under the Exchange Act and the Exchange Act Regulations;</w:t>
      </w:r>
    </w:p>
    <w:p>
      <w:pPr>
        <w:spacing w:after="0" w:line="1" w:lineRule="exact"/>
        <w:rPr>
          <w:sz w:val="20"/>
          <w:szCs w:val="20"/>
          <w:color w:val="auto"/>
        </w:rPr>
      </w:pPr>
    </w:p>
    <w:p>
      <w:pPr>
        <w:ind w:left="4" w:right="120" w:hanging="4"/>
        <w:spacing w:after="0" w:line="272" w:lineRule="auto"/>
        <w:tabs>
          <w:tab w:leader="none" w:pos="2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 copy of every press release and every news item and article with respect to the Company or its affairs which was released by the Company; (iii) a copy of each Form 6-K prepared and filed by the Company; (iv) five copies of each registration statement filed by the Company under the Securities Act; and (v) such additional documents and information with respect to the Company and the affairs of any future subsidiaries of the Company as the Representative may from time to time reasonably request; provided the Representative shall sign, if requested by the Company, a Regulation FD compliant confidentiality agreement which is reasonably acceptable to the Representative and Representative Counsel in connection with the Representative’s receipt of such information. Documents filed with the Commission pursuant to its EDGAR system shall be deemed to have been delivered to the Representative pursuant to this Section 3.9.1.</w:t>
      </w:r>
    </w:p>
    <w:p>
      <w:pPr>
        <w:spacing w:after="0" w:line="352" w:lineRule="exact"/>
        <w:rPr>
          <w:rFonts w:ascii="Arial" w:cs="Arial" w:eastAsia="Arial" w:hAnsi="Arial"/>
          <w:sz w:val="15"/>
          <w:szCs w:val="15"/>
          <w:color w:val="auto"/>
        </w:rPr>
      </w:pPr>
    </w:p>
    <w:p>
      <w:pPr>
        <w:ind w:left="5644" w:hanging="99"/>
        <w:spacing w:after="0"/>
        <w:tabs>
          <w:tab w:leader="none" w:pos="564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47" w:name="page148"/>
    <w:bookmarkEnd w:id="147"/>
    <w:p>
      <w:pPr>
        <w:jc w:val="both"/>
        <w:ind w:left="4" w:firstLine="1153"/>
        <w:spacing w:after="0" w:line="259" w:lineRule="auto"/>
        <w:rPr>
          <w:sz w:val="20"/>
          <w:szCs w:val="20"/>
          <w:color w:val="auto"/>
        </w:rPr>
      </w:pPr>
      <w:r>
        <w:rPr>
          <w:rFonts w:ascii="Arial" w:cs="Arial" w:eastAsia="Arial" w:hAnsi="Arial"/>
          <w:sz w:val="16"/>
          <w:szCs w:val="16"/>
          <w:color w:val="auto"/>
        </w:rPr>
        <w:t xml:space="preserve">3.9.2. </w:t>
      </w:r>
      <w:r>
        <w:rPr>
          <w:rFonts w:ascii="Arial" w:cs="Arial" w:eastAsia="Arial" w:hAnsi="Arial"/>
          <w:sz w:val="16"/>
          <w:szCs w:val="16"/>
          <w:u w:val="single" w:color="auto"/>
          <w:color w:val="auto"/>
        </w:rPr>
        <w:t>Transfer Agent; Transfer Sheets</w:t>
      </w:r>
      <w:r>
        <w:rPr>
          <w:rFonts w:ascii="Arial" w:cs="Arial" w:eastAsia="Arial" w:hAnsi="Arial"/>
          <w:sz w:val="16"/>
          <w:szCs w:val="16"/>
          <w:color w:val="auto"/>
        </w:rPr>
        <w:t>. For a period of three (3) years after the date of this Agreement, the Company shall retain a transfer agent and registrar acceptable to the Representative (the “Transfer Agent”) and shall furnish to the Representative at the Company’s sole cost and expense such transfer sheets of the Company’s securities as the Representative may reasonably request, including the daily and monthly consolidated transfer sheets of the Transfer Agent and DTC. [______________] is acceptable to the Representative to act as Transfer Agent for the Ordinary Shares.</w:t>
      </w:r>
    </w:p>
    <w:p>
      <w:pPr>
        <w:spacing w:after="0" w:line="167" w:lineRule="exact"/>
        <w:rPr>
          <w:sz w:val="20"/>
          <w:szCs w:val="20"/>
          <w:color w:val="auto"/>
        </w:rPr>
      </w:pPr>
    </w:p>
    <w:p>
      <w:pPr>
        <w:jc w:val="both"/>
        <w:ind w:left="4" w:right="20" w:firstLine="1153"/>
        <w:spacing w:after="0" w:line="277" w:lineRule="auto"/>
        <w:rPr>
          <w:sz w:val="20"/>
          <w:szCs w:val="20"/>
          <w:color w:val="auto"/>
        </w:rPr>
      </w:pPr>
      <w:r>
        <w:rPr>
          <w:rFonts w:ascii="Arial" w:cs="Arial" w:eastAsia="Arial" w:hAnsi="Arial"/>
          <w:sz w:val="16"/>
          <w:szCs w:val="16"/>
          <w:color w:val="auto"/>
        </w:rPr>
        <w:t xml:space="preserve">3.9.3. </w:t>
      </w:r>
      <w:r>
        <w:rPr>
          <w:rFonts w:ascii="Arial" w:cs="Arial" w:eastAsia="Arial" w:hAnsi="Arial"/>
          <w:sz w:val="16"/>
          <w:szCs w:val="16"/>
          <w:u w:val="single" w:color="auto"/>
          <w:color w:val="auto"/>
        </w:rPr>
        <w:t>Trading Reports</w:t>
      </w:r>
      <w:r>
        <w:rPr>
          <w:rFonts w:ascii="Arial" w:cs="Arial" w:eastAsia="Arial" w:hAnsi="Arial"/>
          <w:sz w:val="16"/>
          <w:szCs w:val="16"/>
          <w:color w:val="auto"/>
        </w:rPr>
        <w:t>. During such time as the Public Securities are listed on the Exchange, the Company shall provide to the Representative, at the Company’s expense, such reports published by Exchange relating to price trading of the Public Securities, as the Representative shall reasonably request.</w:t>
      </w:r>
    </w:p>
    <w:p>
      <w:pPr>
        <w:spacing w:after="0" w:line="152"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4"/>
          <w:szCs w:val="14"/>
          <w:u w:val="single" w:color="auto"/>
          <w:color w:val="auto"/>
        </w:rPr>
        <w:t>Payment of Expenses</w:t>
      </w:r>
    </w:p>
    <w:p>
      <w:pPr>
        <w:spacing w:after="0" w:line="200" w:lineRule="exact"/>
        <w:rPr>
          <w:sz w:val="20"/>
          <w:szCs w:val="20"/>
          <w:color w:val="auto"/>
        </w:rPr>
      </w:pPr>
    </w:p>
    <w:p>
      <w:pPr>
        <w:ind w:left="4" w:right="100" w:firstLine="1153"/>
        <w:spacing w:after="0" w:line="292" w:lineRule="auto"/>
        <w:rPr>
          <w:sz w:val="20"/>
          <w:szCs w:val="20"/>
          <w:color w:val="auto"/>
        </w:rPr>
      </w:pPr>
      <w:r>
        <w:rPr>
          <w:rFonts w:ascii="Arial" w:cs="Arial" w:eastAsia="Arial" w:hAnsi="Arial"/>
          <w:sz w:val="14"/>
          <w:szCs w:val="14"/>
          <w:color w:val="auto"/>
        </w:rPr>
        <w:t xml:space="preserve">3.10.1. </w:t>
      </w:r>
      <w:r>
        <w:rPr>
          <w:rFonts w:ascii="Arial" w:cs="Arial" w:eastAsia="Arial" w:hAnsi="Arial"/>
          <w:sz w:val="14"/>
          <w:szCs w:val="14"/>
          <w:u w:val="single" w:color="auto"/>
          <w:color w:val="auto"/>
        </w:rPr>
        <w:t>General Expenses Related to the Offering</w:t>
      </w:r>
      <w:r>
        <w:rPr>
          <w:rFonts w:ascii="Arial" w:cs="Arial" w:eastAsia="Arial" w:hAnsi="Arial"/>
          <w:sz w:val="14"/>
          <w:szCs w:val="14"/>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Ordinary Shares to be sold in the Offering (including the Over-allotment Shares) with the Commission;</w:t>
      </w:r>
    </w:p>
    <w:p>
      <w:pPr>
        <w:spacing w:after="0" w:line="1" w:lineRule="exact"/>
        <w:rPr>
          <w:sz w:val="20"/>
          <w:szCs w:val="20"/>
          <w:color w:val="auto"/>
        </w:rPr>
      </w:pPr>
    </w:p>
    <w:p>
      <w:pPr>
        <w:ind w:left="4" w:right="20" w:hanging="4"/>
        <w:spacing w:after="0" w:line="289" w:lineRule="auto"/>
        <w:tabs>
          <w:tab w:leader="none" w:pos="231"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all Public Filing System filing fees and up to $10,000 for expenses of the Representative's counsel associated with the review of the Offering by FINRA; (c) all fees and expenses relating to the listing of such Public Securities on the Exchange and such other stock exchanges as the Company and the Representative together determine; (d) all fees, expenses and disbursements relating to background checks of the Company’s officers and directors in an amount not to exceed $15,000 in the aggregate; (e) all fees, expenses and disbursements relating to the registration or qualification of the Public Securities under the “blue sky” securities laws of such states and other jurisdictions as the Representative may reasonably designate (including, without limitation, all fees and expenses of "blue sky counsel which shall not exceed $15,000); (f) all fees, expenses and disbursements relating to the registration, qualification or exemption of the Public Securities under the securities laws of such foreign jurisdictions as the Representative may reasonably designate; (g)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(h) the costs and expenses of a public relations firm; (i) the costs of preparing, printing and delivering certificates representing the Public Securities; (j) fees and expenses of the transfer agent for the Ordinary Shares; (k) stock transfer and/or stamp taxes, if any, payable upon the transfer of securities from the Company to the Underwriters; (l) the costs associated with post-Closing advertising the Offering in the national editions of the Wall Street Journal and New York Times up to $1,000; (m) the costs associated with bound volumes of the public offering materials as well as commemorative mementos and lucite tombstones, each of which the Company or its designee shall provide within a reasonable time after the Closing Date in such quantities as the Representative may reasonably request; (n) the fees and expenses of the Company’s accountants; (o) the fees and expenses of the Company’s legal counsel and other agents and representatives; (p) the $21,775 cost associated with the Underwriter’s use of Ipreo’s book-building, prospectus tracking and compliance software for the Offering; and (q) up to $20,000 of the Underwriter’s actual accountable “road show” expenses for the Offering. The Representative may deduct from the net proceeds of the Offering payable to the Company on the Closing Date, or the Option Closing Date, if any, the expenses set forth herein to be paid by the Company to the Underwriters or Representative Counsel.</w:t>
      </w:r>
    </w:p>
    <w:p>
      <w:pPr>
        <w:spacing w:after="0" w:line="344" w:lineRule="exact"/>
        <w:rPr>
          <w:sz w:val="20"/>
          <w:szCs w:val="20"/>
          <w:color w:val="auto"/>
        </w:rPr>
      </w:pPr>
    </w:p>
    <w:p>
      <w:pPr>
        <w:jc w:val="both"/>
        <w:ind w:left="4" w:firstLine="1153"/>
        <w:spacing w:after="0" w:line="264"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u w:val="single" w:color="auto"/>
          <w:color w:val="auto"/>
        </w:rPr>
        <w:t>Non-accountable Expenses</w:t>
      </w:r>
      <w:r>
        <w:rPr>
          <w:rFonts w:ascii="Arial" w:cs="Arial" w:eastAsia="Arial" w:hAnsi="Arial"/>
          <w:sz w:val="16"/>
          <w:szCs w:val="16"/>
          <w:color w:val="auto"/>
        </w:rPr>
        <w:t>. The Company further agrees that, in addition to the expenses payable pursuant to Section 3.10.1, on the Closing Date it shall pay to the Representative, by deduction from the net proceeds of the Offering contemplated herein, a non-accountable expense allowance equal to one percent (1%) of the gross proceeds received by the Company from the sale of the Firm Shares (excluding the Option Shares).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48" w:name="page149"/>
    <w:bookmarkEnd w:id="148"/>
    <w:p>
      <w:pPr>
        <w:jc w:val="both"/>
        <w:ind w:firstLine="577"/>
        <w:spacing w:after="0" w:line="27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Application of Net Proceeds</w:t>
      </w:r>
      <w:r>
        <w:rPr>
          <w:rFonts w:ascii="Arial" w:cs="Arial" w:eastAsia="Arial" w:hAnsi="Arial"/>
          <w:sz w:val="16"/>
          <w:szCs w:val="16"/>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52"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auto"/>
        </w:rPr>
        <w:t>Delivery of Earnings Statements to Security Holders</w:t>
      </w:r>
      <w:r>
        <w:rPr>
          <w:rFonts w:ascii="Arial" w:cs="Arial" w:eastAsia="Arial" w:hAnsi="Arial"/>
          <w:sz w:val="14"/>
          <w:szCs w:val="14"/>
          <w:color w:val="auto"/>
        </w:rPr>
        <w:t>. The Company shall make generally available to its security holders as soon as practicable, but not later</w:t>
      </w:r>
    </w:p>
    <w:p>
      <w:pPr>
        <w:spacing w:after="0" w:line="21"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than the first day of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 following the date of this Agreement, an earnings statement (which need not be certified by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181"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Stabilization</w:t>
      </w:r>
      <w:r>
        <w:rPr>
          <w:rFonts w:ascii="Arial" w:cs="Arial" w:eastAsia="Arial" w:hAnsi="Arial"/>
          <w:sz w:val="15"/>
          <w:szCs w:val="15"/>
          <w:color w:val="auto"/>
        </w:rPr>
        <w:t>. Neither the Company nor, to its knowledge, any of its employees, directors or shareholders (without the consent of the Representative)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46" w:lineRule="exact"/>
        <w:rPr>
          <w:sz w:val="20"/>
          <w:szCs w:val="20"/>
          <w:color w:val="auto"/>
        </w:rPr>
      </w:pPr>
    </w:p>
    <w:p>
      <w:pPr>
        <w:jc w:val="both"/>
        <w:ind w:right="20" w:firstLine="577"/>
        <w:spacing w:after="0" w:line="308" w:lineRule="auto"/>
        <w:rPr>
          <w:sz w:val="20"/>
          <w:szCs w:val="20"/>
          <w:color w:val="auto"/>
        </w:rPr>
      </w:pPr>
      <w:r>
        <w:rPr>
          <w:rFonts w:ascii="Arial" w:cs="Arial" w:eastAsia="Arial" w:hAnsi="Arial"/>
          <w:sz w:val="14"/>
          <w:szCs w:val="14"/>
          <w:color w:val="auto"/>
        </w:rPr>
        <w:t xml:space="preserve">3.14 </w:t>
      </w:r>
      <w:r>
        <w:rPr>
          <w:rFonts w:ascii="Arial" w:cs="Arial" w:eastAsia="Arial" w:hAnsi="Arial"/>
          <w:sz w:val="14"/>
          <w:szCs w:val="14"/>
          <w:u w:val="single" w:color="auto"/>
          <w:color w:val="auto"/>
        </w:rPr>
        <w:t>Internal Controls</w:t>
      </w:r>
      <w:r>
        <w:rPr>
          <w:rFonts w:ascii="Arial" w:cs="Arial" w:eastAsia="Arial" w:hAnsi="Arial"/>
          <w:sz w:val="14"/>
          <w:szCs w:val="14"/>
          <w:color w:val="auto"/>
        </w:rPr>
        <w:t>. The Company shall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35"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Accountants</w:t>
      </w:r>
      <w:r>
        <w:rPr>
          <w:rFonts w:ascii="Arial" w:cs="Arial" w:eastAsia="Arial" w:hAnsi="Arial"/>
          <w:sz w:val="16"/>
          <w:szCs w:val="16"/>
          <w:color w:val="auto"/>
        </w:rPr>
        <w:t>. The Company shall continue to retain a nationally recognized independent registered public accounting firm for a period of at least three (3) years after the date of this Agreement. The Representative acknowledges that the Auditor is acceptable to the Representative</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FINRA</w:t>
      </w:r>
      <w:r>
        <w:rPr>
          <w:rFonts w:ascii="Arial" w:cs="Arial" w:eastAsia="Arial" w:hAnsi="Arial"/>
          <w:sz w:val="16"/>
          <w:szCs w:val="16"/>
          <w:color w:val="auto"/>
        </w:rPr>
        <w:t>. The Company shall advise the Representative (who shall make an appropriate filing with FINRA) if it is or becomes aware that (i) any officer or director of the Company, (ii) any beneficial owner of 5%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67"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49" w:name="page150"/>
    <w:bookmarkEnd w:id="149"/>
    <w:p>
      <w:pPr>
        <w:ind w:left="580"/>
        <w:spacing w:after="0"/>
        <w:tabs>
          <w:tab w:leader="none" w:pos="1160" w:val="left"/>
        </w:tabs>
        <w:rPr>
          <w:sz w:val="20"/>
          <w:szCs w:val="20"/>
          <w:color w:val="auto"/>
        </w:rPr>
      </w:pPr>
      <w:r>
        <w:rPr>
          <w:rFonts w:ascii="Arial" w:cs="Arial" w:eastAsia="Arial" w:hAnsi="Arial"/>
          <w:sz w:val="16"/>
          <w:szCs w:val="16"/>
          <w:color w:val="auto"/>
        </w:rPr>
        <w:t>3.18</w:t>
      </w:r>
      <w:r>
        <w:rPr>
          <w:sz w:val="20"/>
          <w:szCs w:val="20"/>
          <w:color w:val="auto"/>
        </w:rPr>
        <w:tab/>
      </w:r>
      <w:r>
        <w:rPr>
          <w:rFonts w:ascii="Arial" w:cs="Arial" w:eastAsia="Arial" w:hAnsi="Arial"/>
          <w:sz w:val="14"/>
          <w:szCs w:val="14"/>
          <w:u w:val="single" w:color="auto"/>
          <w:color w:val="auto"/>
        </w:rPr>
        <w:t>Company Lock-Up Agreements</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273" w:lineRule="auto"/>
        <w:rPr>
          <w:sz w:val="20"/>
          <w:szCs w:val="20"/>
          <w:color w:val="auto"/>
        </w:rPr>
      </w:pPr>
      <w:r>
        <w:rPr>
          <w:rFonts w:ascii="Arial" w:cs="Arial" w:eastAsia="Arial" w:hAnsi="Arial"/>
          <w:sz w:val="15"/>
          <w:szCs w:val="15"/>
          <w:color w:val="auto"/>
        </w:rPr>
        <w:t xml:space="preserve">3.18.1. </w:t>
      </w:r>
      <w:r>
        <w:rPr>
          <w:rFonts w:ascii="Arial" w:cs="Arial" w:eastAsia="Arial" w:hAnsi="Arial"/>
          <w:sz w:val="15"/>
          <w:szCs w:val="15"/>
          <w:u w:val="single" w:color="auto"/>
          <w:color w:val="auto"/>
        </w:rPr>
        <w:t>Restriction on Sales of Capital Stock</w:t>
      </w:r>
      <w:r>
        <w:rPr>
          <w:rFonts w:ascii="Arial" w:cs="Arial" w:eastAsia="Arial" w:hAnsi="Arial"/>
          <w:sz w:val="15"/>
          <w:szCs w:val="15"/>
          <w:color w:val="auto"/>
        </w:rPr>
        <w:t>. The Company, on behalf of itself and any successor entity, agrees that, without the prior written consent of the Representative, it will not, for a period of 180 days after the date of this Agreement (the “Lock-Up Period”), (i) with the exception of strategic transactions, acquisitions or equity plans,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except for a registration statement on Form S-8 to register shares issuable pursuant to the Company's equity incentive plans;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w:t>
      </w:r>
    </w:p>
    <w:p>
      <w:pPr>
        <w:spacing w:after="0" w:line="156" w:lineRule="exact"/>
        <w:rPr>
          <w:sz w:val="20"/>
          <w:szCs w:val="20"/>
          <w:color w:val="auto"/>
        </w:rPr>
      </w:pPr>
    </w:p>
    <w:p>
      <w:pPr>
        <w:jc w:val="both"/>
        <w:ind w:right="20" w:firstLine="1153"/>
        <w:spacing w:after="0" w:line="351" w:lineRule="auto"/>
        <w:rPr>
          <w:sz w:val="20"/>
          <w:szCs w:val="20"/>
          <w:color w:val="auto"/>
        </w:rPr>
      </w:pPr>
      <w:r>
        <w:rPr>
          <w:rFonts w:ascii="Arial" w:cs="Arial" w:eastAsia="Arial" w:hAnsi="Arial"/>
          <w:sz w:val="14"/>
          <w:szCs w:val="14"/>
          <w:color w:val="auto"/>
        </w:rPr>
        <w:t>The restrictions contained in this Section 3.18.1 shall not apply to (i) the Ordinary Shares to be sold hereunder, or (ii) the issuance by the Company of Ordinary Shares upon the exercise of a stock option or warrant or the conversion of a security outstanding on the date hereof, of which the Representative has been advised in writing.</w:t>
      </w:r>
    </w:p>
    <w:p>
      <w:pPr>
        <w:spacing w:after="0" w:line="106" w:lineRule="exact"/>
        <w:rPr>
          <w:sz w:val="20"/>
          <w:szCs w:val="20"/>
          <w:color w:val="auto"/>
        </w:rPr>
      </w:pPr>
    </w:p>
    <w:p>
      <w:pPr>
        <w:jc w:val="both"/>
        <w:ind w:firstLine="1153"/>
        <w:spacing w:after="0" w:line="294" w:lineRule="auto"/>
        <w:rPr>
          <w:sz w:val="20"/>
          <w:szCs w:val="20"/>
          <w:color w:val="auto"/>
        </w:rPr>
      </w:pPr>
      <w:r>
        <w:rPr>
          <w:rFonts w:ascii="Arial" w:cs="Arial" w:eastAsia="Arial" w:hAnsi="Arial"/>
          <w:sz w:val="14"/>
          <w:szCs w:val="14"/>
          <w:color w:val="auto"/>
        </w:rPr>
        <w:t>Notwithstanding the foregoing, if (i) during the last 17 days of the Lock-Up Period, the Company issues an earnings release or material news or a material event relating to the Company occurs, or (ii) prior to the expiration of the Lock-Up Period, the Company announces that it will release earnings results or becomes aware that material news or a material event will occur during the 16-day period beginning on the last day of the Lock-Up Period, the restrictions imposed by this Section 3.18.1 shall continue to apply until the expiration of the 18-day period beginning on the issuance of the earnings release or the occurrence of such material news or material event, as applicable, unless the Representative waives, in writing, such extension; provided, however, that this extension of the Lock-Up Period shall not apply to the extent that FINRA has amended or repealed NASD Rule 2711(f)(4), or has otherwise provided written interpretive guidance regarding such rule, in each case, so as to eliminate the prohibition of any broker, dealer, or member of a national securities association from publishing or distributing any research report, with respect to the securities of an Emerging Growth Company prior to or after the expiration of any agreement between the broker, dealer, or member of a national securities association and the Emerging Growth Company or its shareholders that restricts or prohibits the sale of securities held by the Emerging Growth Company or its shareholders after the initial public offering date.</w:t>
      </w:r>
    </w:p>
    <w:p>
      <w:pPr>
        <w:spacing w:after="0" w:line="147" w:lineRule="exact"/>
        <w:rPr>
          <w:sz w:val="20"/>
          <w:szCs w:val="20"/>
          <w:color w:val="auto"/>
        </w:rPr>
      </w:pPr>
    </w:p>
    <w:p>
      <w:pPr>
        <w:ind w:left="1140"/>
        <w:spacing w:after="0"/>
        <w:tabs>
          <w:tab w:leader="none" w:pos="1960" w:val="left"/>
        </w:tabs>
        <w:rPr>
          <w:sz w:val="20"/>
          <w:szCs w:val="20"/>
          <w:color w:val="auto"/>
        </w:rPr>
      </w:pPr>
      <w:r>
        <w:rPr>
          <w:rFonts w:ascii="Arial" w:cs="Arial" w:eastAsia="Arial" w:hAnsi="Arial"/>
          <w:sz w:val="16"/>
          <w:szCs w:val="16"/>
          <w:color w:val="auto"/>
        </w:rPr>
        <w:t>3.18.2.</w:t>
      </w:r>
      <w:r>
        <w:rPr>
          <w:sz w:val="20"/>
          <w:szCs w:val="20"/>
          <w:color w:val="auto"/>
        </w:rPr>
        <w:tab/>
      </w: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200"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Release of D&amp;O Lock-up Period</w:t>
      </w:r>
      <w:r>
        <w:rPr>
          <w:rFonts w:ascii="Arial" w:cs="Arial" w:eastAsia="Arial" w:hAnsi="Arial"/>
          <w:sz w:val="15"/>
          <w:szCs w:val="15"/>
          <w:color w:val="auto"/>
        </w:rPr>
        <w:t xml:space="preserve">. If the Representative, in its sole discretion, agrees to release or waive the restrictions set forth in the Lock-Up Agreements described in Section 2.25 hereof for an officer or director of the Company and provide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through a major news service at least two (2) Business Days before the effective date of the release or waiver.</w:t>
      </w:r>
    </w:p>
    <w:p>
      <w:pPr>
        <w:spacing w:after="0" w:line="150"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Blue Sky Qualifications</w:t>
      </w:r>
      <w:r>
        <w:rPr>
          <w:rFonts w:ascii="Arial" w:cs="Arial" w:eastAsia="Arial" w:hAnsi="Arial"/>
          <w:sz w:val="16"/>
          <w:szCs w:val="16"/>
          <w:color w:val="auto"/>
        </w:rPr>
        <w:t>. The Company shall use its best efforts, in cooperation with the Underwriters, if necessary, to qualify the Public Securities for offering and sale under the applicable securities laws of such states and other jurisdictions (domestic or foreign) as the Representative may designate and to maintain such qualifications in effect so long as required to complete the distribution of the Public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50" w:name="page151"/>
    <w:bookmarkEnd w:id="150"/>
    <w:p>
      <w:pPr>
        <w:jc w:val="both"/>
        <w:ind w:left="4" w:firstLine="577"/>
        <w:spacing w:after="0" w:line="259"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Reporting Requirements</w:t>
      </w:r>
      <w:r>
        <w:rPr>
          <w:rFonts w:ascii="Arial" w:cs="Arial" w:eastAsia="Arial" w:hAnsi="Arial"/>
          <w:sz w:val="16"/>
          <w:szCs w:val="16"/>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Public Securities as may be required under Rule 463 under the Securities Act Regulations.</w:t>
      </w:r>
    </w:p>
    <w:p>
      <w:pPr>
        <w:spacing w:after="0" w:line="167"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Emerging Growth Company Status</w:t>
      </w:r>
      <w:r>
        <w:rPr>
          <w:rFonts w:ascii="Arial" w:cs="Arial" w:eastAsia="Arial" w:hAnsi="Arial"/>
          <w:sz w:val="16"/>
          <w:szCs w:val="16"/>
          <w:color w:val="auto"/>
        </w:rPr>
        <w:t>. The Company shall promptly notify the Representative if the Company ceases to be an Emerging Growth Company at any time prior to the later of (i) completion of the distribution of the Public Securities within the meaning of the Securities Act and (ii) fifteen (15) days following the completion of the Lock-Up Period.</w:t>
      </w:r>
    </w:p>
    <w:p>
      <w:pPr>
        <w:spacing w:after="0" w:line="162" w:lineRule="exact"/>
        <w:rPr>
          <w:sz w:val="20"/>
          <w:szCs w:val="20"/>
          <w:color w:val="auto"/>
        </w:rPr>
      </w:pPr>
    </w:p>
    <w:p>
      <w:pPr>
        <w:jc w:val="both"/>
        <w:ind w:left="4" w:hanging="4"/>
        <w:spacing w:after="0" w:line="259" w:lineRule="auto"/>
        <w:tabs>
          <w:tab w:leader="none" w:pos="54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Underwriters to purchase and pay for the Public Securities,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67"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Regulatory Matters</w:t>
      </w:r>
      <w:r>
        <w:rPr>
          <w:rFonts w:ascii="Arial" w:cs="Arial" w:eastAsia="Arial" w:hAnsi="Arial"/>
          <w:sz w:val="14"/>
          <w:szCs w:val="14"/>
          <w:color w:val="auto"/>
        </w:rPr>
        <w:t>.</w:t>
      </w:r>
    </w:p>
    <w:p>
      <w:pPr>
        <w:spacing w:after="0" w:line="200" w:lineRule="exact"/>
        <w:rPr>
          <w:sz w:val="20"/>
          <w:szCs w:val="20"/>
          <w:color w:val="auto"/>
        </w:rPr>
      </w:pPr>
    </w:p>
    <w:p>
      <w:pPr>
        <w:jc w:val="both"/>
        <w:ind w:left="4" w:firstLine="1153"/>
        <w:spacing w:after="0" w:line="25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Effectiveness of Registration Statement; Rule 430A Information</w:t>
      </w:r>
      <w:r>
        <w:rPr>
          <w:rFonts w:ascii="Arial" w:cs="Arial" w:eastAsia="Arial" w:hAnsi="Arial"/>
          <w:sz w:val="16"/>
          <w:szCs w:val="16"/>
          <w:color w:val="auto"/>
        </w:rPr>
        <w:t>. The Registration Statement has become effective not later than 5:00 p.m., Eastern time, on the date of this Agreement or such later date and time as shall be consented to in writing by you, and, at each of the Closing Date and any Option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72" w:lineRule="exact"/>
        <w:rPr>
          <w:sz w:val="20"/>
          <w:szCs w:val="20"/>
          <w:color w:val="auto"/>
        </w:rPr>
      </w:pPr>
    </w:p>
    <w:p>
      <w:pPr>
        <w:jc w:val="both"/>
        <w:ind w:left="4" w:firstLine="1153"/>
        <w:spacing w:after="0" w:line="277"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FINRA Clearance</w:t>
      </w:r>
      <w:r>
        <w:rPr>
          <w:rFonts w:ascii="Arial" w:cs="Arial" w:eastAsia="Arial" w:hAnsi="Arial"/>
          <w:sz w:val="16"/>
          <w:szCs w:val="16"/>
          <w:color w:val="auto"/>
        </w:rPr>
        <w:t>. On or before the date of this Agreement, the Representative shall have received clearance from FINRA as to the amount of compensation allowable or payable to the Underwriters as described in the Registration Statement.</w:t>
      </w:r>
    </w:p>
    <w:p>
      <w:pPr>
        <w:spacing w:after="0" w:line="152" w:lineRule="exact"/>
        <w:rPr>
          <w:sz w:val="20"/>
          <w:szCs w:val="20"/>
          <w:color w:val="auto"/>
        </w:rPr>
      </w:pPr>
    </w:p>
    <w:p>
      <w:pPr>
        <w:jc w:val="both"/>
        <w:ind w:left="4" w:firstLine="1153"/>
        <w:spacing w:after="0" w:line="264"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Exchange Stock Market Clearance</w:t>
      </w:r>
      <w:r>
        <w:rPr>
          <w:rFonts w:ascii="Arial" w:cs="Arial" w:eastAsia="Arial" w:hAnsi="Arial"/>
          <w:sz w:val="16"/>
          <w:szCs w:val="16"/>
          <w:color w:val="auto"/>
        </w:rPr>
        <w:t>. On the Closing Date, the Company’s Ordinary Shares, including the Firm Shares, shall have been approved for listing on the Exchange, subject only to official notice of issuance. On the first Option Closing Date (if any), the Company’s Ordinary Shares, including the Option Shares, shall have been approved for listing on the Exchange, subject only to official notice of issuance.</w:t>
      </w:r>
    </w:p>
    <w:p>
      <w:pPr>
        <w:spacing w:after="0" w:line="162"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Company Counsel Matters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53"/>
        <w:spacing w:after="0" w:line="264"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Closing Date Opinion of U.S. Counsel to the Company</w:t>
      </w:r>
      <w:r>
        <w:rPr>
          <w:rFonts w:ascii="Arial" w:cs="Arial" w:eastAsia="Arial" w:hAnsi="Arial"/>
          <w:sz w:val="16"/>
          <w:szCs w:val="16"/>
          <w:color w:val="auto"/>
        </w:rPr>
        <w:t>. On the Closing Date, the Representative shall have received the favorable opinion of Zysman, Aharoni, Gayer &amp; Sullivan &amp; Worcester LLP, U.S. counsel to the Company, and a written statement providing certain “10b-5” negative assurances, dated the Closing Date and addressed to the Representative, in form and substance satisfactory to Representative Counsel.</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51" w:name="page152"/>
    <w:bookmarkEnd w:id="151"/>
    <w:p>
      <w:pPr>
        <w:jc w:val="both"/>
        <w:ind w:right="20" w:firstLine="1153"/>
        <w:spacing w:after="0" w:line="264"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Closing Date Opinion of Israeli Counsel to the Company</w:t>
      </w:r>
      <w:r>
        <w:rPr>
          <w:rFonts w:ascii="Arial" w:cs="Arial" w:eastAsia="Arial" w:hAnsi="Arial"/>
          <w:sz w:val="16"/>
          <w:szCs w:val="16"/>
          <w:color w:val="auto"/>
        </w:rPr>
        <w:t>. On the Closing Date, the Representative shall have received the favorable opinion of Zysman, Aharoni, Gayer &amp; Co., Israeli counsel to the Company, and a written statement providing certain “10b-5” negative assurances, dated the Closing Date and addressed to the Representative, in form and substance satisfactory to Representative Counsel.</w:t>
      </w:r>
    </w:p>
    <w:p>
      <w:pPr>
        <w:spacing w:after="0" w:line="162"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Opinion of Special Intellectual Property Counsel for the Company.</w:t>
      </w:r>
      <w:r>
        <w:rPr>
          <w:rFonts w:ascii="Arial" w:cs="Arial" w:eastAsia="Arial" w:hAnsi="Arial"/>
          <w:sz w:val="16"/>
          <w:szCs w:val="16"/>
          <w:color w:val="auto"/>
        </w:rPr>
        <w:t xml:space="preserve"> On the Closing Date, the Representative shall have received the opinion of Mintz Levin Cohn Ferris Glovsky &amp; Popeo PC, special intellectual property counsel for the Company, dated the Closing Date, addressed to the Representative in form and substance satisfactory to Representative Counsel.</w:t>
      </w:r>
    </w:p>
    <w:p>
      <w:pPr>
        <w:spacing w:after="0" w:line="162"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 xml:space="preserve">4.2.4. </w:t>
      </w:r>
      <w:r>
        <w:rPr>
          <w:rFonts w:ascii="Arial" w:cs="Arial" w:eastAsia="Arial" w:hAnsi="Arial"/>
          <w:sz w:val="15"/>
          <w:szCs w:val="15"/>
          <w:u w:val="single" w:color="auto"/>
          <w:color w:val="auto"/>
        </w:rPr>
        <w:t>Option Closing Date Opinions of Counsel. On the Option Closing Date,</w:t>
      </w:r>
      <w:r>
        <w:rPr>
          <w:rFonts w:ascii="Arial" w:cs="Arial" w:eastAsia="Arial" w:hAnsi="Arial"/>
          <w:sz w:val="15"/>
          <w:szCs w:val="15"/>
          <w:color w:val="auto"/>
        </w:rPr>
        <w:t xml:space="preserve"> if any, the Representative shall have received the favorable opinions of each counsel listed in Sections 4.2.1, 4.2.2 and 4.2.3, dated the Option Closing Date, addressed to the Representative and in form and substance reasonably satisfactory to the Representative, confirming as of the Option Closing Date, the statements made by such counsels in their respective opinions delivered on the Closing Date.</w:t>
      </w:r>
    </w:p>
    <w:p>
      <w:pPr>
        <w:spacing w:after="0" w:line="146"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Reliance</w:t>
      </w:r>
      <w:r>
        <w:rPr>
          <w:rFonts w:ascii="Arial" w:cs="Arial" w:eastAsia="Arial" w:hAnsi="Arial"/>
          <w:sz w:val="16"/>
          <w:szCs w:val="16"/>
          <w:color w:val="auto"/>
        </w:rPr>
        <w:t>.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Representative Counsel if requested.</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Comfort Letters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Cold Comfort Letter</w:t>
      </w:r>
      <w:r>
        <w:rPr>
          <w:rFonts w:ascii="Arial" w:cs="Arial" w:eastAsia="Arial" w:hAnsi="Arial"/>
          <w:sz w:val="16"/>
          <w:szCs w:val="16"/>
          <w:color w:val="auto"/>
        </w:rPr>
        <w:t>. At the time this Agreement is executed you shall have received a cold comfort letter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and in form and substance satisfactory in all respects to you and to the Auditor, dated as of the date of this Agreement.</w:t>
      </w:r>
    </w:p>
    <w:p>
      <w:pPr>
        <w:spacing w:after="0" w:line="167" w:lineRule="exact"/>
        <w:rPr>
          <w:sz w:val="20"/>
          <w:szCs w:val="20"/>
          <w:color w:val="auto"/>
        </w:rPr>
      </w:pPr>
    </w:p>
    <w:p>
      <w:pPr>
        <w:jc w:val="both"/>
        <w:ind w:right="20" w:firstLine="1153"/>
        <w:spacing w:after="0" w:line="319" w:lineRule="auto"/>
        <w:rPr>
          <w:sz w:val="20"/>
          <w:szCs w:val="20"/>
          <w:color w:val="auto"/>
        </w:rPr>
      </w:pPr>
      <w:r>
        <w:rPr>
          <w:rFonts w:ascii="Arial" w:cs="Arial" w:eastAsia="Arial" w:hAnsi="Arial"/>
          <w:sz w:val="14"/>
          <w:szCs w:val="14"/>
          <w:color w:val="auto"/>
        </w:rPr>
        <w:t xml:space="preserve">4.3.2. </w:t>
      </w:r>
      <w:r>
        <w:rPr>
          <w:rFonts w:ascii="Arial" w:cs="Arial" w:eastAsia="Arial" w:hAnsi="Arial"/>
          <w:sz w:val="14"/>
          <w:szCs w:val="14"/>
          <w:u w:val="single" w:color="auto"/>
          <w:color w:val="auto"/>
        </w:rPr>
        <w:t>Bring-down Comfort Letter</w:t>
      </w:r>
      <w:r>
        <w:rPr>
          <w:rFonts w:ascii="Arial" w:cs="Arial" w:eastAsia="Arial" w:hAnsi="Arial"/>
          <w:sz w:val="14"/>
          <w:szCs w:val="14"/>
          <w:color w:val="auto"/>
        </w:rPr>
        <w:t>.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 or the Option Closing Date, as applicable.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52" w:name="page153"/>
    <w:bookmarkEnd w:id="152"/>
    <w:p>
      <w:pPr>
        <w:ind w:left="580"/>
        <w:spacing w:after="0"/>
        <w:tabs>
          <w:tab w:leader="none" w:pos="11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Officers’ Certificates</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291" w:lineRule="auto"/>
        <w:rPr>
          <w:sz w:val="20"/>
          <w:szCs w:val="20"/>
          <w:color w:val="auto"/>
        </w:rPr>
      </w:pPr>
      <w:r>
        <w:rPr>
          <w:rFonts w:ascii="Arial" w:cs="Arial" w:eastAsia="Arial" w:hAnsi="Arial"/>
          <w:sz w:val="14"/>
          <w:szCs w:val="14"/>
          <w:color w:val="auto"/>
        </w:rPr>
        <w:t xml:space="preserve">4.4.1. </w:t>
      </w:r>
      <w:r>
        <w:rPr>
          <w:rFonts w:ascii="Arial" w:cs="Arial" w:eastAsia="Arial" w:hAnsi="Arial"/>
          <w:sz w:val="14"/>
          <w:szCs w:val="14"/>
          <w:u w:val="single" w:color="auto"/>
          <w:color w:val="auto"/>
        </w:rPr>
        <w:t>Officers’ Certificate</w:t>
      </w:r>
      <w:r>
        <w:rPr>
          <w:rFonts w:ascii="Arial" w:cs="Arial" w:eastAsia="Arial" w:hAnsi="Arial"/>
          <w:sz w:val="14"/>
          <w:szCs w:val="14"/>
          <w:color w:val="auto"/>
        </w:rPr>
        <w:t>. The Company shall have furnished to the Representative a certificate, dated the Closing Date and any Option Closing Date (if such date is other than the Closing Date), of its Chief Executive Officer and its Chief Financial Officer stating that (i) such officers have carefully examined the Registration Statement, the Pricing Disclosure Package, any Issuer Free Writing Prospectus and the Prospectus and, in their opinion, the Registration Statement and each amendment thereto,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or incorporated by reference in the Pricing Disclosure Package, any Material Adverse Change , except as set forth in the Prospectus.</w:t>
      </w:r>
    </w:p>
    <w:p>
      <w:pPr>
        <w:spacing w:after="0" w:line="150" w:lineRule="exact"/>
        <w:rPr>
          <w:sz w:val="20"/>
          <w:szCs w:val="20"/>
          <w:color w:val="auto"/>
        </w:rPr>
      </w:pPr>
    </w:p>
    <w:p>
      <w:pPr>
        <w:jc w:val="both"/>
        <w:ind w:firstLine="1153"/>
        <w:spacing w:after="0" w:line="278" w:lineRule="auto"/>
        <w:rPr>
          <w:sz w:val="20"/>
          <w:szCs w:val="20"/>
          <w:color w:val="auto"/>
        </w:rPr>
      </w:pPr>
      <w:r>
        <w:rPr>
          <w:rFonts w:ascii="Arial" w:cs="Arial" w:eastAsia="Arial" w:hAnsi="Arial"/>
          <w:sz w:val="15"/>
          <w:szCs w:val="15"/>
          <w:color w:val="auto"/>
        </w:rPr>
        <w:t xml:space="preserve">4.4.2. </w:t>
      </w:r>
      <w:r>
        <w:rPr>
          <w:rFonts w:ascii="Arial" w:cs="Arial" w:eastAsia="Arial" w:hAnsi="Arial"/>
          <w:sz w:val="15"/>
          <w:szCs w:val="15"/>
          <w:u w:val="single" w:color="auto"/>
          <w:color w:val="auto"/>
        </w:rPr>
        <w:t>Chief Financial Officer’s Certificate</w:t>
      </w:r>
      <w:r>
        <w:rPr>
          <w:rFonts w:ascii="Arial" w:cs="Arial" w:eastAsia="Arial" w:hAnsi="Arial"/>
          <w:sz w:val="15"/>
          <w:szCs w:val="15"/>
          <w:color w:val="auto"/>
        </w:rPr>
        <w:t>. At each of the Closing Date and the Option Closing Date, if any, the Representative shall have received a certificate of the Company signed by the Chief Financial Officer of the Company, dated the Closing Date or the Option Date, as the case may be, respectively, certifying: (i) that the Charter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154"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 Material Changes</w:t>
      </w:r>
      <w:r>
        <w:rPr>
          <w:rFonts w:ascii="Arial" w:cs="Arial" w:eastAsia="Arial" w:hAnsi="Arial"/>
          <w:sz w:val="15"/>
          <w:szCs w:val="15"/>
          <w:color w:val="auto"/>
        </w:rPr>
        <w:t>. 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which could reasonably be expected to cause a Material Adverse Change,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6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u w:val="single" w:color="auto"/>
          <w:color w:val="auto"/>
        </w:rPr>
        <w:t>Delivery of Agreements</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277" w:lineRule="auto"/>
        <w:rPr>
          <w:sz w:val="20"/>
          <w:szCs w:val="20"/>
          <w:color w:val="auto"/>
        </w:rPr>
      </w:pPr>
      <w:r>
        <w:rPr>
          <w:rFonts w:ascii="Arial" w:cs="Arial" w:eastAsia="Arial" w:hAnsi="Arial"/>
          <w:sz w:val="16"/>
          <w:szCs w:val="16"/>
          <w:color w:val="auto"/>
        </w:rPr>
        <w:t xml:space="preserve">4.6.1. </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On or before the date of this Agreement, the Company shall have delivered to the Representative executed copies of the Lock-Up Agreements from each of the persons listed in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53" w:name="page154"/>
    <w:bookmarkEnd w:id="153"/>
    <w:p>
      <w:pPr>
        <w:jc w:val="both"/>
        <w:ind w:left="4" w:right="20" w:firstLine="1153"/>
        <w:spacing w:after="0" w:line="277" w:lineRule="auto"/>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Representative’s Warrant Agreement</w:t>
      </w:r>
      <w:r>
        <w:rPr>
          <w:rFonts w:ascii="Arial" w:cs="Arial" w:eastAsia="Arial" w:hAnsi="Arial"/>
          <w:sz w:val="16"/>
          <w:szCs w:val="16"/>
          <w:color w:val="auto"/>
        </w:rPr>
        <w:t>. On the Closing Date, the Company shall have delivered to the Representative executed copies of the Representative’s Warrant Agreement.</w:t>
      </w:r>
    </w:p>
    <w:p>
      <w:pPr>
        <w:spacing w:after="0" w:line="152" w:lineRule="exact"/>
        <w:rPr>
          <w:sz w:val="20"/>
          <w:szCs w:val="20"/>
          <w:color w:val="auto"/>
        </w:rPr>
      </w:pPr>
    </w:p>
    <w:p>
      <w:pPr>
        <w:jc w:val="both"/>
        <w:ind w:left="4" w:right="20" w:firstLine="577"/>
        <w:spacing w:after="0" w:line="282"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Additional Documents</w:t>
      </w:r>
      <w:r>
        <w:rPr>
          <w:rFonts w:ascii="Arial" w:cs="Arial" w:eastAsia="Arial" w:hAnsi="Arial"/>
          <w:sz w:val="15"/>
          <w:szCs w:val="15"/>
          <w:color w:val="auto"/>
        </w:rPr>
        <w:t>. At the Closing Date and at each Option Closing Date (if any) Representative and Representative Counsel shall have been furnished with such documents and certificates as they may reasonably require, or in order to evidence the accuracy of any of the representations or warranties, or the fulfillment of any of the conditions, herein contained; and all proceedings taken by the Company in connection with the issuance and sale of the Public Securities and the Representative’s Securities as herein contemplated shall be satisfactory in form and substance to the Representative and Representative Counsel.</w:t>
      </w:r>
    </w:p>
    <w:p>
      <w:pPr>
        <w:spacing w:after="0" w:line="150" w:lineRule="exact"/>
        <w:rPr>
          <w:sz w:val="20"/>
          <w:szCs w:val="20"/>
          <w:color w:val="auto"/>
        </w:rPr>
      </w:pPr>
    </w:p>
    <w:p>
      <w:pPr>
        <w:ind w:left="564" w:hanging="564"/>
        <w:spacing w:after="0"/>
        <w:tabs>
          <w:tab w:leader="none" w:pos="564"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5.1</w:t>
      </w:r>
      <w:r>
        <w:rPr>
          <w:rFonts w:ascii="Arial" w:cs="Arial" w:eastAsia="Arial" w:hAnsi="Arial"/>
          <w:sz w:val="14"/>
          <w:szCs w:val="14"/>
          <w:u w:val="single" w:color="auto"/>
          <w:color w:val="auto"/>
        </w:rPr>
        <w:t>Indemnification of the Underwriters</w:t>
      </w:r>
      <w:r>
        <w:rPr>
          <w:rFonts w:ascii="Arial" w:cs="Arial" w:eastAsia="Arial" w:hAnsi="Arial"/>
          <w:sz w:val="14"/>
          <w:szCs w:val="14"/>
          <w:color w:val="auto"/>
        </w:rPr>
        <w:t>.</w:t>
      </w:r>
    </w:p>
    <w:p>
      <w:pPr>
        <w:spacing w:after="0" w:line="200" w:lineRule="exact"/>
        <w:rPr>
          <w:sz w:val="20"/>
          <w:szCs w:val="20"/>
          <w:color w:val="auto"/>
        </w:rPr>
      </w:pPr>
    </w:p>
    <w:p>
      <w:pPr>
        <w:jc w:val="both"/>
        <w:ind w:left="4" w:firstLine="1153"/>
        <w:spacing w:after="0" w:line="290"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General</w:t>
      </w:r>
      <w:r>
        <w:rPr>
          <w:rFonts w:ascii="Arial" w:cs="Arial" w:eastAsia="Arial" w:hAnsi="Arial"/>
          <w:sz w:val="14"/>
          <w:szCs w:val="14"/>
          <w:color w:val="auto"/>
        </w:rPr>
        <w:t>. Subject to the conditions set forth below, the Company agrees to indemnify and hold harmless each Underwriter, its affiliates and each of its and their respective directors, officers, members, employees, representatives and agents and each person, if any, who controls any such Underwriter within the meaning of Section 15 of the Securities Act or Section 20 of the Exchange Act (collectively the “Underwriter Indemnified Parties,” and each an “Underwriter Indemnified Party”),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the Registration Statement, the Pricing Disclosure Package, the Preliminary Prospectus, the Prospectus or in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“application”) executed by the Company or based upon written information furnished by the Company in any jurisdiction in order to qualify the Public Securities and Representative’s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Pricing Disclosure Package, the indemnity agreement contained in this Section 5.1.1 shall not inure to the benefit of any Underwriter Indemnified Party to the extent that any loss, liability, claim, damage or expense of such Underwriter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3.3 hereof.</w:t>
      </w: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54" w:name="page155"/>
    <w:bookmarkEnd w:id="154"/>
    <w:p>
      <w:pPr>
        <w:jc w:val="both"/>
        <w:ind w:firstLine="1153"/>
        <w:spacing w:after="0" w:line="271"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Procedure</w:t>
      </w:r>
      <w:r>
        <w:rPr>
          <w:rFonts w:ascii="Arial" w:cs="Arial" w:eastAsia="Arial" w:hAnsi="Arial"/>
          <w:sz w:val="15"/>
          <w:szCs w:val="15"/>
          <w:color w:val="auto"/>
        </w:rPr>
        <w:t>. If any action is brought against an Underwriter Indemnified Party in respect of which indemnity may be sought against the Company pursuant to Section 5.1.1, such Underwriter Indemnified Party shall promptly notify the Company in writing of the institution of such action and the Company shall assume the defense of such action, including the employment and fees of counsel (as identified by such Underwriter Indemnified Party) and payment of actual expenses. Such Underwriter Indemnified Party shall have the right to employ its or their own counsel in any such case, but the fees and expenses of such counsel shall be at the expense of such Underwriter Indemnified Party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Indemnified Party (in addition to local counsel) shall be borne by the Company. Notwithstanding anything to the contrary contained herein, if any Underwriter Indemnified Party shall assume the defense of such action as provided above, the Company shall have the right to approve the terms of any settlement of such action, which approval shall not be unreasonably withheld.</w:t>
      </w:r>
    </w:p>
    <w:p>
      <w:pPr>
        <w:spacing w:after="0" w:line="164"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Indemnification of the Company</w:t>
      </w:r>
      <w:r>
        <w:rPr>
          <w:rFonts w:ascii="Arial" w:cs="Arial" w:eastAsia="Arial" w:hAnsi="Arial"/>
          <w:sz w:val="15"/>
          <w:szCs w:val="15"/>
          <w:color w:val="auto"/>
        </w:rPr>
        <w:t>. Each Underwriter, severally and not jointly, agrees to indemnify and hold harmless the Company, its directors, its officers who signed the Registration Statement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spacing w:after="0" w:line="16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u w:val="single" w:color="auto"/>
          <w:color w:val="auto"/>
        </w:rPr>
        <w:t>Contribution</w:t>
      </w:r>
      <w:r>
        <w:rPr>
          <w:rFonts w:ascii="Arial" w:cs="Arial" w:eastAsia="Arial" w:hAnsi="Arial"/>
          <w:sz w:val="15"/>
          <w:szCs w:val="15"/>
          <w:color w:val="auto"/>
        </w:rPr>
        <w:t>.</w:t>
      </w:r>
    </w:p>
    <w:p>
      <w:pPr>
        <w:spacing w:after="0" w:line="200" w:lineRule="exact"/>
        <w:rPr>
          <w:sz w:val="20"/>
          <w:szCs w:val="20"/>
          <w:color w:val="auto"/>
        </w:rPr>
      </w:pPr>
    </w:p>
    <w:p>
      <w:pPr>
        <w:jc w:val="both"/>
        <w:ind w:firstLine="1153"/>
        <w:spacing w:after="0" w:line="289" w:lineRule="auto"/>
        <w:rPr>
          <w:sz w:val="20"/>
          <w:szCs w:val="20"/>
          <w:color w:val="auto"/>
        </w:rPr>
      </w:pPr>
      <w:r>
        <w:rPr>
          <w:rFonts w:ascii="Arial" w:cs="Arial" w:eastAsia="Arial" w:hAnsi="Arial"/>
          <w:sz w:val="14"/>
          <w:szCs w:val="14"/>
          <w:color w:val="auto"/>
        </w:rPr>
        <w:t xml:space="preserve">5.3.1. </w:t>
      </w:r>
      <w:r>
        <w:rPr>
          <w:rFonts w:ascii="Arial" w:cs="Arial" w:eastAsia="Arial" w:hAnsi="Arial"/>
          <w:sz w:val="14"/>
          <w:szCs w:val="14"/>
          <w:u w:val="single" w:color="auto"/>
          <w:color w:val="auto"/>
        </w:rPr>
        <w:t>Contribution Rights</w:t>
      </w:r>
      <w:r>
        <w:rPr>
          <w:rFonts w:ascii="Arial" w:cs="Arial" w:eastAsia="Arial" w:hAnsi="Arial"/>
          <w:sz w:val="14"/>
          <w:szCs w:val="14"/>
          <w:color w:val="auto"/>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Public Securities purchased under this Agreement (before deducting expenses) received by the Company, as set forth in the table on the cover page of the Prospectus, on the one hand, and the total underwriting discounts and commissions received by the Underwriters with respect to the Ordinary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5.3.1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5.3.1 shall be deemed to include, for purposes of this Section 5.3.1, any legal or other expenses reasonably incurred by such indemnified party in connection with investigating or defending any such action or claim. Notwithstanding the provisions of this Section 5.3.1 in no event shall an Underwriter be required to contribute any amount in excess of the amount by which the total underwriting discounts and commissions received by such Underwriter with respect to the Offering of the Public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55" w:name="page156"/>
    <w:bookmarkEnd w:id="155"/>
    <w:p>
      <w:pPr>
        <w:jc w:val="both"/>
        <w:ind w:left="280" w:firstLine="1153"/>
        <w:spacing w:after="0" w:line="253"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Within fifteen (15) days after receipt by any party to this Agreement (or its representative) of notice of the commencement of any action, suit or proceeding, such party will, if a claim for contribution in respect thereof is to be made against another party (“contributing party”),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on account of any settlement of any claim, action or proceeding affected by such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 Each Underwriter’s obligations to contribute pursuant to this Section 5.3 are several and not joint.</w:t>
      </w:r>
    </w:p>
    <w:p>
      <w:pPr>
        <w:spacing w:after="0" w:line="17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5A.</w:t>
      </w:r>
      <w:r>
        <w:rPr>
          <w:sz w:val="20"/>
          <w:szCs w:val="20"/>
          <w:color w:val="auto"/>
        </w:rPr>
        <w:tab/>
      </w:r>
      <w:r>
        <w:rPr>
          <w:rFonts w:ascii="Arial" w:cs="Arial" w:eastAsia="Arial" w:hAnsi="Arial"/>
          <w:sz w:val="16"/>
          <w:szCs w:val="16"/>
          <w:color w:val="auto"/>
        </w:rPr>
        <w:t xml:space="preserve">Certain Understandings </w:t>
      </w:r>
      <w:r>
        <w:rPr>
          <w:rFonts w:ascii="Arial" w:cs="Arial" w:eastAsia="Arial" w:hAnsi="Arial"/>
          <w:sz w:val="16"/>
          <w:szCs w:val="16"/>
          <w:u w:val="single" w:color="auto"/>
          <w:color w:val="auto"/>
        </w:rPr>
        <w:t>Regarding Israeli Securities Laws</w:t>
      </w:r>
      <w:r>
        <w:rPr>
          <w:rFonts w:ascii="Arial" w:cs="Arial" w:eastAsia="Arial" w:hAnsi="Arial"/>
          <w:sz w:val="16"/>
          <w:szCs w:val="16"/>
          <w:b w:val="1"/>
          <w:bCs w:val="1"/>
          <w:color w:val="auto"/>
        </w:rPr>
        <w:t>.</w:t>
      </w:r>
    </w:p>
    <w:p>
      <w:pPr>
        <w:spacing w:after="0" w:line="204"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5"/>
          <w:szCs w:val="15"/>
          <w:color w:val="auto"/>
        </w:rPr>
        <w:t>Other than as set forth in the this paragraph, the Underwriters will not offer any Public Securities to offerees in Israel, other than to Institutional Investors (</w:t>
      </w:r>
      <w:r>
        <w:rPr>
          <w:rFonts w:ascii="Arial" w:cs="Arial" w:eastAsia="Arial" w:hAnsi="Arial"/>
          <w:sz w:val="15"/>
          <w:szCs w:val="15"/>
          <w:i w:val="1"/>
          <w:iCs w:val="1"/>
          <w:color w:val="auto"/>
        </w:rPr>
        <w:t>mashki’im</w:t>
      </w:r>
      <w:r>
        <w:rPr>
          <w:rFonts w:ascii="Arial" w:cs="Arial" w:eastAsia="Arial" w:hAnsi="Arial"/>
          <w:sz w:val="15"/>
          <w:szCs w:val="15"/>
          <w:color w:val="auto"/>
        </w:rPr>
        <w:t xml:space="preserve"> </w:t>
      </w:r>
      <w:r>
        <w:rPr>
          <w:rFonts w:ascii="Arial" w:cs="Arial" w:eastAsia="Arial" w:hAnsi="Arial"/>
          <w:sz w:val="15"/>
          <w:szCs w:val="15"/>
          <w:i w:val="1"/>
          <w:iCs w:val="1"/>
          <w:color w:val="auto"/>
        </w:rPr>
        <w:t>mosdiem</w:t>
      </w:r>
      <w:r>
        <w:rPr>
          <w:rFonts w:ascii="Arial" w:cs="Arial" w:eastAsia="Arial" w:hAnsi="Arial"/>
          <w:sz w:val="15"/>
          <w:szCs w:val="15"/>
          <w:color w:val="auto"/>
        </w:rPr>
        <w:t>), as such term is defined in the Israel Securities Law. The Company acknowledges, understands and agrees that Public Securities may be sold in Israel only by the</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and only to such Israeli investors listed in the First Addendum to the Israeli Securities Law (“Addendum”) and to certain other investors who are not institutional investors in such number as shall be exempt from prospectus requirements under the Israeli Securities Law; all of whom are to be specifically identified and approved by the Underwriters, and provided further that as a prerequisite to sale of Public Securities by the Underwriters to such Israeli investors, each of them shall be required to submit written confirmation to the Underwriters and the Company that such investor (i) falls within the scope of the Addendum; and (ii) is acquiring the Public Securities being offered to it for investment for its own account or, if applicable, for investment for clients who are institutional investors and in any event not as a nominee, market maker or agent and not with a view to, or for resale in connection with, any distribution thereof. Company acknowledges and agrees that any failure of the Company to comply with the above procedure may result in a default under Israeli Securities Law.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56" w:name="page157"/>
    <w:bookmarkEnd w:id="156"/>
    <w:p>
      <w:pPr>
        <w:ind w:left="564" w:hanging="564"/>
        <w:spacing w:after="0"/>
        <w:tabs>
          <w:tab w:leader="none" w:pos="56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82"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Default Not Exceeding 10% of Firm Shares or Option Shares</w:t>
      </w:r>
      <w:r>
        <w:rPr>
          <w:rFonts w:ascii="Arial" w:cs="Arial" w:eastAsia="Arial" w:hAnsi="Arial"/>
          <w:sz w:val="15"/>
          <w:szCs w:val="15"/>
          <w:color w:val="auto"/>
        </w:rPr>
        <w:t>. If any Underwriter or Underwriters shall default in its or their obligations to 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spacing w:after="0" w:line="150" w:lineRule="exact"/>
        <w:rPr>
          <w:sz w:val="20"/>
          <w:szCs w:val="20"/>
          <w:color w:val="auto"/>
        </w:rPr>
      </w:pPr>
    </w:p>
    <w:p>
      <w:pPr>
        <w:jc w:val="both"/>
        <w:ind w:left="4" w:firstLine="577"/>
        <w:spacing w:after="0" w:line="273"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Default Exceeding 10% of Firm Shares or Option Shares</w:t>
      </w:r>
      <w:r>
        <w:rPr>
          <w:rFonts w:ascii="Arial" w:cs="Arial" w:eastAsia="Arial" w:hAnsi="Arial"/>
          <w:sz w:val="15"/>
          <w:szCs w:val="15"/>
          <w:color w:val="auto"/>
        </w:rPr>
        <w:t>. In the event that the default addressed in Section 6.1 relates to more than 10% of the Firm Shares or Option Shares, you may in your discretion arrange for yourself or for another party or parties to purchase such Firm Shares or Option Shares to which such default relates on the terms contained herein. If, within one (1) Business Day after such default relating to more than 10% of the Firm Shares or Option Shares, you do not arrange for the purchase of such Firm Shares or Option Shares, then the Company shall be entitled to a further period of one (1) Business Day within which to procure another party or parties satisfactory to you to purchase said Firm Shares or Option Shares on such terms. In the event that neither you nor the Company arrange for the purchase of the Firm Shares or Option Shares to which a default relates as provided in this Section 6, this Agreement will automatically be terminated by you or the Company without liability on the part of the Company (except as provided in Sections 3.9 and 5 hereof) or the several Underwriters (except as provided in Section 5 hereof); provided, however, that if such default occurs with respect to the Option Shares, this Agreement will not terminate as to the Firm Shares; and provided, further, that nothing herein shall relieve a defaulting Underwriter of its liability, if any, to the other Underwriters and to the Company for damages occasioned by its default hereunder.</w:t>
      </w:r>
    </w:p>
    <w:p>
      <w:pPr>
        <w:spacing w:after="0" w:line="156" w:lineRule="exact"/>
        <w:rPr>
          <w:sz w:val="20"/>
          <w:szCs w:val="20"/>
          <w:color w:val="auto"/>
        </w:rPr>
      </w:pPr>
    </w:p>
    <w:p>
      <w:pPr>
        <w:jc w:val="both"/>
        <w:ind w:left="4" w:firstLine="577"/>
        <w:spacing w:after="0" w:line="299"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Postponement of Closing Date</w:t>
      </w:r>
      <w:r>
        <w:rPr>
          <w:rFonts w:ascii="Arial" w:cs="Arial" w:eastAsia="Arial" w:hAnsi="Arial"/>
          <w:sz w:val="14"/>
          <w:szCs w:val="14"/>
          <w:color w:val="auto"/>
        </w:rPr>
        <w:t>. In the event that the Firm Shares or Option Shares to which the default relates are to be purchased by the non-defaulting Underwriters, or are to be purchased by another party or parties as aforesaid, you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for the Underwriter may thereby be made necessary. The term “Underwriter” as used in this Agreement shall include any party substituted under this Section 6 with like effect as if it had originally been a party to this Agreement with respect to such Ordinary Shares.</w:t>
      </w:r>
    </w:p>
    <w:p>
      <w:pPr>
        <w:spacing w:after="0" w:line="142" w:lineRule="exact"/>
        <w:rPr>
          <w:sz w:val="20"/>
          <w:szCs w:val="20"/>
          <w:color w:val="auto"/>
        </w:rPr>
      </w:pPr>
    </w:p>
    <w:p>
      <w:pPr>
        <w:ind w:left="564" w:hanging="564"/>
        <w:spacing w:after="0"/>
        <w:tabs>
          <w:tab w:leader="none" w:pos="56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Additional Covenants</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5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ensure that: (i) the qualifications of the persons serving as members of the Board of Directors and the overall composition of the Board comply with the Sarbanes-Oxley Act, with the Exchange Act, the Israel Companies Law, and with the listing rules of the Exchange or any other national securities exchange, as the case may be, in the event the Company seeks to have its Public Securities listed on another exchange or quoted on an automated quotation system, (ii) if applicable, at least one member of the Audit Committee of the Board of Directors qualifies as an “audit committee financial expert,” as such term is defined under Regulation S-K and the listing rules of the Exchange; and (iii) each of the persons to be appointed as “external directors” under the Israeli Companies Law shall be qualified to serve as an external director.</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57" w:name="page158"/>
    <w:bookmarkEnd w:id="157"/>
    <w:p>
      <w:pPr>
        <w:ind w:left="584"/>
        <w:spacing w:after="0"/>
        <w:tabs>
          <w:tab w:leader="none" w:pos="1204"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u w:val="single" w:color="auto"/>
          <w:color w:val="auto"/>
        </w:rPr>
        <w:t>Prohibition on Press Releases and Public Announcements</w:t>
      </w:r>
      <w:r>
        <w:rPr>
          <w:rFonts w:ascii="Arial" w:cs="Arial" w:eastAsia="Arial" w:hAnsi="Arial"/>
          <w:sz w:val="14"/>
          <w:szCs w:val="14"/>
          <w:color w:val="auto"/>
        </w:rPr>
        <w:t>. The Company shall not issue press releases or engage in any other publicity, without the</w:t>
      </w:r>
    </w:p>
    <w:p>
      <w:pPr>
        <w:spacing w:after="0" w:line="21" w:lineRule="exact"/>
        <w:rPr>
          <w:sz w:val="20"/>
          <w:szCs w:val="20"/>
          <w:color w:val="auto"/>
        </w:rPr>
      </w:pPr>
    </w:p>
    <w:p>
      <w:pPr>
        <w:ind w:left="4" w:right="140"/>
        <w:spacing w:after="0" w:line="220" w:lineRule="auto"/>
        <w:rPr>
          <w:sz w:val="20"/>
          <w:szCs w:val="20"/>
          <w:color w:val="auto"/>
        </w:rPr>
      </w:pPr>
      <w:r>
        <w:rPr>
          <w:rFonts w:ascii="Arial" w:cs="Arial" w:eastAsia="Arial" w:hAnsi="Arial"/>
          <w:sz w:val="16"/>
          <w:szCs w:val="16"/>
          <w:color w:val="auto"/>
        </w:rPr>
        <w:t>Representative’s prior written consent, for a period ending at 5:00 p.m., Eastern time, on the first (1</w:t>
      </w:r>
      <w:r>
        <w:rPr>
          <w:rFonts w:ascii="Arial" w:cs="Arial" w:eastAsia="Arial" w:hAnsi="Arial"/>
          <w:sz w:val="26"/>
          <w:szCs w:val="26"/>
          <w:color w:val="auto"/>
          <w:vertAlign w:val="superscript"/>
        </w:rPr>
        <w:t>st</w:t>
      </w:r>
      <w:r>
        <w:rPr>
          <w:rFonts w:ascii="Arial" w:cs="Arial" w:eastAsia="Arial" w:hAnsi="Arial"/>
          <w:sz w:val="16"/>
          <w:szCs w:val="16"/>
          <w:color w:val="auto"/>
        </w:rPr>
        <w:t>) Business Day following the forty-fifth (45</w:t>
      </w:r>
      <w:r>
        <w:rPr>
          <w:rFonts w:ascii="Arial" w:cs="Arial" w:eastAsia="Arial" w:hAnsi="Arial"/>
          <w:sz w:val="26"/>
          <w:szCs w:val="26"/>
          <w:color w:val="auto"/>
          <w:vertAlign w:val="superscript"/>
        </w:rPr>
        <w:t>th</w:t>
      </w:r>
      <w:r>
        <w:rPr>
          <w:rFonts w:ascii="Arial" w:cs="Arial" w:eastAsia="Arial" w:hAnsi="Arial"/>
          <w:sz w:val="16"/>
          <w:szCs w:val="16"/>
          <w:color w:val="auto"/>
        </w:rPr>
        <w:t>) day after the Closing Date, other than normal and customary releases issued in the ordinary course of the Company’s business or if in the judgment of the Company and its counsel, and after notification to the Representative, such press release or communication is required by law.</w:t>
      </w:r>
    </w:p>
    <w:p>
      <w:pPr>
        <w:spacing w:after="0" w:line="181" w:lineRule="exact"/>
        <w:rPr>
          <w:sz w:val="20"/>
          <w:szCs w:val="20"/>
          <w:color w:val="auto"/>
        </w:rPr>
      </w:pPr>
    </w:p>
    <w:p>
      <w:pPr>
        <w:jc w:val="both"/>
        <w:ind w:left="4" w:firstLine="577"/>
        <w:spacing w:after="0" w:line="270"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Right of First Refusal</w:t>
      </w:r>
      <w:r>
        <w:rPr>
          <w:rFonts w:ascii="Arial" w:cs="Arial" w:eastAsia="Arial" w:hAnsi="Arial"/>
          <w:sz w:val="15"/>
          <w:szCs w:val="15"/>
          <w:color w:val="auto"/>
        </w:rPr>
        <w:t>. Provided that the Firm Shares are sold in accordance with the terms of this Agreement, the Representative shall have an irrevocable right of first refusal (the “Right of First Refusal”), for a period of six (6) months after the date the Offering is completed, to act as lead or managing underwriter on the Representative’s customary terms and conditions, in the event the Company or any Subsidiary retains or otherwise uses (or seeks to retain or use) the services of an investment bank or similar financial advisor to pursue a registered, underwritten public offering of securities (in addition to the Offering) (a “Subject Transaction”). 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provided that any such election by the Representative shall not adversely affect the Representative’s Right of First Refusal with respect to any other Subject Transaction. The terms and conditions of any such engagements shall be set forth in separate agreements and may be subject to, among other things, satisfactory completion of due diligence by the Representative, market conditions, the absence of a material adverse change to the Company’s business, financial condition and prospects, approval of the Representative’s internal committee and any other conditions that the Representative may deem appropriate for transactions of such nature. Notwithstanding the foregoing, in the event the Subject Transaction involves a public sale of securities, the Representative shall be entitled to receive as its compensation at least [33% of the compensation payable to the underwriting or placement agent group when serving as co-manager and at least 25% of the compensation payable to the underwriting group when serving as co-manager or co-placement agent with respect to a proposed financing in which there are three co-managing or lead underwriters or co-placement agents.</w:t>
      </w:r>
    </w:p>
    <w:p>
      <w:pPr>
        <w:spacing w:after="0" w:line="165" w:lineRule="exact"/>
        <w:rPr>
          <w:sz w:val="20"/>
          <w:szCs w:val="20"/>
          <w:color w:val="auto"/>
        </w:rPr>
      </w:pPr>
    </w:p>
    <w:p>
      <w:pPr>
        <w:ind w:left="564" w:hanging="564"/>
        <w:spacing w:after="0"/>
        <w:tabs>
          <w:tab w:leader="none" w:pos="564"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Effective Date of this Agreement and Termination Thereof</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shall become effective when both the Company and the Representative have executed the same and delivered counterparts of such signatures to the other party.</w:t>
      </w:r>
    </w:p>
    <w:p>
      <w:pPr>
        <w:spacing w:after="0" w:line="152" w:lineRule="exact"/>
        <w:rPr>
          <w:sz w:val="20"/>
          <w:szCs w:val="20"/>
          <w:color w:val="auto"/>
        </w:rPr>
      </w:pPr>
    </w:p>
    <w:p>
      <w:pPr>
        <w:jc w:val="both"/>
        <w:ind w:left="4" w:right="20" w:firstLine="577"/>
        <w:spacing w:after="0" w:line="289"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Termination</w:t>
      </w:r>
      <w:r>
        <w:rPr>
          <w:rFonts w:ascii="Arial" w:cs="Arial" w:eastAsia="Arial" w:hAnsi="Arial"/>
          <w:sz w:val="14"/>
          <w:szCs w:val="14"/>
          <w:color w:val="auto"/>
        </w:rPr>
        <w:t>. The Representative shall have the right to terminate this Agreement at any time prior to any Closing Date, (i) if any domestic or international event or act or occurrence has materially disrupted, or in your opinion will in the immediate future materially disrupt, general securities markets in the United States; or (ii) if trading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left="4" w:hanging="4"/>
        <w:spacing w:after="0" w:line="298" w:lineRule="auto"/>
        <w:tabs>
          <w:tab w:leader="none" w:pos="28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if the Company shall have sustained a material loss by fire, flood, accident, hurricane, earthquake, theft, sabotage or other calamity or malicious act which, whether or not such loss shall have been insured, will, in your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judgment would make it impracticable to proceed with the offering, sale and/or delivery of the Public Securities or to enforce contracts made by the Underwriters for the sale of the Public Securities.</w:t>
      </w:r>
    </w:p>
    <w:p>
      <w:pPr>
        <w:spacing w:after="0" w:line="333" w:lineRule="exact"/>
        <w:rPr>
          <w:rFonts w:ascii="Arial" w:cs="Arial" w:eastAsia="Arial" w:hAnsi="Arial"/>
          <w:sz w:val="14"/>
          <w:szCs w:val="14"/>
          <w:color w:val="auto"/>
        </w:rPr>
      </w:pPr>
    </w:p>
    <w:p>
      <w:pPr>
        <w:ind w:left="5644" w:hanging="99"/>
        <w:spacing w:after="0"/>
        <w:tabs>
          <w:tab w:leader="none" w:pos="56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58" w:name="page159"/>
    <w:bookmarkEnd w:id="158"/>
    <w:p>
      <w:pPr>
        <w:ind w:left="4" w:right="160" w:firstLine="577"/>
        <w:spacing w:after="0" w:line="297"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Expenses</w:t>
      </w:r>
      <w:r>
        <w:rPr>
          <w:rFonts w:ascii="Arial" w:cs="Arial" w:eastAsia="Arial" w:hAnsi="Arial"/>
          <w:sz w:val="14"/>
          <w:szCs w:val="14"/>
          <w:color w:val="auto"/>
        </w:rPr>
        <w:t>. Notwithstanding anything to the contrary in this Agreement, except in the case of a default by the Underwriters, pursuant to Section 6.2 above, in the event that this Agreement shall not be carried out for any reason whatsoever, within the time specified herein or any extensions thereof pursuant to the terms herein, the Company shall be obligated to pay to the Underwriters their actual and accountable out-of-pocket expenses related to the transactions contemplated herein then due and payable (including the fees and disbursements of Representative Counsel) up to $100,000, inclusive of the $50,000 advance for non-accountable expenses previously paid by the Company to the Representative and upon demand the Company shall pay the full amount thereof to the Representative on behalf of the Underwriters; provided, however, that such expense cap in no way limits or impairs the indemnification and contribution provisions of this Agreement. Notwithstanding the foregoing, any advance received by the Representative will be reimbursed to the Company to the extent not actually incurred in compliance with FINRA Rule 5110(f)(2)(C).</w:t>
      </w:r>
    </w:p>
    <w:p>
      <w:pPr>
        <w:spacing w:after="0" w:line="143"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Indemnification</w:t>
      </w:r>
      <w:r>
        <w:rPr>
          <w:rFonts w:ascii="Arial" w:cs="Arial" w:eastAsia="Arial" w:hAnsi="Arial"/>
          <w:sz w:val="16"/>
          <w:szCs w:val="16"/>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62" w:lineRule="exact"/>
        <w:rPr>
          <w:sz w:val="20"/>
          <w:szCs w:val="20"/>
          <w:color w:val="auto"/>
        </w:rPr>
      </w:pPr>
    </w:p>
    <w:p>
      <w:pPr>
        <w:jc w:val="both"/>
        <w:ind w:left="4" w:firstLine="577"/>
        <w:spacing w:after="0" w:line="25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Representations, Warranties, Agreements to Survive</w:t>
      </w:r>
      <w:r>
        <w:rPr>
          <w:rFonts w:ascii="Arial" w:cs="Arial" w:eastAsia="Arial" w:hAnsi="Arial"/>
          <w:sz w:val="16"/>
          <w:szCs w:val="16"/>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Public Securities.</w:t>
      </w:r>
    </w:p>
    <w:p>
      <w:pPr>
        <w:spacing w:after="0" w:line="167" w:lineRule="exact"/>
        <w:rPr>
          <w:sz w:val="20"/>
          <w:szCs w:val="20"/>
          <w:color w:val="auto"/>
        </w:rPr>
      </w:pPr>
    </w:p>
    <w:p>
      <w:pPr>
        <w:ind w:left="524" w:hanging="524"/>
        <w:spacing w:after="0"/>
        <w:tabs>
          <w:tab w:leader="none" w:pos="524"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162"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to the Representative:</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Aegis Capital Corp.</w:t>
      </w:r>
    </w:p>
    <w:p>
      <w:pPr>
        <w:ind w:left="584"/>
        <w:spacing w:after="0" w:line="201" w:lineRule="auto"/>
        <w:rPr>
          <w:sz w:val="20"/>
          <w:szCs w:val="20"/>
          <w:color w:val="auto"/>
        </w:rPr>
      </w:pPr>
      <w:r>
        <w:rPr>
          <w:rFonts w:ascii="Arial" w:cs="Arial" w:eastAsia="Arial" w:hAnsi="Arial"/>
          <w:sz w:val="16"/>
          <w:szCs w:val="16"/>
          <w:color w:val="auto"/>
        </w:rPr>
        <w:t>810 Seventh Avenue,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584"/>
        <w:spacing w:after="0"/>
        <w:rPr>
          <w:sz w:val="20"/>
          <w:szCs w:val="20"/>
          <w:color w:val="auto"/>
        </w:rPr>
      </w:pPr>
      <w:r>
        <w:rPr>
          <w:rFonts w:ascii="Arial" w:cs="Arial" w:eastAsia="Arial" w:hAnsi="Arial"/>
          <w:sz w:val="16"/>
          <w:szCs w:val="16"/>
          <w:color w:val="auto"/>
        </w:rPr>
        <w:t>New York, New York 10019</w:t>
      </w:r>
    </w:p>
    <w:p>
      <w:pPr>
        <w:spacing w:after="0" w:line="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Attn: Mr. David Bocchi, Managing Director of Investment Banking</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212-813-1047</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with a copy (which shall not constitute notice) to:</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59" w:name="page160"/>
    <w:bookmarkEnd w:id="159"/>
    <w:p>
      <w:pPr>
        <w:ind w:left="560"/>
        <w:spacing w:after="0"/>
        <w:rPr>
          <w:sz w:val="20"/>
          <w:szCs w:val="20"/>
          <w:color w:val="auto"/>
        </w:rPr>
      </w:pPr>
      <w:r>
        <w:rPr>
          <w:rFonts w:ascii="Arial" w:cs="Arial" w:eastAsia="Arial" w:hAnsi="Arial"/>
          <w:sz w:val="16"/>
          <w:szCs w:val="16"/>
          <w:color w:val="auto"/>
        </w:rPr>
        <w:t>Troutman Sanders LLP</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Chrysler Building</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405 Lexington Avenue</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 York, New York 10174</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Attn: Henry I. Rothman</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Fax No.: 212-704-6288</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 to:</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Yigal Arnon &amp; Co.</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22 Rivlin Street</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Jerusalem 94263 Israel</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Attention: Barry Levenfeld, Adv.</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Fax No.: + 972-2-623-9236</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Company:</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Alcobra Ltd.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65 Rothschild Blvd.</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Tel Aviv 65785 Israel</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Attention: Dr. Yaron Daniely</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Fax No: 011-972-72-220-4664</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ZAG/S&amp;W LLP</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1633 Broadway</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 York, NY 10019</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Attention: Edwin L. Miller Jr.</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Fax No: 617-338-2880</w:t>
      </w:r>
    </w:p>
    <w:p>
      <w:pPr>
        <w:spacing w:after="0" w:line="188"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herein are for the sole purpose of convenience of reference, and shall not in any way limit or affect the meaning or interpretation of any of the terms or provisions of this Agreement.</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only be amended by a written instrument executed by each of the parties hereto.</w:t>
      </w:r>
    </w:p>
    <w:p>
      <w:pPr>
        <w:spacing w:after="0" w:line="200" w:lineRule="exact"/>
        <w:rPr>
          <w:sz w:val="20"/>
          <w:szCs w:val="20"/>
          <w:color w:val="auto"/>
        </w:rPr>
      </w:pPr>
    </w:p>
    <w:p>
      <w:pPr>
        <w:jc w:val="both"/>
        <w:ind w:firstLine="577"/>
        <w:spacing w:after="0" w:line="308"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(together with the other agreements and documents being delivered pursuant to or in connection with this Agreement) constitutes the entire agreement of the parties hereto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hereto that all other terms and conditions of that certain engagement letter between the Company and Aegis Capital Corp., dated October 31, 2012, shall remain in full force and effect.</w:t>
      </w:r>
    </w:p>
    <w:p>
      <w:pPr>
        <w:spacing w:after="0" w:line="135"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inure solely to the benefit of and shall be binding upon the Representative, the Underwriters, the Company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0" w:name="page161"/>
    <w:bookmarkEnd w:id="160"/>
    <w:p>
      <w:pPr>
        <w:ind w:firstLine="577"/>
        <w:spacing w:after="0" w:line="277"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New York, without giving effect to conflict of laws principles thereof that would defer to the substantive laws of another jurisdiction.</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4"/>
          <w:szCs w:val="14"/>
          <w:u w:val="single" w:color="auto"/>
          <w:color w:val="auto"/>
        </w:rPr>
        <w:t>Agent for Service, Submission to Jurisdiction; Trial by Jury; waiver of Immunities.</w:t>
      </w:r>
    </w:p>
    <w:p>
      <w:pPr>
        <w:spacing w:after="0" w:line="200" w:lineRule="exact"/>
        <w:rPr>
          <w:sz w:val="20"/>
          <w:szCs w:val="20"/>
          <w:color w:val="auto"/>
        </w:rPr>
      </w:pPr>
    </w:p>
    <w:p>
      <w:pPr>
        <w:ind w:firstLine="1153"/>
        <w:spacing w:after="0" w:line="289" w:lineRule="auto"/>
        <w:rPr>
          <w:sz w:val="20"/>
          <w:szCs w:val="20"/>
          <w:color w:val="auto"/>
        </w:rPr>
      </w:pPr>
      <w:r>
        <w:rPr>
          <w:rFonts w:ascii="Arial" w:cs="Arial" w:eastAsia="Arial" w:hAnsi="Arial"/>
          <w:sz w:val="14"/>
          <w:szCs w:val="14"/>
          <w:color w:val="auto"/>
        </w:rPr>
        <w:t>9.7.1. By the execution and delivery of this Agreement, the Company hereby irrevocably designates and appoints Zysman, Aharoni, Gayer &amp; Sullivan &amp; Worcester LLP, 1633 Broadway, New York, NY 10019 as its authorized agent upon whom process may be served in any suit, proceeding or other action against it instituted by any Underwriter or by any person controlling an Underwriter as to which such Underwriter or any such controlling person is a party and based upon this Agreement, or in any other action against the Company in the New York Supreme Court, County of New York and the United States District Court for the Southern District of New York, arising out of the offering made by the Prospectus or any purchase or sale of Public Securities in connection therewith. The Company expressly accepts jurisdiction of any such court in respect of any such suit, proceeding or other action and, without limiting other methods of obtaining jurisdiction, expressly submits to nonexclusive personal jurisdiction of any such court in respect of any such suit, proceeding or other action. Such designation and appointment shall be irrevocable, unless and until a successor authorized agent in the County and State of New York reasonably acceptable to the Representative shall have been appointed by the Company, such successor shall have accepted such appointment and written notice thereof shall have been given to the Underwriters. The Company further agrees that service of process upon its authorized agent or successor shall be deemed in every respect personal service of process upon the Company in any such suit, proceeding or other action. In the event that service of any process or notice of motion or other application to any such court in connection with any such motion in connection with any such action or proceeding cannot be made in the manner described above, such service may be made in the manner set forth in conformance with the Hague Convention on the Service Abroad of Judicial and Extrajudicial Documents on Civil and Commercial Matters or any successor convention or treaty. The Company hereby irrevocably waives any objection that it may have or hereafter have to the laying of venue of any such action or proceeding arising out of or based on the Public Shares, or this Agreement or otherwise relating to the offering, issuance and sale of the Public Shares in any Federal or state court sitting in the County of New York and hereby further irrevocably waives any claim that any such action or proceeding in any such court has been brought in an inconvenient forum. The Company agrees that any final judgment after exhaustion of all appeals or the expiration of time to appeal in any such action or proceeding arising out of the sale of the Shares or this Agreement rendered by any such Federal court or state court shall be conclusive and may be enforced in any other jurisdiction by suit on the judgment or in any other manner provided by law. Nothing contained in this Agreement shall affect or limit the right of the Underwriters or any person controlling an Underwriter to serve any process or notice of motion or other application in any other manner permitted by law or limit or affect the right of the Underwriters or any person controlling an Underwriter to bring any action or proceeding against the Company or any of its properties in the courts of any other jurisdiction. The Company further agrees to take any and all action, including the execution and filing of all such instruments and documents, as may be necessary to continue such designations and appointments or such substitute designations and appointments in full force and effect. The Company hereby agrees with the Underwriters to the nonexclusive jurisdiction of the New York Supreme Court, County of New York or the United States District Court for the Southern District of New York in connection with any action or proceeding arising from the sale of the Public Shares or this Agreement brought by the Company, the Underwriters or any person controlling an Underwriter.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1" w:name="page162"/>
    <w:bookmarkEnd w:id="161"/>
    <w:p>
      <w:pPr>
        <w:ind w:right="20" w:firstLine="1153"/>
        <w:spacing w:after="0" w:line="271" w:lineRule="auto"/>
        <w:rPr>
          <w:sz w:val="20"/>
          <w:szCs w:val="20"/>
          <w:color w:val="auto"/>
        </w:rPr>
      </w:pPr>
      <w:r>
        <w:rPr>
          <w:rFonts w:ascii="Arial" w:cs="Arial" w:eastAsia="Arial" w:hAnsi="Arial"/>
          <w:sz w:val="15"/>
          <w:szCs w:val="15"/>
          <w:color w:val="auto"/>
        </w:rPr>
        <w:t>9.7.2. The Company agrees that in any suit (whether in a court in the United States, Israel or elsewhere) seeking enforcement of this Agreement or provisions of this Agreement (i) if the plaintiffs therein seek a judgment in either United States dollars or Israeli currency, subject to Israeli foreign currency control regulations, the Company will not interpose any defense or objection to or otherwise oppose judgment, if any, being awarded in such currencies except to the extent that such a judgment would violate the laws of the State of Israel, and (ii) if the plaintiffs therein seek to have any judgment (or any aspect thereof) awarded in New Israeli Shekels linked, for the period from entry of such judgment until actual payment thereof in full has been made, to either or both of the consumer price index of Israel or changes in the New Israeli Shekel-United States dollar exchange rate, the Company will not interpose any defense or objection to or otherwise oppose inclusion of such linkage in any such judgment except to the extent that such a judgment would violate the laws of the State of Israel. The Company agrees that it will not initiate or seek to initiate any action, suit or proceeding, in Israel or in any other jurisdiction other than in the United States, seeking damages in respect of or for the purpose of obtaining any injunction or declaratory judgment against the enforcement of, or a declaratory judgment concerning any alleged breach by the Company or other claim by the Underwriters, or any person controlling an Underwriter in respect of this Agreement or any of the Underwriters’ rights under this Agreement, including without limitation any action, suit or proceeding challenging the enforceability of or seeking to invalidate in any respect the submission by the Company hereunder to the jurisdiction of the courts or the designation of the laws as the law applicable to this Agreement, in each case as set forth herein.</w:t>
      </w:r>
    </w:p>
    <w:p>
      <w:pPr>
        <w:spacing w:after="0" w:line="161" w:lineRule="exact"/>
        <w:rPr>
          <w:sz w:val="20"/>
          <w:szCs w:val="20"/>
          <w:color w:val="auto"/>
        </w:rPr>
      </w:pPr>
    </w:p>
    <w:p>
      <w:pPr>
        <w:ind w:right="240" w:firstLine="1153"/>
        <w:spacing w:after="0" w:line="297" w:lineRule="auto"/>
        <w:rPr>
          <w:sz w:val="20"/>
          <w:szCs w:val="20"/>
          <w:color w:val="auto"/>
        </w:rPr>
      </w:pPr>
      <w:r>
        <w:rPr>
          <w:rFonts w:ascii="Arial" w:cs="Arial" w:eastAsia="Arial" w:hAnsi="Arial"/>
          <w:sz w:val="14"/>
          <w:szCs w:val="14"/>
          <w:color w:val="auto"/>
        </w:rPr>
        <w:t>9.7.3. The Company agrees that if any payment of any sum due under this Agreement from the Company is made to or received by the Underwriters or any controlling person of any Underwriter in a currency other than freely transferable United States dollars, whether by judicial judgment or otherwise, the obligations of the Company under this Agreement shall be discharged only to the extent of the net amount of freely transferable United States dollars that the Underwriters or such controlling persons, as the case may be, in accordance with normal bank procedures, are able to lawfully purchase with such amount of such other currency. To the extent that the Underwriters or such controlling persons are not able to purchase sufficient United States dollars with such amount of such other currency to discharge the obligations of the Company to the Underwriters or such controlling persons, the obligations of the Company shall not be discharged with respect to such difference, and any such undischarged amount will be due as a separate obligation and shall not be affected by payment of or judgment being obtained for any other sums due under or in respect of this Agreement.</w:t>
      </w:r>
    </w:p>
    <w:p>
      <w:pPr>
        <w:spacing w:after="0" w:line="143"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167" w:lineRule="exact"/>
        <w:rPr>
          <w:sz w:val="20"/>
          <w:szCs w:val="20"/>
          <w:color w:val="auto"/>
        </w:rPr>
      </w:pPr>
    </w:p>
    <w:p>
      <w:pPr>
        <w:jc w:val="both"/>
        <w:ind w:firstLine="577"/>
        <w:spacing w:after="0" w:line="278" w:lineRule="auto"/>
        <w:rPr>
          <w:sz w:val="20"/>
          <w:szCs w:val="20"/>
          <w:color w:val="auto"/>
        </w:rPr>
      </w:pPr>
      <w:r>
        <w:rPr>
          <w:rFonts w:ascii="Arial" w:cs="Arial" w:eastAsia="Arial" w:hAnsi="Arial"/>
          <w:sz w:val="15"/>
          <w:szCs w:val="15"/>
          <w:color w:val="auto"/>
        </w:rPr>
        <w:t xml:space="preserve">9.9 </w:t>
      </w:r>
      <w:r>
        <w:rPr>
          <w:rFonts w:ascii="Arial" w:cs="Arial" w:eastAsia="Arial" w:hAnsi="Arial"/>
          <w:sz w:val="15"/>
          <w:szCs w:val="15"/>
          <w:u w:val="single" w:color="auto"/>
          <w:color w:val="auto"/>
        </w:rPr>
        <w:t>Waiver, etc</w:t>
      </w:r>
      <w:r>
        <w:rPr>
          <w:rFonts w:ascii="Arial" w:cs="Arial" w:eastAsia="Arial" w:hAnsi="Arial"/>
          <w:sz w:val="15"/>
          <w:szCs w:val="15"/>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4"/>
          <w:szCs w:val="14"/>
          <w:color w:val="auto"/>
        </w:rPr>
        <w:t>[Signature Page Follows]</w:t>
      </w:r>
    </w:p>
    <w:p>
      <w:pPr>
        <w:sectPr>
          <w:pgSz w:w="11900" w:h="16838" w:orient="portrait"/>
          <w:cols w:equalWidth="0" w:num="1">
            <w:col w:w="9019"/>
          </w:cols>
          <w:pgMar w:left="1440" w:top="800"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type w:val="continuous"/>
        </w:sectPr>
      </w:pPr>
    </w:p>
    <w:bookmarkStart w:id="163" w:name="page164"/>
    <w:bookmarkEnd w:id="163"/>
    <w:p>
      <w:pPr>
        <w:ind w:firstLine="577"/>
        <w:spacing w:after="0" w:line="277" w:lineRule="auto"/>
        <w:rPr>
          <w:sz w:val="20"/>
          <w:szCs w:val="20"/>
          <w:color w:val="auto"/>
        </w:rPr>
      </w:pPr>
      <w:r>
        <w:rPr>
          <w:rFonts w:ascii="Arial" w:cs="Arial" w:eastAsia="Arial" w:hAnsi="Arial"/>
          <w:sz w:val="16"/>
          <w:szCs w:val="16"/>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-116205</wp:posOffset>
            </wp:positionV>
            <wp:extent cx="333311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33115" cy="762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Confirmed as of the date first written above mentioned, on behalf of itself and as Representative of the several Underwriters named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AEGIS CAPITAL CORP.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-116205</wp:posOffset>
            </wp:positionV>
            <wp:extent cx="333311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33115" cy="76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IGNATURE</w:t>
      </w:r>
      <w:r>
        <w:rPr>
          <w:rFonts w:ascii="Arial" w:cs="Arial" w:eastAsia="Arial" w:hAnsi="Arial"/>
          <w:sz w:val="16"/>
          <w:szCs w:val="16"/>
          <w:color w:val="auto"/>
        </w:rPr>
        <w:t xml:space="preserve"> P</w:t>
      </w:r>
      <w:r>
        <w:rPr>
          <w:rFonts w:ascii="Arial" w:cs="Arial" w:eastAsia="Arial" w:hAnsi="Arial"/>
          <w:sz w:val="10"/>
          <w:szCs w:val="10"/>
          <w:color w:val="auto"/>
        </w:rPr>
        <w:t>AGE</w:t>
      </w:r>
      <w:r>
        <w:rPr>
          <w:rFonts w:ascii="Arial" w:cs="Arial" w:eastAsia="Arial" w:hAnsi="Arial"/>
          <w:sz w:val="16"/>
          <w:szCs w:val="16"/>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[COMPANY] – U</w:t>
      </w:r>
      <w:r>
        <w:rPr>
          <w:rFonts w:ascii="Arial" w:cs="Arial" w:eastAsia="Arial" w:hAnsi="Arial"/>
          <w:sz w:val="10"/>
          <w:szCs w:val="10"/>
          <w:color w:val="auto"/>
        </w:rPr>
        <w:t>NDERWRITING</w:t>
      </w:r>
      <w:r>
        <w:rPr>
          <w:rFonts w:ascii="Arial" w:cs="Arial" w:eastAsia="Arial" w:hAnsi="Arial"/>
          <w:sz w:val="16"/>
          <w:szCs w:val="16"/>
          <w:color w:val="auto"/>
        </w:rPr>
        <w:t xml:space="preserve"> A</w:t>
      </w:r>
      <w:r>
        <w:rPr>
          <w:rFonts w:ascii="Arial" w:cs="Arial" w:eastAsia="Arial" w:hAnsi="Arial"/>
          <w:sz w:val="10"/>
          <w:szCs w:val="10"/>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618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4" w:name="page165"/>
    <w:bookmarkEnd w:id="164"/>
    <w:tbl>
      <w:tblPr>
        <w:tblLayout w:type="fixed"/>
        <w:tblInd w:w="156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SCHEDULE 1</w:t>
            </w:r>
          </w:p>
        </w:tc>
        <w:tc>
          <w:tcPr>
            <w:tcW w:w="4020" w:type="dxa"/>
            <w:vAlign w:val="bottom"/>
          </w:tcPr>
          <w:p>
            <w:pPr>
              <w:spacing w:after="0"/>
              <w:rPr>
                <w:sz w:val="16"/>
                <w:szCs w:val="16"/>
                <w:color w:val="auto"/>
              </w:rPr>
            </w:pPr>
          </w:p>
        </w:tc>
      </w:tr>
      <w:tr>
        <w:trPr>
          <w:trHeight w:val="388"/>
        </w:trPr>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020" w:type="dxa"/>
            <w:vAlign w:val="bottom"/>
          </w:tcPr>
          <w:p>
            <w:pPr>
              <w:jc w:val="center"/>
              <w:ind w:left="460"/>
              <w:spacing w:after="0"/>
              <w:rPr>
                <w:sz w:val="20"/>
                <w:szCs w:val="20"/>
                <w:color w:val="auto"/>
              </w:rPr>
            </w:pPr>
            <w:r>
              <w:rPr>
                <w:rFonts w:ascii="Arial" w:cs="Arial" w:eastAsia="Arial" w:hAnsi="Arial"/>
                <w:sz w:val="16"/>
                <w:szCs w:val="16"/>
                <w:color w:val="auto"/>
                <w:w w:val="91"/>
              </w:rPr>
              <w:t>Number of Additional Shares</w:t>
            </w:r>
          </w:p>
        </w:tc>
      </w:tr>
      <w:tr>
        <w:trPr>
          <w:trHeight w:val="192"/>
        </w:trPr>
        <w:tc>
          <w:tcPr>
            <w:tcW w:w="2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80" w:type="dxa"/>
            <w:vAlign w:val="bottom"/>
            <w:gridSpan w:val="2"/>
          </w:tcPr>
          <w:p>
            <w:pPr>
              <w:jc w:val="center"/>
              <w:ind w:right="880"/>
              <w:spacing w:after="0"/>
              <w:rPr>
                <w:sz w:val="20"/>
                <w:szCs w:val="20"/>
                <w:color w:val="auto"/>
              </w:rPr>
            </w:pPr>
            <w:r>
              <w:rPr>
                <w:rFonts w:ascii="Arial" w:cs="Arial" w:eastAsia="Arial" w:hAnsi="Arial"/>
                <w:sz w:val="16"/>
                <w:szCs w:val="16"/>
                <w:color w:val="auto"/>
                <w:w w:val="94"/>
              </w:rPr>
              <w:t>Total Number of</w:t>
            </w:r>
          </w:p>
        </w:tc>
        <w:tc>
          <w:tcPr>
            <w:tcW w:w="4020" w:type="dxa"/>
            <w:vAlign w:val="bottom"/>
          </w:tcPr>
          <w:p>
            <w:pPr>
              <w:jc w:val="center"/>
              <w:ind w:left="480"/>
              <w:spacing w:after="0"/>
              <w:rPr>
                <w:sz w:val="20"/>
                <w:szCs w:val="20"/>
                <w:color w:val="auto"/>
              </w:rPr>
            </w:pPr>
            <w:r>
              <w:rPr>
                <w:rFonts w:ascii="Arial" w:cs="Arial" w:eastAsia="Arial" w:hAnsi="Arial"/>
                <w:sz w:val="16"/>
                <w:szCs w:val="16"/>
                <w:color w:val="auto"/>
                <w:w w:val="92"/>
              </w:rPr>
              <w:t>to be Purchased if the Over-Allotment Option is Fully</w:t>
            </w:r>
          </w:p>
        </w:tc>
      </w:tr>
      <w:tr>
        <w:trPr>
          <w:trHeight w:val="205"/>
        </w:trPr>
        <w:tc>
          <w:tcPr>
            <w:tcW w:w="2060" w:type="dxa"/>
            <w:vAlign w:val="bottom"/>
          </w:tcPr>
          <w:p>
            <w:pPr>
              <w:spacing w:after="0"/>
              <w:rPr>
                <w:sz w:val="20"/>
                <w:szCs w:val="20"/>
                <w:color w:val="auto"/>
              </w:rPr>
            </w:pPr>
            <w:r>
              <w:rPr>
                <w:rFonts w:ascii="Arial" w:cs="Arial" w:eastAsia="Arial" w:hAnsi="Arial"/>
                <w:sz w:val="16"/>
                <w:szCs w:val="16"/>
                <w:color w:val="auto"/>
              </w:rPr>
              <w:t>Underwriter</w:t>
            </w:r>
          </w:p>
        </w:tc>
        <w:tc>
          <w:tcPr>
            <w:tcW w:w="3700" w:type="dxa"/>
            <w:vAlign w:val="bottom"/>
            <w:gridSpan w:val="3"/>
          </w:tcPr>
          <w:p>
            <w:pPr>
              <w:jc w:val="center"/>
              <w:ind w:left="660"/>
              <w:spacing w:after="0"/>
              <w:rPr>
                <w:sz w:val="20"/>
                <w:szCs w:val="20"/>
                <w:color w:val="auto"/>
              </w:rPr>
            </w:pPr>
            <w:r>
              <w:rPr>
                <w:rFonts w:ascii="Arial" w:cs="Arial" w:eastAsia="Arial" w:hAnsi="Arial"/>
                <w:sz w:val="16"/>
                <w:szCs w:val="16"/>
                <w:color w:val="auto"/>
                <w:w w:val="88"/>
              </w:rPr>
              <w:t>Firm Shares to be Purchased</w:t>
            </w:r>
          </w:p>
        </w:tc>
        <w:tc>
          <w:tcPr>
            <w:tcW w:w="4020" w:type="dxa"/>
            <w:vAlign w:val="bottom"/>
          </w:tcPr>
          <w:p>
            <w:pPr>
              <w:jc w:val="center"/>
              <w:ind w:left="480"/>
              <w:spacing w:after="0"/>
              <w:rPr>
                <w:sz w:val="20"/>
                <w:szCs w:val="20"/>
                <w:color w:val="auto"/>
              </w:rPr>
            </w:pPr>
            <w:r>
              <w:rPr>
                <w:rFonts w:ascii="Arial" w:cs="Arial" w:eastAsia="Arial" w:hAnsi="Arial"/>
                <w:sz w:val="16"/>
                <w:szCs w:val="16"/>
                <w:color w:val="auto"/>
                <w:w w:val="88"/>
              </w:rPr>
              <w:t>Exercised</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261860" cy="1219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860" cy="1219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261860" cy="121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1219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7261860" cy="144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860" cy="14478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Sch. 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785" w:right="319" w:bottom="1440" w:gutter="0" w:footer="0" w:header="0"/>
        </w:sectPr>
      </w:pPr>
    </w:p>
    <w:bookmarkStart w:id="165" w:name="page166"/>
    <w:bookmarkEnd w:id="165"/>
    <w:p>
      <w:pPr>
        <w:jc w:val="center"/>
        <w:ind w:right="-1200"/>
        <w:spacing w:after="0"/>
        <w:rPr>
          <w:sz w:val="20"/>
          <w:szCs w:val="20"/>
          <w:color w:val="auto"/>
        </w:rPr>
      </w:pPr>
      <w:r>
        <w:rPr>
          <w:rFonts w:ascii="Arial" w:cs="Arial" w:eastAsia="Arial" w:hAnsi="Arial"/>
          <w:sz w:val="16"/>
          <w:szCs w:val="16"/>
          <w:color w:val="auto"/>
        </w:rPr>
        <w:t>SCHEDULE 2-A</w:t>
      </w:r>
    </w:p>
    <w:p>
      <w:pPr>
        <w:spacing w:after="0" w:line="20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Pricing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Number of Firm Shares: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Number of Option Shares: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Share: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 per Share: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Underwriting Non-accountable expense allowance per Share: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to Company per Share (before expenses): $[•]</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SCHEDULE 2-B</w:t>
      </w:r>
    </w:p>
    <w:p>
      <w:pPr>
        <w:spacing w:after="0" w:line="200" w:lineRule="exact"/>
        <w:rPr>
          <w:sz w:val="20"/>
          <w:szCs w:val="20"/>
          <w:color w:val="auto"/>
        </w:rPr>
      </w:pPr>
    </w:p>
    <w:p>
      <w:pPr>
        <w:jc w:val="right"/>
        <w:ind w:right="3039"/>
        <w:spacing w:after="0"/>
        <w:rPr>
          <w:sz w:val="20"/>
          <w:szCs w:val="20"/>
          <w:color w:val="auto"/>
        </w:rPr>
      </w:pPr>
      <w:r>
        <w:rPr>
          <w:rFonts w:ascii="Arial" w:cs="Arial" w:eastAsia="Arial" w:hAnsi="Arial"/>
          <w:sz w:val="16"/>
          <w:szCs w:val="16"/>
          <w:color w:val="auto"/>
        </w:rPr>
        <w:t>Issuer General Use Free Writing Prospectuses</w:t>
      </w:r>
    </w:p>
    <w:p>
      <w:pPr>
        <w:spacing w:after="0" w:line="200" w:lineRule="exact"/>
        <w:rPr>
          <w:sz w:val="20"/>
          <w:szCs w:val="20"/>
          <w:color w:val="auto"/>
        </w:rPr>
      </w:pPr>
    </w:p>
    <w:p>
      <w:pPr>
        <w:spacing w:after="0" w:line="38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Sch. 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00" w:right="1440"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16"/>
          <w:szCs w:val="16"/>
          <w:u w:val="single" w:color="auto"/>
          <w:color w:val="auto"/>
        </w:rPr>
        <w:t>SCHEDULE 3</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List of Lock-Up Parties</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 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13335</wp:posOffset>
            </wp:positionV>
            <wp:extent cx="72618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67" w:name="page168"/>
    <w:bookmarkEnd w:id="167"/>
    <w:p>
      <w:pPr>
        <w:jc w:val="center"/>
        <w:ind w:right="-3"/>
        <w:spacing w:after="0"/>
        <w:rPr>
          <w:sz w:val="20"/>
          <w:szCs w:val="20"/>
          <w:color w:val="auto"/>
        </w:rPr>
      </w:pPr>
      <w:r>
        <w:rPr>
          <w:rFonts w:ascii="Arial" w:cs="Arial" w:eastAsia="Arial" w:hAnsi="Arial"/>
          <w:sz w:val="16"/>
          <w:szCs w:val="16"/>
          <w:u w:val="single" w:color="auto"/>
          <w:color w:val="auto"/>
        </w:rPr>
        <w:t>EXHIBIT A</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Representative’s Warrant Agreement</w:t>
      </w:r>
    </w:p>
    <w:p>
      <w:pPr>
        <w:spacing w:after="0" w:line="200" w:lineRule="exact"/>
        <w:rPr>
          <w:sz w:val="20"/>
          <w:szCs w:val="20"/>
          <w:color w:val="auto"/>
        </w:rPr>
      </w:pPr>
    </w:p>
    <w:p>
      <w:pPr>
        <w:jc w:val="both"/>
        <w:ind w:left="4" w:firstLine="3"/>
        <w:spacing w:after="0" w:line="256" w:lineRule="auto"/>
        <w:rPr>
          <w:sz w:val="20"/>
          <w:szCs w:val="20"/>
          <w:color w:val="auto"/>
        </w:rPr>
      </w:pPr>
      <w:r>
        <w:rPr>
          <w:rFonts w:ascii="Arial" w:cs="Arial" w:eastAsia="Arial" w:hAnsi="Arial"/>
          <w:sz w:val="16"/>
          <w:szCs w:val="16"/>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EFFECTIVE DATE (DEFINED BELOW) TO ANYONE OTHER THAN (I) AEGIS CAPITAL CORP. OR AN UNDERWRITER OR A SELECTED DEALER IN CONNECTION WITH THE OFFERING, OR (II) A BONA FIDE OFFICER OR PARTNER OF AEGIS CAPITAL CORP. OR OF ANY SUCH UNDERWRITER OR SELECTED DEALER.</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ORDINARY SHARE PURCHASE WARRANT</w:t>
      </w:r>
    </w:p>
    <w:p>
      <w:pPr>
        <w:spacing w:after="0" w:line="200" w:lineRule="exact"/>
        <w:rPr>
          <w:sz w:val="20"/>
          <w:szCs w:val="20"/>
          <w:color w:val="auto"/>
        </w:rPr>
      </w:pPr>
    </w:p>
    <w:p>
      <w:pPr>
        <w:ind w:left="4284"/>
        <w:spacing w:after="0"/>
        <w:rPr>
          <w:sz w:val="20"/>
          <w:szCs w:val="20"/>
          <w:color w:val="auto"/>
        </w:rPr>
      </w:pPr>
      <w:r>
        <w:rPr>
          <w:rFonts w:ascii="Arial" w:cs="Arial" w:eastAsia="Arial" w:hAnsi="Arial"/>
          <w:sz w:val="16"/>
          <w:szCs w:val="16"/>
          <w:color w:val="auto"/>
        </w:rPr>
        <w:t>For the Purchase of [_____] Ordinary Shares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of</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jc w:val="both"/>
        <w:ind w:left="4" w:hanging="4"/>
        <w:spacing w:after="0" w:line="270" w:lineRule="auto"/>
        <w:tabs>
          <w:tab w:leader="none" w:pos="560"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Purchase Warrant</w:t>
      </w:r>
      <w:r>
        <w:rPr>
          <w:rFonts w:ascii="Arial" w:cs="Arial" w:eastAsia="Arial" w:hAnsi="Arial"/>
          <w:sz w:val="15"/>
          <w:szCs w:val="15"/>
          <w:color w:val="auto"/>
        </w:rPr>
        <w:t xml:space="preserve">. THIS CERTIFIES THAT, in consideration of funds duly paid by or on behalf of Aegis Capital Corp. (“Holder”), as registered owner of this Purchase Warrant, to Alcobra Ltd., a Israeli corporation (the “Company”), Holder is entitled, at any time or from time to time from time to time, in whole or in part, during a period commencing one year (the “First Anniversary”) from [_______________] [DATE THAT IS ONE YEAR FROM THE EFFECTIVE DATE OF THE OFFERING] (the “Commencement Date”) to subscribe for, purchase and receive, in whole or in part, up to an aggregate of [____] ordinary shares, par value NIS 0.01 per share (the “Shares”), subject to adjustment as provided in Section 6 hereof the rights granted by this Purchase Warrant, including the exercise price per Share and the number of Shares to be received upon such exercise, shall be adjusted as therein specified, as follows: (i) one third of this Purchase Warrant will have an exercise period of 12 months beginning on the First Anniversary, at an initial exercise price per Ordinary Share of $[•] [150.0% of the initial public offering price per share of ordinary share]; (ii) one third of this Purchase Warrant will have an exercise period of 18 months beginning on the First Anniversary, at an initial exercise price per Ordinary Share of $[•] [200.0% of the initial public offering price per share of ordinary share]; and (iii) one third of this Purchase Warrant will have an exercise period of 24 months beginning on the First Anniversary, at an initial exercise price per share of Ordinary Share of $[•], [250.0% of the initial public offering price per share of ordinary share] (each an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upon the occurrence of any of the events specified in Section 6 hereof, the rights granted by this Purchase Warrant, including the exercise price per Share and the number of Shares to be received upon such exercise, shall be adjusted as therein specified. If an applicable Expiration Date is a day on which banking institutions are authorized by law to close, then this Purchase Warrant may be exercised on the next succeeding day which is not such a day in accordance with the terms herein. During the period ending on applicable Expiration Date, the Company agrees not to take any action that would terminate this Purchase Warrant. The term “Exercise Price” shall mean, as the case maybe, the applicable initial exercise prices or the adjusted applicable exercise prices, depending on the context.</w:t>
      </w: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68" w:name="page169"/>
    <w:bookmarkEnd w:id="168"/>
    <w:p>
      <w:pPr>
        <w:ind w:left="524" w:hanging="524"/>
        <w:spacing w:after="0"/>
        <w:tabs>
          <w:tab w:leader="none" w:pos="524"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5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Exercise Form</w:t>
      </w:r>
      <w:r>
        <w:rPr>
          <w:rFonts w:ascii="Arial" w:cs="Arial" w:eastAsia="Arial" w:hAnsi="Arial"/>
          <w:sz w:val="16"/>
          <w:szCs w:val="16"/>
          <w:color w:val="auto"/>
        </w:rPr>
        <w:t>. In order to exercise this Purchase Warrant, the exercise form attached hereto must be duly executed and completed and delivered to the Company, together with this Purchase Warrant and payment of the applicable Exercise Price for the Shares being purchased payable in cash by wire transfer of immediately available funds to an account designated by the Company or by certified check or official bank check.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168" w:lineRule="exact"/>
        <w:rPr>
          <w:sz w:val="20"/>
          <w:szCs w:val="20"/>
          <w:color w:val="auto"/>
        </w:rPr>
      </w:pPr>
    </w:p>
    <w:p>
      <w:pPr>
        <w:jc w:val="both"/>
        <w:ind w:left="4" w:firstLine="577"/>
        <w:spacing w:after="0" w:line="282"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Cashless Exercise</w:t>
      </w:r>
      <w:r>
        <w:rPr>
          <w:rFonts w:ascii="Arial" w:cs="Arial" w:eastAsia="Arial" w:hAnsi="Arial"/>
          <w:sz w:val="15"/>
          <w:szCs w:val="15"/>
          <w:color w:val="auto"/>
        </w:rPr>
        <w:t>. If at any time after the Commencement Date there is no effective registration statement registering, or no current prospectus available for, the resale of the Shares by the Holder, then in lieu of exercising this Purchase Warrant by payment of cash or check payable to the order of the Company pursuant to Section 2.1 above, Holder may elect to receive the number of Shares equal to the value of this Purchase Warrant (or the portion thereof being exercised), by surrender of this Purchase Warrant to the Company, together with the exercise form attached hereto, in which event the issue to Holder, Shares in accordance with the following formula:</w:t>
      </w:r>
    </w:p>
    <w:p>
      <w:pPr>
        <w:spacing w:after="0" w:line="135" w:lineRule="exact"/>
        <w:rPr>
          <w:sz w:val="20"/>
          <w:szCs w:val="20"/>
          <w:color w:val="auto"/>
        </w:rPr>
      </w:pPr>
    </w:p>
    <w:tbl>
      <w:tblPr>
        <w:tblLayout w:type="fixed"/>
        <w:tblInd w:w="84"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Arial" w:cs="Arial" w:eastAsia="Arial" w:hAnsi="Arial"/>
                <w:sz w:val="16"/>
                <w:szCs w:val="16"/>
                <w:color w:val="auto"/>
              </w:rPr>
              <w:t>X</w:t>
            </w:r>
          </w:p>
        </w:tc>
        <w:tc>
          <w:tcPr>
            <w:tcW w:w="11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Y(A-B)</w:t>
            </w:r>
          </w:p>
        </w:tc>
      </w:tr>
      <w:tr>
        <w:trPr>
          <w:trHeight w:val="208"/>
        </w:trPr>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3"/>
              </w:rPr>
              <w:t>A</w:t>
            </w:r>
          </w:p>
        </w:tc>
      </w:tr>
    </w:tbl>
    <w:p>
      <w:pPr>
        <w:spacing w:after="0" w:line="180" w:lineRule="exact"/>
        <w:rPr>
          <w:sz w:val="20"/>
          <w:szCs w:val="20"/>
          <w:color w:val="auto"/>
        </w:rPr>
      </w:pPr>
    </w:p>
    <w:p>
      <w:pPr>
        <w:ind w:left="84"/>
        <w:spacing w:after="0"/>
        <w:rPr>
          <w:sz w:val="20"/>
          <w:szCs w:val="20"/>
          <w:color w:val="auto"/>
        </w:rPr>
      </w:pPr>
      <w:r>
        <w:rPr>
          <w:rFonts w:ascii="Arial" w:cs="Arial" w:eastAsia="Arial" w:hAnsi="Arial"/>
          <w:sz w:val="16"/>
          <w:szCs w:val="16"/>
          <w:color w:val="auto"/>
        </w:rPr>
        <w:t>Where,</w:t>
      </w:r>
    </w:p>
    <w:p>
      <w:pPr>
        <w:spacing w:after="0" w:line="21" w:lineRule="exact"/>
        <w:rPr>
          <w:sz w:val="20"/>
          <w:szCs w:val="20"/>
          <w:color w:val="auto"/>
        </w:rPr>
      </w:pPr>
    </w:p>
    <w:p>
      <w:pPr>
        <w:ind w:left="1904" w:hanging="556"/>
        <w:spacing w:after="0"/>
        <w:tabs>
          <w:tab w:leader="none" w:pos="190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The number of Shares to be issued to Holder;</w:t>
      </w:r>
    </w:p>
    <w:p>
      <w:pPr>
        <w:spacing w:after="0" w:line="8" w:lineRule="exact"/>
        <w:rPr>
          <w:sz w:val="20"/>
          <w:szCs w:val="20"/>
          <w:color w:val="auto"/>
        </w:rPr>
      </w:pPr>
    </w:p>
    <w:p>
      <w:pPr>
        <w:ind w:left="1904" w:hanging="556"/>
        <w:spacing w:after="0"/>
        <w:tabs>
          <w:tab w:leader="none" w:pos="190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The number of Shares for which the Purchase Warrant is being exercised;</w:t>
      </w:r>
    </w:p>
    <w:p>
      <w:pPr>
        <w:spacing w:after="0" w:line="8" w:lineRule="exact"/>
        <w:rPr>
          <w:sz w:val="20"/>
          <w:szCs w:val="20"/>
          <w:color w:val="auto"/>
        </w:rPr>
      </w:pPr>
    </w:p>
    <w:p>
      <w:pPr>
        <w:ind w:left="1904" w:hanging="556"/>
        <w:spacing w:after="0"/>
        <w:tabs>
          <w:tab w:leader="none" w:pos="19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The fair market value of one Share; and</w:t>
      </w:r>
    </w:p>
    <w:p>
      <w:pPr>
        <w:spacing w:after="0" w:line="8" w:lineRule="exact"/>
        <w:rPr>
          <w:sz w:val="20"/>
          <w:szCs w:val="20"/>
          <w:color w:val="auto"/>
        </w:rPr>
      </w:pPr>
    </w:p>
    <w:p>
      <w:pPr>
        <w:ind w:left="1904" w:hanging="556"/>
        <w:spacing w:after="0"/>
        <w:tabs>
          <w:tab w:leader="none" w:pos="190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The applicable Exercise Price.</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For purposes of this Section 2.2, the fair market value of a Share is defined as follows:</w:t>
      </w:r>
    </w:p>
    <w:p>
      <w:pPr>
        <w:spacing w:after="0" w:line="200" w:lineRule="exact"/>
        <w:rPr>
          <w:sz w:val="20"/>
          <w:szCs w:val="20"/>
          <w:color w:val="auto"/>
        </w:rPr>
      </w:pPr>
    </w:p>
    <w:p>
      <w:pPr>
        <w:ind w:left="1184" w:right="20" w:hanging="379"/>
        <w:spacing w:after="0" w:line="277" w:lineRule="auto"/>
        <w:tabs>
          <w:tab w:leader="none" w:pos="118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Company’s ordinary shares are traded on a securities exchange, the value shall be deemed to be the closing price on such exchange prior to the exercise form being submitted in connection with the exercise of the Purchase Warrant; or</w:t>
      </w:r>
    </w:p>
    <w:p>
      <w:pPr>
        <w:spacing w:after="0" w:line="151" w:lineRule="exact"/>
        <w:rPr>
          <w:rFonts w:ascii="Arial" w:cs="Arial" w:eastAsia="Arial" w:hAnsi="Arial"/>
          <w:sz w:val="16"/>
          <w:szCs w:val="16"/>
          <w:color w:val="auto"/>
        </w:rPr>
      </w:pPr>
    </w:p>
    <w:p>
      <w:pPr>
        <w:jc w:val="both"/>
        <w:ind w:left="1184" w:right="20" w:hanging="379"/>
        <w:spacing w:after="0" w:line="264" w:lineRule="auto"/>
        <w:tabs>
          <w:tab w:leader="none" w:pos="118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Company’s ordinary shares are actively traded over-the-counter, the value shall be deemed to be the closing bid prior to the exercise form being submitted in connection with the exercise of the Purchase Warrant; if there is no active public market, the value shall be the fair market value thereof, as determined in good faith by the Company’s Board of Directors.</w:t>
      </w:r>
    </w:p>
    <w:p>
      <w:pPr>
        <w:spacing w:after="0" w:line="162"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Legend</w:t>
      </w:r>
      <w:r>
        <w:rPr>
          <w:rFonts w:ascii="Arial" w:cs="Arial" w:eastAsia="Arial" w:hAnsi="Arial"/>
          <w:sz w:val="16"/>
          <w:szCs w:val="16"/>
          <w:color w:val="auto"/>
        </w:rPr>
        <w:t>. Each certificate for the securities purchased under this Purchase Warrant shall bear a legend as follows unless such securities have been registered under the Securities Act of 1933, as amended (the “Act”):</w:t>
      </w:r>
    </w:p>
    <w:p>
      <w:pPr>
        <w:spacing w:after="0" w:line="152" w:lineRule="exact"/>
        <w:rPr>
          <w:sz w:val="20"/>
          <w:szCs w:val="20"/>
          <w:color w:val="auto"/>
        </w:rPr>
      </w:pPr>
    </w:p>
    <w:p>
      <w:pPr>
        <w:jc w:val="both"/>
        <w:ind w:left="4" w:firstLine="577"/>
        <w:spacing w:after="0" w:line="289" w:lineRule="auto"/>
        <w:rPr>
          <w:sz w:val="20"/>
          <w:szCs w:val="20"/>
          <w:color w:val="auto"/>
        </w:rPr>
      </w:pPr>
      <w:r>
        <w:rPr>
          <w:rFonts w:ascii="Arial" w:cs="Arial" w:eastAsia="Arial" w:hAnsi="Arial"/>
          <w:sz w:val="15"/>
          <w:szCs w:val="15"/>
          <w:color w:val="auto"/>
        </w:rPr>
        <w:t>“The securities represented by this certificate have not been registered under the Securities Act of 1933, as amended (the “Act”), or applicable state law. Neither the securities nor any interest therein may be offered for sale, sold or otherwise transferred except pursuant to an effective registration statement under the Securities Act, or pursuant to an exemption from registration under the Securities Act and applicable state law which, in the opinion of counsel to the Company, is available.”</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69" w:name="page170"/>
    <w:bookmarkEnd w:id="169"/>
    <w:p>
      <w:pPr>
        <w:ind w:left="524" w:hanging="524"/>
        <w:spacing w:after="0"/>
        <w:tabs>
          <w:tab w:leader="none" w:pos="524"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9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General Restrictions</w:t>
      </w:r>
      <w:r>
        <w:rPr>
          <w:rFonts w:ascii="Arial" w:cs="Arial" w:eastAsia="Arial" w:hAnsi="Arial"/>
          <w:sz w:val="14"/>
          <w:szCs w:val="14"/>
          <w:color w:val="auto"/>
        </w:rPr>
        <w:t>. The registered Holder of this Purchase Warrant agrees by his, her or its acceptance hereof, that such Holder will not: (a) sell, transfer, assign, pledge or hypothecate this Purchase Warrant for a period of one hundred eighty (180) days following the Effective Date to anyone other than: (i) Aegis Capital Corp. (“Aegis”) or an underwriter or a selected dealer participating in the Offering, or (ii) a bona fide officer or partner of AEGIS or of any such underwriter or selected dealer, in each case in accordance with FINRA Conduct Rule 5110(g)(1),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5110(g)(2). On and after 180 days after the Effective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149" w:lineRule="exact"/>
        <w:rPr>
          <w:sz w:val="20"/>
          <w:szCs w:val="20"/>
          <w:color w:val="auto"/>
        </w:rPr>
      </w:pPr>
    </w:p>
    <w:p>
      <w:pPr>
        <w:jc w:val="both"/>
        <w:ind w:left="4" w:firstLine="577"/>
        <w:spacing w:after="0" w:line="25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Restrictions Imposed by the Securities Act</w:t>
      </w:r>
      <w:r>
        <w:rPr>
          <w:rFonts w:ascii="Arial" w:cs="Arial" w:eastAsia="Arial" w:hAnsi="Arial"/>
          <w:sz w:val="16"/>
          <w:szCs w:val="16"/>
          <w:color w:val="auto"/>
        </w:rPr>
        <w:t>. The securities evidenced by this Purchase Warrant shall not be transferred unless and until: (i) the Company has received the opinion of counsel for the Holder that the securities may be transferred pursuant to an exemption from registration under the Securities Act and applicable state securities laws, the availability of which is established to the reasonable satisfaction of the Company (the Company hereby agreeing that the opinion of Troutman Sanders LLP shall be deemed satisfactory evidence of the availability of an exemption), or (ii) a registration statement or a post-effective amendment to the Registration Statement relating to the offer and sale of such securities has been filed by the Company and declared effective by the U.S. Securities and Exchange Commission (the ”Commission”) and compliance with applicable state securities law has been established.</w:t>
      </w:r>
    </w:p>
    <w:p>
      <w:pPr>
        <w:spacing w:after="0" w:line="168" w:lineRule="exact"/>
        <w:rPr>
          <w:sz w:val="20"/>
          <w:szCs w:val="20"/>
          <w:color w:val="auto"/>
        </w:rPr>
      </w:pPr>
    </w:p>
    <w:p>
      <w:pPr>
        <w:ind w:left="524" w:hanging="524"/>
        <w:spacing w:after="0"/>
        <w:tabs>
          <w:tab w:leader="none" w:pos="52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200"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53"/>
        <w:spacing w:after="0" w:line="289"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Grant of Right</w:t>
      </w:r>
      <w:r>
        <w:rPr>
          <w:rFonts w:ascii="Arial" w:cs="Arial" w:eastAsia="Arial" w:hAnsi="Arial"/>
          <w:sz w:val="14"/>
          <w:szCs w:val="14"/>
          <w:color w:val="auto"/>
        </w:rPr>
        <w:t xml:space="preserve">. The Company, upon written demand (a “Demand Notice”) of the Holder(s) of at least 51% of the Purchase Warrants and/or the underlying Shares (“Majority Holders”), agrees to register, on one occasion, all or any portion of the Shares underlying the Purchase Warrants (collectively, the “Registrable Securities”). On such occasion, the Company will file a registration statement with the Commission covering the Registrable Securities within sixty (60) days after receipt of a Demand Notice and use its reasonable best efforts to have the registration statement declared effective promptly thereafter, subject to compliance with review by the Commission;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required to comply with a Demand Notice if the Company has filed a registration statement with respect to which the Holder is entitled to piggyback registration rights pursuant to Section 4.2 hereof and either: (i) the Holder has elected to participate in the offering covered by such registration statement or</w:t>
      </w:r>
    </w:p>
    <w:p>
      <w:pPr>
        <w:spacing w:after="0" w:line="2" w:lineRule="exact"/>
        <w:rPr>
          <w:sz w:val="20"/>
          <w:szCs w:val="20"/>
          <w:color w:val="auto"/>
        </w:rPr>
      </w:pPr>
    </w:p>
    <w:p>
      <w:pPr>
        <w:jc w:val="both"/>
        <w:ind w:left="4" w:right="20" w:hanging="4"/>
        <w:spacing w:after="0" w:line="276" w:lineRule="auto"/>
        <w:tabs>
          <w:tab w:leader="none" w:pos="25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if such registration statement relates to an underwritten primary offering of securities of the Company, until the offering covered by such registration statement has been withdrawn or until thirty (30) days after such offering is consummated. The demand for registration may be made at any time during a period of four (4) years beginning on the Commencement Date. The Company covenants and agrees to give written notice of its receipt of any Demand Notice by any Holder(s) to all other registered Holders of the Purchase Warrants and/or the Registrable Securities within ten (10) days after the date of the receipt of any such Demand Notice.</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70" w:name="page171"/>
    <w:bookmarkEnd w:id="170"/>
    <w:p>
      <w:pPr>
        <w:jc w:val="both"/>
        <w:ind w:firstLine="1153"/>
        <w:spacing w:after="0" w:line="271"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Terms</w:t>
      </w:r>
      <w:r>
        <w:rPr>
          <w:rFonts w:ascii="Arial" w:cs="Arial" w:eastAsia="Arial" w:hAnsi="Arial"/>
          <w:sz w:val="15"/>
          <w:szCs w:val="15"/>
          <w:color w:val="auto"/>
        </w:rPr>
        <w:t xml:space="preserve">. The Company shall bear all fees and expenses attendant to the registration of the Registrable Securities pursuant to Section 4.1.1, but the Holders shall pay any and all underwriting commissions and the expenses of any legal counsel selected by the Holders to represent them in connection with the sale of the Registrable Securities. The Company agrees to use its reasonable best efforts to cause the filing required herein to become effective promptly and to qualify or register the Registrable Securities in such States as are reasonably requested by the 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the Company be required to register the Registrable Securities in a State in which such registration would cause: (i) the Company to be obligated to register or license to do business in such State or submit to general service of process in such State, or (ii) the principal shareholders of the Company to be obligated to escrow their shares of capital stock of the Company. The Company shall cause any registration statement filed pursuant to the demand right granted under Section 4.1.1 to remain effective for a period of at least twelve (12) consecutive months after the date that the Holders of the Registrable Securities covered by such registration statement are first given the opportunity to sell all of such securities. The Holders shall only use the prospectuses provided by the Company to sell the shares covered by such registration statement, and will immediately cease to use any prospectus furnished by the Company if the Company advises the Holder that such prospectus may no longer be used due to a material misstatement or omission. Notwithstanding the provisions of this Section 4.1.2, the Holder shall be entitled to a demand registration under this Section 4.1.2 on only one (1) occasion and such demand registration right shall terminate on the fifth anniversary of the effectiveness of the registration statement in accordance with FINRA Rule 5110(f)(2)(H)(iv).</w:t>
      </w:r>
    </w:p>
    <w:p>
      <w:pPr>
        <w:spacing w:after="0" w:line="161"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20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General Terms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4"/>
          <w:szCs w:val="14"/>
          <w:color w:val="auto"/>
        </w:rPr>
        <w:t xml:space="preserve">4.3.1 </w:t>
      </w:r>
      <w:r>
        <w:rPr>
          <w:rFonts w:ascii="Arial" w:cs="Arial" w:eastAsia="Arial" w:hAnsi="Arial"/>
          <w:sz w:val="14"/>
          <w:szCs w:val="14"/>
          <w:u w:val="single" w:color="auto"/>
          <w:color w:val="auto"/>
        </w:rPr>
        <w:t>Indemnification</w:t>
      </w:r>
      <w:r>
        <w:rPr>
          <w:rFonts w:ascii="Arial" w:cs="Arial" w:eastAsia="Arial" w:hAnsi="Arial"/>
          <w:sz w:val="14"/>
          <w:szCs w:val="14"/>
          <w:color w:val="auto"/>
        </w:rPr>
        <w:t>. The Company shall indemnify the Holder(s) of the Registrable Securities to be sold pursuant to any registration statement hereunder and each person, if any, who controls such Holders within the meaning of Section 15 of the Securities Act or Section 20 (a) of the Securities Exchange Act of 1934, as amended (“Exchange Act”),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Underwriters contained in Section 5.1 of the Underwriting Agreement between the Underwriters and the Company, dated as of [___________], 2013. The Holder(s) of the Registrable Securities to be sold pursuant</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5.2 of the Underwriting Agreement pursuant to which the Underwriters have agreed to indemnify the Company.</w:t>
      </w:r>
    </w:p>
    <w:p>
      <w:pPr>
        <w:spacing w:after="0" w:line="171"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Exercise of Purchase Warrants</w:t>
      </w:r>
      <w:r>
        <w:rPr>
          <w:rFonts w:ascii="Arial" w:cs="Arial" w:eastAsia="Arial" w:hAnsi="Arial"/>
          <w:sz w:val="16"/>
          <w:szCs w:val="16"/>
          <w:color w:val="auto"/>
        </w:rPr>
        <w:t>. Nothing contained in this Purchase Warrant shall be construed as requiring the Holder(s) to exercise their Purchase Warrants prior to or after the initial filing of any registration statement or the effectiveness thereof.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71" w:name="page172"/>
    <w:bookmarkEnd w:id="171"/>
    <w:p>
      <w:pPr>
        <w:jc w:val="both"/>
        <w:ind w:firstLine="1153"/>
        <w:spacing w:after="0" w:line="291" w:lineRule="auto"/>
        <w:rPr>
          <w:sz w:val="20"/>
          <w:szCs w:val="20"/>
          <w:color w:val="auto"/>
        </w:rPr>
      </w:pPr>
      <w:r>
        <w:rPr>
          <w:rFonts w:ascii="Arial" w:cs="Arial" w:eastAsia="Arial" w:hAnsi="Arial"/>
          <w:sz w:val="14"/>
          <w:szCs w:val="14"/>
          <w:color w:val="auto"/>
        </w:rPr>
        <w:t xml:space="preserve">4.3.3 </w:t>
      </w:r>
      <w:r>
        <w:rPr>
          <w:rFonts w:ascii="Arial" w:cs="Arial" w:eastAsia="Arial" w:hAnsi="Arial"/>
          <w:sz w:val="14"/>
          <w:szCs w:val="14"/>
          <w:u w:val="single" w:color="auto"/>
          <w:color w:val="auto"/>
        </w:rPr>
        <w:t>Documents Delivered to Holders</w:t>
      </w:r>
      <w:r>
        <w:rPr>
          <w:rFonts w:ascii="Arial" w:cs="Arial" w:eastAsia="Arial" w:hAnsi="Arial"/>
          <w:sz w:val="14"/>
          <w:szCs w:val="14"/>
          <w:color w:val="auto"/>
        </w:rPr>
        <w:t>.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153" w:lineRule="exact"/>
        <w:rPr>
          <w:sz w:val="20"/>
          <w:szCs w:val="20"/>
          <w:color w:val="auto"/>
        </w:rPr>
      </w:pPr>
    </w:p>
    <w:p>
      <w:pPr>
        <w:jc w:val="both"/>
        <w:ind w:right="20" w:firstLine="1153"/>
        <w:spacing w:after="0" w:line="297" w:lineRule="auto"/>
        <w:rPr>
          <w:sz w:val="20"/>
          <w:szCs w:val="20"/>
          <w:color w:val="auto"/>
        </w:rPr>
      </w:pPr>
      <w:r>
        <w:rPr>
          <w:rFonts w:ascii="Arial" w:cs="Arial" w:eastAsia="Arial" w:hAnsi="Arial"/>
          <w:sz w:val="14"/>
          <w:szCs w:val="14"/>
          <w:color w:val="auto"/>
        </w:rPr>
        <w:t xml:space="preserve">4.3.4 </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The Company shall enter into an underwriting agreement with the managing underwriter(s), if any, selected by any Holders whose Registrable Securities are being registered pursuant to this Section 4, which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143"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Documents to be Delivered by Holder(s)</w:t>
      </w:r>
      <w:r>
        <w:rPr>
          <w:rFonts w:ascii="Arial" w:cs="Arial" w:eastAsia="Arial" w:hAnsi="Arial"/>
          <w:sz w:val="16"/>
          <w:szCs w:val="16"/>
          <w:color w:val="auto"/>
        </w:rPr>
        <w:t>. Each of the Holder(s) participating in any of the foregoing offerings shall furnish to the Company a completed and executed questionnaire provided by the Company requesting information customarily sought of selling security holders.</w:t>
      </w:r>
    </w:p>
    <w:p>
      <w:pPr>
        <w:spacing w:after="0" w:line="15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4.3.6 </w:t>
      </w:r>
      <w:r>
        <w:rPr>
          <w:rFonts w:ascii="Arial" w:cs="Arial" w:eastAsia="Arial" w:hAnsi="Arial"/>
          <w:sz w:val="16"/>
          <w:szCs w:val="16"/>
          <w:u w:val="single" w:color="auto"/>
          <w:color w:val="auto"/>
        </w:rPr>
        <w:t>Damages</w:t>
      </w:r>
      <w:r>
        <w:rPr>
          <w:rFonts w:ascii="Arial" w:cs="Arial" w:eastAsia="Arial" w:hAnsi="Arial"/>
          <w:sz w:val="16"/>
          <w:szCs w:val="16"/>
          <w:color w:val="auto"/>
        </w:rPr>
        <w:t>. Should the registration or the effectiveness thereof required by Sections 4.1 and 4.2 hereof be delayed by the Company or the Company otherwise fails to comply with such provisions,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72" w:name="page173"/>
    <w:bookmarkEnd w:id="172"/>
    <w:p>
      <w:pPr>
        <w:ind w:left="524" w:hanging="524"/>
        <w:spacing w:after="0"/>
        <w:tabs>
          <w:tab w:leader="none" w:pos="524"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New Purchase Warrants to be Issued</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5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Partial Exercise or Transfer</w:t>
      </w:r>
      <w:r>
        <w:rPr>
          <w:rFonts w:ascii="Arial" w:cs="Arial" w:eastAsia="Arial" w:hAnsi="Arial"/>
          <w:sz w:val="16"/>
          <w:szCs w:val="16"/>
          <w:color w:val="auto"/>
        </w:rPr>
        <w:t>. Subject to the restrictions in Section 3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applicable Exercise Price and/or transfer tax if exercised pursuant to Section 2.1 hereto,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68" w:lineRule="exact"/>
        <w:rPr>
          <w:sz w:val="20"/>
          <w:szCs w:val="20"/>
          <w:color w:val="auto"/>
        </w:rPr>
      </w:pPr>
    </w:p>
    <w:p>
      <w:pPr>
        <w:jc w:val="both"/>
        <w:ind w:left="4" w:firstLine="577"/>
        <w:spacing w:after="0" w:line="319"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Lost Certificate</w:t>
      </w:r>
      <w:r>
        <w:rPr>
          <w:rFonts w:ascii="Arial" w:cs="Arial" w:eastAsia="Arial" w:hAnsi="Arial"/>
          <w:sz w:val="14"/>
          <w:szCs w:val="14"/>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127" w:lineRule="exact"/>
        <w:rPr>
          <w:sz w:val="20"/>
          <w:szCs w:val="20"/>
          <w:color w:val="auto"/>
        </w:rPr>
      </w:pPr>
    </w:p>
    <w:p>
      <w:pPr>
        <w:ind w:left="524" w:hanging="524"/>
        <w:spacing w:after="0"/>
        <w:tabs>
          <w:tab w:leader="none" w:pos="52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Adjustments to Exercise Price and Number of Securities</w:t>
      </w:r>
      <w:r>
        <w:rPr>
          <w:rFonts w:ascii="Arial" w:cs="Arial" w:eastAsia="Arial" w:hAnsi="Arial"/>
          <w:sz w:val="16"/>
          <w:szCs w:val="16"/>
          <w:color w:val="auto"/>
        </w:rPr>
        <w:t>. The applicable Exercise Price and the number of Shares underlying the Purchase Warrant shall be subject to adjustment from time to time as hereinafter set forth:</w:t>
      </w:r>
    </w:p>
    <w:p>
      <w:pPr>
        <w:spacing w:after="0" w:line="152" w:lineRule="exact"/>
        <w:rPr>
          <w:sz w:val="20"/>
          <w:szCs w:val="20"/>
          <w:color w:val="auto"/>
        </w:rPr>
      </w:pPr>
    </w:p>
    <w:p>
      <w:pPr>
        <w:jc w:val="both"/>
        <w:ind w:left="4" w:firstLine="1153"/>
        <w:spacing w:after="0" w:line="289" w:lineRule="auto"/>
        <w:rPr>
          <w:sz w:val="20"/>
          <w:szCs w:val="20"/>
          <w:color w:val="auto"/>
        </w:rPr>
      </w:pPr>
      <w:r>
        <w:rPr>
          <w:rFonts w:ascii="Arial" w:cs="Arial" w:eastAsia="Arial" w:hAnsi="Arial"/>
          <w:sz w:val="15"/>
          <w:szCs w:val="15"/>
          <w:color w:val="auto"/>
        </w:rPr>
        <w:t>6.1.1 Share Dividends; Split Ups. If, after the date hereof, and subject to the provisions of Section 6.3 below, the number of outstanding Shares is increased by a stock dividend payable in Shares or by a split up of Shares or other similar event, then, on the effective day thereof, the number of Shares purchasable hereunder shall be increased in proportion to such increase in outstanding Shares, and the applicable Exercise Price shall be proportionately decreased.</w:t>
      </w:r>
    </w:p>
    <w:p>
      <w:pPr>
        <w:spacing w:after="0" w:line="146" w:lineRule="exact"/>
        <w:rPr>
          <w:sz w:val="20"/>
          <w:szCs w:val="20"/>
          <w:color w:val="auto"/>
        </w:rPr>
      </w:pPr>
    </w:p>
    <w:p>
      <w:pPr>
        <w:jc w:val="both"/>
        <w:ind w:left="4" w:right="20" w:firstLine="1153"/>
        <w:spacing w:after="0" w:line="289" w:lineRule="auto"/>
        <w:rPr>
          <w:sz w:val="20"/>
          <w:szCs w:val="20"/>
          <w:color w:val="auto"/>
        </w:rPr>
      </w:pPr>
      <w:r>
        <w:rPr>
          <w:rFonts w:ascii="Arial" w:cs="Arial" w:eastAsia="Arial" w:hAnsi="Arial"/>
          <w:sz w:val="15"/>
          <w:szCs w:val="15"/>
          <w:color w:val="auto"/>
        </w:rPr>
        <w:t>6.1.2 Aggregation of Shares. If, after the date hereof, and subject to the provisions of Section 6.3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applicable Exercise Price shall be proportionately increased.</w:t>
      </w:r>
    </w:p>
    <w:p>
      <w:pPr>
        <w:spacing w:after="0" w:line="146" w:lineRule="exact"/>
        <w:rPr>
          <w:sz w:val="20"/>
          <w:szCs w:val="20"/>
          <w:color w:val="auto"/>
        </w:rPr>
      </w:pPr>
    </w:p>
    <w:p>
      <w:pPr>
        <w:jc w:val="both"/>
        <w:ind w:left="4" w:firstLine="1153"/>
        <w:spacing w:after="0" w:line="271" w:lineRule="auto"/>
        <w:rPr>
          <w:sz w:val="20"/>
          <w:szCs w:val="20"/>
          <w:color w:val="auto"/>
        </w:rPr>
      </w:pPr>
      <w:r>
        <w:rPr>
          <w:rFonts w:ascii="Arial" w:cs="Arial" w:eastAsia="Arial" w:hAnsi="Arial"/>
          <w:sz w:val="15"/>
          <w:szCs w:val="15"/>
          <w:color w:val="auto"/>
        </w:rPr>
        <w:t>6.1.3 Replacement of Securities upon Reorganization, etc. In case of any reclassification or reorganization of the outstanding Shares other than a change covered by Section 6.1.1 or 6.1.2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applicable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Purchase Warrant immediately prior to such event; and if any reclassification also results in a change in Shares covered by Section 6.1.1 or 6.1.2, then such adjustment shall be made pursuant to Sections 6.1.1, 6.1.2 and this Section 6.1.3. The provisions of this Section 6.1.3 shall similarly apply to successive reclassifications, reorganizations, share reconstructions or amalgamations, or consolidations, sales or other transfers.</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73" w:name="page174"/>
    <w:bookmarkEnd w:id="173"/>
    <w:p>
      <w:pPr>
        <w:ind w:left="1144"/>
        <w:spacing w:after="0"/>
        <w:tabs>
          <w:tab w:leader="none" w:pos="1844" w:val="left"/>
        </w:tabs>
        <w:rPr>
          <w:sz w:val="20"/>
          <w:szCs w:val="20"/>
          <w:color w:val="auto"/>
        </w:rPr>
      </w:pPr>
      <w:r>
        <w:rPr>
          <w:rFonts w:ascii="Arial" w:cs="Arial" w:eastAsia="Arial" w:hAnsi="Arial"/>
          <w:sz w:val="16"/>
          <w:szCs w:val="16"/>
          <w:color w:val="auto"/>
        </w:rPr>
        <w:t>6.1.4</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jc w:val="both"/>
        <w:ind w:left="4" w:firstLine="1153"/>
        <w:spacing w:after="0" w:line="259" w:lineRule="auto"/>
        <w:rPr>
          <w:sz w:val="20"/>
          <w:szCs w:val="20"/>
          <w:color w:val="auto"/>
        </w:rPr>
      </w:pPr>
      <w:r>
        <w:rPr>
          <w:rFonts w:ascii="Arial" w:cs="Arial" w:eastAsia="Arial" w:hAnsi="Arial"/>
          <w:sz w:val="16"/>
          <w:szCs w:val="16"/>
          <w:color w:val="auto"/>
        </w:rPr>
        <w:t>6.1.5 Changes in Form of Purchase Warrant. This form of Purchase Warrant need not be changed because of any change pursuant to this Section 6.1, and Purchase Warrants issued after such change may state the same applicable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spacing w:after="0" w:line="167" w:lineRule="exact"/>
        <w:rPr>
          <w:sz w:val="20"/>
          <w:szCs w:val="20"/>
          <w:color w:val="auto"/>
        </w:rPr>
      </w:pPr>
    </w:p>
    <w:p>
      <w:pPr>
        <w:jc w:val="both"/>
        <w:ind w:left="4" w:right="20" w:firstLine="577"/>
        <w:spacing w:after="0" w:line="29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Substitute Purchase Warrant</w:t>
      </w:r>
      <w:r>
        <w:rPr>
          <w:rFonts w:ascii="Arial" w:cs="Arial" w:eastAsia="Arial" w:hAnsi="Arial"/>
          <w:sz w:val="14"/>
          <w:szCs w:val="14"/>
          <w:color w:val="auto"/>
        </w:rPr>
        <w:t>.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Section 6. The above provision of this Section shall similarly apply to successive consolidations or share reconstructions or amalgamations.</w:t>
      </w:r>
    </w:p>
    <w:p>
      <w:pPr>
        <w:spacing w:after="0" w:line="147"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Elimination of Fractional Interests</w:t>
      </w:r>
      <w:r>
        <w:rPr>
          <w:rFonts w:ascii="Arial" w:cs="Arial" w:eastAsia="Arial" w:hAnsi="Arial"/>
          <w:sz w:val="16"/>
          <w:szCs w:val="16"/>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162" w:lineRule="exact"/>
        <w:rPr>
          <w:sz w:val="20"/>
          <w:szCs w:val="20"/>
          <w:color w:val="auto"/>
        </w:rPr>
      </w:pPr>
    </w:p>
    <w:p>
      <w:pPr>
        <w:jc w:val="both"/>
        <w:ind w:left="4" w:right="20" w:hanging="4"/>
        <w:spacing w:after="0" w:line="273" w:lineRule="auto"/>
        <w:tabs>
          <w:tab w:leader="none" w:pos="612"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Reservation and Listing</w:t>
      </w:r>
      <w:r>
        <w:rPr>
          <w:rFonts w:ascii="Arial" w:cs="Arial" w:eastAsia="Arial" w:hAnsi="Arial"/>
          <w:sz w:val="15"/>
          <w:szCs w:val="15"/>
          <w:color w:val="auto"/>
        </w:rPr>
        <w:t>. The Company shall at all times reserve and keep available out of its authorized Shares, solely for the purpose of issuance upon exercise of the Purchase Warrants, such number of Shares or other securities, properties or rights as shall be issuable upon the exercise thereof. The Company covenants and agrees that, upon exercise of the Purchase Warrants and payment of the applicable Exercise Price therefor, in accordance with the terms hereby, all Shares and other securities issuable upon such exercise shall be duly and validly issued, fully paid and non-assessable and not subject to preemptive rights of any shareholder. The Company further covenants and agrees that upon exercise of the Purchase Warrants and payment of the applicable exercise price therefor, all Shares and other securities issuable upon such exercise shall be duly and validly issued, fully paid and non-assessable and not subject to preemptive rights of any shareholder. As long as the Purchase Warrants shall be outstanding, the Company shall use its commercially reasonable efforts to cause all Shares issuable upon exercise of the Purchase Warrants to be listed (subject to official notice of issuance) on all national securities exchanges (or, if applicable, on the OTC Bulletin Board or any successor trading market) on which the Shares issued to the public in the Offering may then be listed and/or quoted.</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74" w:name="page175"/>
    <w:bookmarkEnd w:id="174"/>
    <w:p>
      <w:pPr>
        <w:ind w:left="524" w:hanging="524"/>
        <w:spacing w:after="0"/>
        <w:tabs>
          <w:tab w:leader="none" w:pos="52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Certain Notice Requirements</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97"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Holder’s Right to Receive Notice</w:t>
      </w:r>
      <w:r>
        <w:rPr>
          <w:rFonts w:ascii="Arial" w:cs="Arial" w:eastAsia="Arial" w:hAnsi="Arial"/>
          <w:sz w:val="14"/>
          <w:szCs w:val="14"/>
          <w:color w:val="auto"/>
        </w:rPr>
        <w:t>.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Section 8.2 shall occur, then, in one or more of said events, the Company shall give written notice of such event at least fifteen days prior to the date fixed as a record date or the date of closing the transfer books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143" w:lineRule="exact"/>
        <w:rPr>
          <w:sz w:val="20"/>
          <w:szCs w:val="20"/>
          <w:color w:val="auto"/>
        </w:rPr>
      </w:pPr>
    </w:p>
    <w:p>
      <w:pPr>
        <w:jc w:val="both"/>
        <w:ind w:left="4" w:firstLine="577"/>
        <w:spacing w:after="0" w:line="276"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Events Requiring Notice</w:t>
      </w:r>
      <w:r>
        <w:rPr>
          <w:rFonts w:ascii="Arial" w:cs="Arial" w:eastAsia="Arial" w:hAnsi="Arial"/>
          <w:sz w:val="15"/>
          <w:szCs w:val="15"/>
          <w:color w:val="auto"/>
        </w:rPr>
        <w:t>. The Company shall be required to give the notice described in this Section 8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share reconstruction or amalgamation) or a sale of all or substantially all of its property, assets and business shall be proposed.</w:t>
      </w:r>
    </w:p>
    <w:p>
      <w:pPr>
        <w:spacing w:after="0" w:line="155"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Notice of Change in applicable Exercise Price</w:t>
      </w:r>
      <w:r>
        <w:rPr>
          <w:rFonts w:ascii="Arial" w:cs="Arial" w:eastAsia="Arial" w:hAnsi="Arial"/>
          <w:sz w:val="16"/>
          <w:szCs w:val="16"/>
          <w:color w:val="auto"/>
        </w:rPr>
        <w:t>. The Company shall, promptly after an event requiring a change in the applicable Exercise Price pursuant to Section 6 hereof, send notice to the Holders of such event and change (“Price Notice”). The Price Notice shall describe the event causing the change and the method of calculating same and shall be certified as being true and accurate by the Company’s Chief Financial Officer.</w:t>
      </w:r>
    </w:p>
    <w:p>
      <w:pPr>
        <w:spacing w:after="0" w:line="162" w:lineRule="exact"/>
        <w:rPr>
          <w:sz w:val="20"/>
          <w:szCs w:val="20"/>
          <w:color w:val="auto"/>
        </w:rPr>
      </w:pPr>
    </w:p>
    <w:p>
      <w:pPr>
        <w:jc w:val="both"/>
        <w:ind w:left="4" w:firstLine="577"/>
        <w:spacing w:after="0" w:line="319"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Transmittal of Notices</w:t>
      </w:r>
      <w:r>
        <w:rPr>
          <w:rFonts w:ascii="Arial" w:cs="Arial" w:eastAsia="Arial" w:hAnsi="Arial"/>
          <w:sz w:val="14"/>
          <w:szCs w:val="14"/>
          <w:color w:val="auto"/>
        </w:rPr>
        <w:t>. All notices, requests, consents and other communications under this Purchase Warrant shall be in writing and shall be deemed to have been duly made when hand delivered, or mailed by express mail or private courier service: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2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to the Holder:</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Aegis Capital Corp.</w:t>
      </w:r>
    </w:p>
    <w:p>
      <w:pPr>
        <w:ind w:left="584"/>
        <w:spacing w:after="0" w:line="201" w:lineRule="auto"/>
        <w:rPr>
          <w:sz w:val="20"/>
          <w:szCs w:val="20"/>
          <w:color w:val="auto"/>
        </w:rPr>
      </w:pPr>
      <w:r>
        <w:rPr>
          <w:rFonts w:ascii="Arial" w:cs="Arial" w:eastAsia="Arial" w:hAnsi="Arial"/>
          <w:sz w:val="16"/>
          <w:szCs w:val="16"/>
          <w:color w:val="auto"/>
        </w:rPr>
        <w:t>810 Seventh Avenue,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584"/>
        <w:spacing w:after="0"/>
        <w:rPr>
          <w:sz w:val="20"/>
          <w:szCs w:val="20"/>
          <w:color w:val="auto"/>
        </w:rPr>
      </w:pPr>
      <w:r>
        <w:rPr>
          <w:rFonts w:ascii="Arial" w:cs="Arial" w:eastAsia="Arial" w:hAnsi="Arial"/>
          <w:sz w:val="16"/>
          <w:szCs w:val="16"/>
          <w:color w:val="auto"/>
        </w:rPr>
        <w:t>New York, New York 10019</w:t>
      </w:r>
    </w:p>
    <w:p>
      <w:pPr>
        <w:spacing w:after="0" w:line="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Attn: Mr. David Bocchi, Managing Director of Investment Banking</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212-813-1047</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with a copy (which shall not constitute notice) to:</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75" w:name="page176"/>
    <w:bookmarkEnd w:id="175"/>
    <w:p>
      <w:pPr>
        <w:ind w:left="564"/>
        <w:spacing w:after="0"/>
        <w:rPr>
          <w:sz w:val="20"/>
          <w:szCs w:val="20"/>
          <w:color w:val="auto"/>
        </w:rPr>
      </w:pPr>
      <w:r>
        <w:rPr>
          <w:rFonts w:ascii="Arial" w:cs="Arial" w:eastAsia="Arial" w:hAnsi="Arial"/>
          <w:sz w:val="16"/>
          <w:szCs w:val="16"/>
          <w:color w:val="auto"/>
        </w:rPr>
        <w:t>Troutman Sanders LLP</w:t>
      </w:r>
    </w:p>
    <w:p>
      <w:pPr>
        <w:spacing w:after="0" w:line="21"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Chrysler Building</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405 Lexington Avenue</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New York, New York 10174</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Attn: Henry I. Rothman</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Fax No.: 212-704-6288</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to the Company:</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Alcobra Ltd.</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65 Rothschild Blvd.</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Tel Aviv 65785 Israel</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Attention: Dr. Yaron Daniely</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011-972-72-220-4664</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ZAG/S&amp;W LLP</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1633 Broadway</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New York, NY 10019</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Attention: Edwin L. Miller Jr.</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617-338-2880</w:t>
      </w:r>
    </w:p>
    <w:p>
      <w:pPr>
        <w:spacing w:after="0" w:line="188" w:lineRule="exact"/>
        <w:rPr>
          <w:sz w:val="20"/>
          <w:szCs w:val="20"/>
          <w:color w:val="auto"/>
        </w:rPr>
      </w:pPr>
    </w:p>
    <w:p>
      <w:pPr>
        <w:ind w:left="604" w:hanging="604"/>
        <w:spacing w:after="0"/>
        <w:tabs>
          <w:tab w:leader="none" w:pos="60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5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w:t>
      </w:r>
      <w:r>
        <w:rPr>
          <w:rFonts w:ascii="Arial" w:cs="Arial" w:eastAsia="Arial" w:hAnsi="Arial"/>
          <w:sz w:val="16"/>
          <w:szCs w:val="16"/>
          <w:color w:val="auto"/>
        </w:rPr>
        <w:t>. The Company and Aegis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Aegis may deem necessary or desirable and that the Company and Aegis deem shall not adversely affect the interest of the Holders. All other modifications or amendments shall require the written consent of and be signed by the party against whom enforcement of the modification or amendment is sought.</w:t>
      </w:r>
    </w:p>
    <w:p>
      <w:pPr>
        <w:spacing w:after="0" w:line="168"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herein are for the sole purpose of convenience of reference, and shall not in any way limit or affect the meaning or interpretation of any of the terms or provisions of this Purchase Warrant.</w:t>
      </w:r>
    </w:p>
    <w:p>
      <w:pPr>
        <w:spacing w:after="0" w:line="152"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62"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Purchase Warrant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76" w:name="page177"/>
    <w:bookmarkEnd w:id="176"/>
    <w:p>
      <w:pPr>
        <w:ind w:left="580"/>
        <w:spacing w:after="0"/>
        <w:tabs>
          <w:tab w:leader="none" w:pos="11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u w:val="single" w:color="auto"/>
          <w:color w:val="auto"/>
        </w:rPr>
        <w:t>Governing Law; Submission to Jurisdiction; Trial by Jury</w:t>
      </w:r>
      <w:r>
        <w:rPr>
          <w:rFonts w:ascii="Arial" w:cs="Arial" w:eastAsia="Arial" w:hAnsi="Arial"/>
          <w:sz w:val="14"/>
          <w:szCs w:val="14"/>
          <w:color w:val="auto"/>
        </w:rPr>
        <w:t>.</w:t>
      </w:r>
    </w:p>
    <w:p>
      <w:pPr>
        <w:spacing w:after="0" w:line="200" w:lineRule="exact"/>
        <w:rPr>
          <w:sz w:val="20"/>
          <w:szCs w:val="20"/>
          <w:color w:val="auto"/>
        </w:rPr>
      </w:pPr>
    </w:p>
    <w:p>
      <w:pPr>
        <w:jc w:val="both"/>
        <w:ind w:firstLine="1153"/>
        <w:spacing w:after="0" w:line="289" w:lineRule="auto"/>
        <w:rPr>
          <w:sz w:val="20"/>
          <w:szCs w:val="20"/>
          <w:color w:val="auto"/>
        </w:rPr>
      </w:pPr>
      <w:r>
        <w:rPr>
          <w:rFonts w:ascii="Arial" w:cs="Arial" w:eastAsia="Arial" w:hAnsi="Arial"/>
          <w:sz w:val="14"/>
          <w:szCs w:val="14"/>
          <w:color w:val="auto"/>
        </w:rPr>
        <w:t>9.5.1 This Purchase Warrant shall be governed by and construed and enforced in accordance with the laws of the State of New York, without giving effect to conflict of laws principles thereof that would defer to the substantive laws of another jurisdiction. By the execution and delivery of this Purchase Warrant , the Company hereby irrevocably designates and appoints Zysman, Aharoni, Gayer &amp; Sullivan &amp; Worcester LLP, 1633 Broadway, New York, NY 10019 as its authorized agent upon whom process may be served in any suit, proceeding or other action against it instituted by any Holder or by any person controlling a Holder as to which such Holder or any such controlling person is a party and based upon Purchase Warrant, or in any other action against the Company in the New York Supreme Court, County of New York and the United States District Court for the Southern District of New York, arising out of this Purchase Warrant. The Company expressly accepts jurisdiction of any such court in respect of any such suit, proceeding or other action and, without limiting other methods of obtaining jurisdiction, expressly submits to nonexclusive personal jurisdiction of any such court in respect of any such suit, proceeding or other action. Such designation and appointment shall be irrevocable, unless and until a successor authorized agent in the County and State of New York reasonably acceptable to the Holder shall have been appointed by the Company, such successor shall have accepted such appointment and written notice thereof shall have been given to the Holder. The Company further agrees that service of process upon its authorized agent or successor shall be deemed in every respect personal service of process upon the Company in any such suit, proceeding or other action. In the event that service of any process or notice of motion or other application to any such court in connection with any such motion in connection with any such action or proceeding cannot be made in the manner described above, such service may be made in the manner set forth in conformance with the Hague Convention on the Service Abroad of Judicial and Extrajudicial Documents on Civil and Commercial Matters or any successor convention or treaty. The Company hereby irrevocably waives any objection that it may have or hereafter have to the laying of venue of any such action or proceeding arising out of or based on this Purchase Warrant in any Federal or state court sitting in the County of New York and hereby further irrevocably waives any claim that any such action or proceeding in any such court has been brought in an inconvenient forum. The Company agrees that any final judgment after exhaustion of all appeals or the expiration of time to appeal in any such action or proceeding arising out of this Purchase Warrant rendered by any such Federal court or state court shall be conclusive and may be enforced in any other jurisdiction by suit on the judgment or in any other manner provided by law. Nothing contained in this Purchase Warrant shall affect or limit the right of the Holder or any person controlling a Holder to serve any process or notice of motion or other application in any other manner permitted by law or limit or affect the right of the Holder or any person controlling a Holder to bring any action or proceeding against the Company or any of its properties in the courts of any other jurisdiction. The Company further agrees to take any and all action, including the execution and filing of all such instruments and documents, as may be necessary to continue such designations and appointments or such substitute designations and appointments in full force and effect. The Company hereby agrees with the Holder to the nonexclusive jurisdiction of the New York Supreme Court, County of New York or the United States District Court for the Southern District of New York in connection with any action or proceeding arising from this Purchase Warrant brought by the Company, the Holder or any person controlling a Holder. The Company (on its behalf and, to the extent permitted by applicable law, on behalf of its stockholders and affiliates) and each of the Holder hereby irrevocably waives, to the fullest extent permitted by applicable law, any and all right to trial by jury in any legal proceeding arising out of or relating to this Purchase Warrant or the transactions contemplated hereby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77" w:name="page178"/>
    <w:bookmarkEnd w:id="177"/>
    <w:p>
      <w:pPr>
        <w:jc w:val="both"/>
        <w:ind w:firstLine="1153"/>
        <w:spacing w:after="0" w:line="271" w:lineRule="auto"/>
        <w:rPr>
          <w:sz w:val="20"/>
          <w:szCs w:val="20"/>
          <w:color w:val="auto"/>
        </w:rPr>
      </w:pPr>
      <w:r>
        <w:rPr>
          <w:rFonts w:ascii="Arial" w:cs="Arial" w:eastAsia="Arial" w:hAnsi="Arial"/>
          <w:sz w:val="15"/>
          <w:szCs w:val="15"/>
          <w:color w:val="auto"/>
        </w:rPr>
        <w:t>9.5.2 The Company agrees that in any suit (whether in a court in the United States, Israel or elsewhere) seeking enforcement of this Purchase Warrant or provisions of this Purchase Warrant (i) if the plaintiffs therein seek a judgment in either United States dollars or Israeli currency, subject to Israeli foreign currency control regulations, the Company will not interpose any defense or objection to or otherwise oppose judgment, if any, being awarded in such currencies except to the extent that such a judgment would violate the laws of the State of Israel, and (ii) if the plaintiffs therein seek to have any judgment (or any aspect thereof) awarded in New Israeli Shekels linked, for the period from entry of such judgment until actual payment thereof in full has been made, to either or both of the consumer price index of Israel or changes in the New Israeli Shekel-United States dollar exchange rate, the Company will not interpose any defense or objection to or otherwise oppose inclusion of such linkage in any such judgment except to the extent that such a judgment would violate the laws of the State of Israel. The Company agrees that it will not initiate or seek to initiate any action, suit or proceeding, in Israel or in any other jurisdiction other than in the United States, seeking damages in respect of or for the purpose of obtaining any injunction or declaratory judgment against the enforcement of, or a declaratory judgment concerning any alleged breach by the Company or other claim by the Holder, or any person controlling a Holder in respect of this Purchase Warrant or any of the Holder's rights under this Purchase Warrant, including without limitation any action, suit or proceeding challenging the enforceability of or seeking to invalidate in any respect the submission by the Company hereunder to the jurisdiction of the courts or the designation of the laws as the law applicable to this Purchase Warrant, in each case as set forth herein.</w:t>
      </w:r>
    </w:p>
    <w:p>
      <w:pPr>
        <w:spacing w:after="0" w:line="161" w:lineRule="exact"/>
        <w:rPr>
          <w:sz w:val="20"/>
          <w:szCs w:val="20"/>
          <w:color w:val="auto"/>
        </w:rPr>
      </w:pPr>
    </w:p>
    <w:p>
      <w:pPr>
        <w:jc w:val="both"/>
        <w:ind w:firstLine="1153"/>
        <w:spacing w:after="0" w:line="297" w:lineRule="auto"/>
        <w:rPr>
          <w:sz w:val="20"/>
          <w:szCs w:val="20"/>
          <w:color w:val="auto"/>
        </w:rPr>
      </w:pPr>
      <w:r>
        <w:rPr>
          <w:rFonts w:ascii="Arial" w:cs="Arial" w:eastAsia="Arial" w:hAnsi="Arial"/>
          <w:sz w:val="14"/>
          <w:szCs w:val="14"/>
          <w:color w:val="auto"/>
        </w:rPr>
        <w:t>9.5.3 The Company agrees that if any payment of any sum due under this Purchase Warrant from the Company is made to or received by the Holder or any controlling person of any Holder in a currency other than freely transferable United States dollars, whether by judicial judgment or otherwise, the obligations of the Company under this Purchase Warrant shall be discharged only to the extent of the net amount of freely transferable United States dollars that the Holder or such controlling persons, as the case may be, in accordance with normal bank procedures, are able to lawfully purchase with such amount of such other currency. To the extent that the Holder or such controlling persons are not able to purchase sufficient United States dollars with such amount of such other currency to discharge the obligations of the Company to the Holder or such controlling persons, the obligations of the Company shall not be discharged with respect to such difference, and any such undischarged amount will be due as a separate obligation and shall not be affected by payment of or judgment being obtained for any other sums due under or in respect of this Purchase Warrant.</w:t>
      </w:r>
    </w:p>
    <w:p>
      <w:pPr>
        <w:spacing w:after="0" w:line="143"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Waiver, etc</w:t>
      </w:r>
      <w:r>
        <w:rPr>
          <w:rFonts w:ascii="Arial" w:cs="Arial" w:eastAsia="Arial" w:hAnsi="Arial"/>
          <w:sz w:val="14"/>
          <w:szCs w:val="14"/>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4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w:t>
      </w:r>
    </w:p>
    <w:p>
      <w:pPr>
        <w:spacing w:after="0" w:line="167"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Exchange Agreement</w:t>
      </w:r>
      <w:r>
        <w:rPr>
          <w:rFonts w:ascii="Arial" w:cs="Arial" w:eastAsia="Arial" w:hAnsi="Arial"/>
          <w:sz w:val="14"/>
          <w:szCs w:val="14"/>
          <w:color w:val="auto"/>
        </w:rPr>
        <w:t>. As a condition of the Holder’s receipt and acceptance of this Purchase Warrant, Holder agrees that, at any time prior to the complete exercise of this Purchase Warrant by Holder, if the Company and Aegis enter into an agreement (“Exchange Agreement”) pursuant to which they agree that all outstanding Purchase Warrants will be exchanged for securities or cash or a combination of both, then Holder shall agree to such exchange and become a party to the Exchange Agreement.</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[Signature Page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color w:val="auto"/>
        </w:rPr>
        <w:t>IN WITNESS WHEREOF, the Company has caused this Purchase Warrant to be signed by its duly authorized officer as of the ____ day of _______, 2013.</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-116205</wp:posOffset>
            </wp:positionV>
            <wp:extent cx="299783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97835" cy="762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2618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940"/>
          </w:cols>
          <w:pgMar w:left="820" w:top="800" w:right="11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color w:val="auto"/>
        </w:rPr>
        <w:t>[Form to be used to exercise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 20___</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undersigned hereby elects irrevocably to exercise the Purchase Warrant for ______ ordinary shares, par value NIS 0.01 per share (the “Shares”), of Alcobra Ltd., an</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Israeli corporation (the “Company”), and hereby makes payment of $____ (at the rate of $____ per Share) in payment of the applicable Exercise Price pursuant thereto. Please</w:t>
      </w:r>
    </w:p>
    <w:p>
      <w:pPr>
        <w:spacing w:after="0" w:line="3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issue the Shares as to which this Purchase Warrant is exercised in accordance with the instructions given below and, if applicable, a new Purchase Warrant representing the number of Shares for which this Purchase Warrant has not been exercised.</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undersigned hereby elects irrevocably to convert its right to purchase ___ Shares of the Company under the Purchase Warrant for ______ Shares, as determined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following formula:</w:t>
      </w:r>
    </w:p>
    <w:p>
      <w:pPr>
        <w:sectPr>
          <w:pgSz w:w="11900" w:h="16838" w:orient="portrait"/>
          <w:cols w:equalWidth="0" w:num="1">
            <w:col w:w="11440"/>
          </w:cols>
          <w:pgMar w:left="240" w:top="800" w:right="219" w:bottom="1440" w:gutter="0" w:footer="0" w:header="0"/>
        </w:sectPr>
      </w:pPr>
    </w:p>
    <w:p>
      <w:pPr>
        <w:spacing w:after="0" w:line="284" w:lineRule="exact"/>
        <w:rPr>
          <w:sz w:val="20"/>
          <w:szCs w:val="20"/>
          <w:color w:val="auto"/>
        </w:rPr>
      </w:pPr>
    </w:p>
    <w:p>
      <w:pPr>
        <w:jc w:val="both"/>
        <w:ind w:left="1500"/>
        <w:spacing w:after="0"/>
        <w:tabs>
          <w:tab w:leader="none" w:pos="184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X</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Y</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A</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7840"/>
        <w:spacing w:after="0"/>
        <w:rPr>
          <w:sz w:val="20"/>
          <w:szCs w:val="20"/>
          <w:color w:val="auto"/>
        </w:rPr>
      </w:pPr>
      <w:r>
        <w:rPr>
          <w:rFonts w:ascii="Arial" w:cs="Arial" w:eastAsia="Arial" w:hAnsi="Arial"/>
          <w:sz w:val="16"/>
          <w:szCs w:val="16"/>
          <w:color w:val="auto"/>
        </w:rPr>
        <w:t>Y(A-B)</w:t>
      </w:r>
    </w:p>
    <w:p>
      <w:pPr>
        <w:spacing w:after="0" w:line="21" w:lineRule="exact"/>
        <w:rPr>
          <w:sz w:val="20"/>
          <w:szCs w:val="20"/>
          <w:color w:val="auto"/>
        </w:rPr>
      </w:pPr>
    </w:p>
    <w:p>
      <w:pPr>
        <w:jc w:val="center"/>
        <w:ind w:right="78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-116205</wp:posOffset>
            </wp:positionV>
            <wp:extent cx="10833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3310" cy="7620"/>
                    </a:xfrm>
                    <a:prstGeom prst="rect">
                      <a:avLst/>
                    </a:prstGeom>
                    <a:noFill/>
                  </pic:spPr>
                </pic:pic>
              </a:graphicData>
            </a:graphic>
          </wp:anchor>
        </w:drawing>
      </w:r>
    </w:p>
    <w:p>
      <w:pPr>
        <w:spacing w:after="0" w:line="372" w:lineRule="exact"/>
        <w:rPr>
          <w:sz w:val="20"/>
          <w:szCs w:val="20"/>
          <w:color w:val="auto"/>
        </w:rPr>
      </w:pPr>
    </w:p>
    <w:p>
      <w:pPr>
        <w:ind w:left="280" w:hanging="275"/>
        <w:spacing w:after="0"/>
        <w:tabs>
          <w:tab w:leader="none" w:pos="2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number of Shares to be issued to Holder;</w:t>
      </w:r>
    </w:p>
    <w:p>
      <w:pPr>
        <w:spacing w:after="0" w:line="20" w:lineRule="exact"/>
        <w:rPr>
          <w:rFonts w:ascii="Arial" w:cs="Arial" w:eastAsia="Arial" w:hAnsi="Arial"/>
          <w:sz w:val="16"/>
          <w:szCs w:val="16"/>
          <w:color w:val="auto"/>
        </w:rPr>
      </w:pPr>
    </w:p>
    <w:p>
      <w:pPr>
        <w:ind w:left="280" w:hanging="275"/>
        <w:spacing w:after="0"/>
        <w:tabs>
          <w:tab w:leader="none" w:pos="2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number of Shares for which the Purchase Warrant is being exercised;</w:t>
      </w:r>
    </w:p>
    <w:p>
      <w:pPr>
        <w:spacing w:after="0" w:line="31" w:lineRule="exact"/>
        <w:rPr>
          <w:rFonts w:ascii="Arial" w:cs="Arial" w:eastAsia="Arial" w:hAnsi="Arial"/>
          <w:sz w:val="14"/>
          <w:szCs w:val="14"/>
          <w:color w:val="auto"/>
        </w:rPr>
      </w:pPr>
    </w:p>
    <w:p>
      <w:pPr>
        <w:ind w:left="280" w:hanging="275"/>
        <w:spacing w:after="0"/>
        <w:tabs>
          <w:tab w:leader="none" w:pos="2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fair market value of one Share which is equal to $_____; and</w:t>
      </w:r>
    </w:p>
    <w:p>
      <w:pPr>
        <w:spacing w:after="0" w:line="8" w:lineRule="exact"/>
        <w:rPr>
          <w:rFonts w:ascii="Arial" w:cs="Arial" w:eastAsia="Arial" w:hAnsi="Arial"/>
          <w:sz w:val="16"/>
          <w:szCs w:val="16"/>
          <w:color w:val="auto"/>
        </w:rPr>
      </w:pPr>
    </w:p>
    <w:p>
      <w:pPr>
        <w:ind w:left="280" w:hanging="275"/>
        <w:spacing w:after="0"/>
        <w:tabs>
          <w:tab w:leader="none" w:pos="28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applicable Exercise Price which is equal to $______ per share</w:t>
      </w:r>
    </w:p>
    <w:p>
      <w:pPr>
        <w:spacing w:after="0" w:line="199" w:lineRule="exact"/>
        <w:rPr>
          <w:sz w:val="20"/>
          <w:szCs w:val="20"/>
          <w:color w:val="auto"/>
        </w:rPr>
      </w:pPr>
    </w:p>
    <w:p>
      <w:pPr>
        <w:sectPr>
          <w:pgSz w:w="11900" w:h="16838" w:orient="portrait"/>
          <w:cols w:equalWidth="0" w:num="2">
            <w:col w:w="1940" w:space="300"/>
            <w:col w:w="9200"/>
          </w:cols>
          <w:pgMar w:left="240" w:top="800" w:right="219" w:bottom="1440" w:gutter="0" w:footer="0" w:header="0"/>
          <w:type w:val="continuous"/>
        </w:sectPr>
      </w:pPr>
    </w:p>
    <w:p>
      <w:pPr>
        <w:ind w:right="20" w:firstLine="577"/>
        <w:spacing w:after="0" w:line="277" w:lineRule="auto"/>
        <w:rPr>
          <w:sz w:val="20"/>
          <w:szCs w:val="20"/>
          <w:color w:val="auto"/>
        </w:rPr>
      </w:pPr>
      <w:r>
        <w:rPr>
          <w:rFonts w:ascii="Arial" w:cs="Arial" w:eastAsia="Arial" w:hAnsi="Arial"/>
          <w:sz w:val="16"/>
          <w:szCs w:val="16"/>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52"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Please issue the Shares as to which this Purchase Warrant is exercised in accordance with the instructions given below and, if applicable, a new Purchase Warrant representing the number of Shares for which this Purchase Warrant has not been converted.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6"/>
          <w:szCs w:val="16"/>
          <w:color w:val="auto"/>
        </w:rPr>
        <w:t>INSTRUCTIONS FOR REGISTRATION OF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(Print in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-116205</wp:posOffset>
            </wp:positionV>
            <wp:extent cx="289877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516890</wp:posOffset>
            </wp:positionV>
            <wp:extent cx="289877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762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264795</wp:posOffset>
            </wp:positionV>
            <wp:extent cx="289877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762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13335</wp:posOffset>
            </wp:positionV>
            <wp:extent cx="289877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color w:val="auto"/>
        </w:rPr>
        <w:t>[Form to be used to assign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ASSIGNMENT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be executed by the registered Holder to effect a transfer of the within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__________________ does hereby sell, assign and transfer unto the right to purchase ordinary shares, par value NIS 0.01 per share, of Alcobra Ltd.,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 Israeli corporation (the “Company”), evidenced by the Purchase Warrant and does hereby authorize the Company to transfer such right on the books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 20__</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192" w:lineRule="exact"/>
        <w:rPr>
          <w:sz w:val="20"/>
          <w:szCs w:val="20"/>
          <w:color w:val="auto"/>
        </w:rPr>
      </w:pPr>
    </w:p>
    <w:p>
      <w:pPr>
        <w:jc w:val="both"/>
        <w:ind w:right="280"/>
        <w:spacing w:after="0" w:line="351" w:lineRule="auto"/>
        <w:rPr>
          <w:sz w:val="20"/>
          <w:szCs w:val="20"/>
          <w:color w:val="auto"/>
        </w:rPr>
      </w:pPr>
      <w:r>
        <w:rPr>
          <w:rFonts w:ascii="Arial" w:cs="Arial" w:eastAsia="Arial" w:hAnsi="Arial"/>
          <w:sz w:val="14"/>
          <w:szCs w:val="14"/>
          <w:color w:val="auto"/>
        </w:rPr>
        <w:t>NOTICE: The signature to this form must correspond with the name as written upon the face of the within Purchase Warrant without alteration or enlargement or any change whatsoever, and must be guaranteed by a bank, other than a savings bank, or by a trust company or by a firm having membership on a registered national securities exchange.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2" w:name="page183"/>
    <w:bookmarkEnd w:id="182"/>
    <w:p>
      <w:pPr>
        <w:jc w:val="center"/>
        <w:ind w:right="-3"/>
        <w:spacing w:after="0"/>
        <w:rPr>
          <w:sz w:val="20"/>
          <w:szCs w:val="20"/>
          <w:color w:val="auto"/>
        </w:rPr>
      </w:pPr>
      <w:r>
        <w:rPr>
          <w:rFonts w:ascii="Arial" w:cs="Arial" w:eastAsia="Arial" w:hAnsi="Arial"/>
          <w:sz w:val="16"/>
          <w:szCs w:val="16"/>
          <w:u w:val="single" w:color="auto"/>
          <w:color w:val="auto"/>
        </w:rPr>
        <w:t>EXHIBIT B</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Lock-Up Agreement</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Aegis Capital Corp.</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810 Seventh Avenue, 18th Floor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New York, New York 10019</w:t>
      </w:r>
    </w:p>
    <w:p>
      <w:pPr>
        <w:spacing w:after="0" w:line="188" w:lineRule="exact"/>
        <w:rPr>
          <w:sz w:val="20"/>
          <w:szCs w:val="20"/>
          <w:color w:val="auto"/>
        </w:rPr>
      </w:pPr>
    </w:p>
    <w:p>
      <w:pPr>
        <w:ind w:left="344"/>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u w:val="single" w:color="auto"/>
          <w:color w:val="auto"/>
        </w:rPr>
        <w:t>Alcobra Ltd. (the "Company")</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Sirs:</w:t>
      </w:r>
    </w:p>
    <w:p>
      <w:pPr>
        <w:spacing w:after="0" w:line="200" w:lineRule="exact"/>
        <w:rPr>
          <w:sz w:val="20"/>
          <w:szCs w:val="20"/>
          <w:color w:val="auto"/>
        </w:rPr>
      </w:pPr>
    </w:p>
    <w:p>
      <w:pPr>
        <w:jc w:val="both"/>
        <w:ind w:left="4" w:right="20" w:firstLine="608"/>
        <w:spacing w:after="0" w:line="257"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delivered to you pursuant to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to be entered into by the Company, as issuer, and Aegis Capital Corp., as the underwriter (the "</w:t>
      </w:r>
      <w:r>
        <w:rPr>
          <w:rFonts w:ascii="Arial" w:cs="Arial" w:eastAsia="Arial" w:hAnsi="Arial"/>
          <w:sz w:val="16"/>
          <w:szCs w:val="16"/>
          <w:u w:val="single" w:color="auto"/>
          <w:color w:val="auto"/>
        </w:rPr>
        <w:t>Underwriter</w:t>
      </w:r>
      <w:r>
        <w:rPr>
          <w:rFonts w:ascii="Arial" w:cs="Arial" w:eastAsia="Arial" w:hAnsi="Arial"/>
          <w:sz w:val="16"/>
          <w:szCs w:val="16"/>
          <w:color w:val="auto"/>
        </w:rPr>
        <w:t>"), and as the representative (the "</w:t>
      </w:r>
      <w:r>
        <w:rPr>
          <w:rFonts w:ascii="Arial" w:cs="Arial" w:eastAsia="Arial" w:hAnsi="Arial"/>
          <w:sz w:val="16"/>
          <w:szCs w:val="16"/>
          <w:u w:val="single" w:color="auto"/>
          <w:color w:val="auto"/>
        </w:rPr>
        <w:t>Representative</w:t>
      </w:r>
      <w:r>
        <w:rPr>
          <w:rFonts w:ascii="Arial" w:cs="Arial" w:eastAsia="Arial" w:hAnsi="Arial"/>
          <w:sz w:val="16"/>
          <w:szCs w:val="16"/>
          <w:color w:val="auto"/>
        </w:rPr>
        <w:t>") of the several Underwriters, if any, named therein. Upon the terms and subject to the conditions of the Underwriting Agreement, the Underwriter intends to effect a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of ordinary shares, par value NIS 0.01 per share,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as described in and contemplated by the registration statement of the Company on Form F-1, File No. 333-186003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filed with the Securities and Exchange Commission.</w:t>
      </w:r>
    </w:p>
    <w:p>
      <w:pPr>
        <w:spacing w:after="0" w:line="168" w:lineRule="exact"/>
        <w:rPr>
          <w:sz w:val="20"/>
          <w:szCs w:val="20"/>
          <w:color w:val="auto"/>
        </w:rPr>
      </w:pPr>
    </w:p>
    <w:p>
      <w:pPr>
        <w:jc w:val="both"/>
        <w:ind w:left="4" w:right="20" w:firstLine="608"/>
        <w:spacing w:after="0" w:line="277" w:lineRule="auto"/>
        <w:rPr>
          <w:sz w:val="20"/>
          <w:szCs w:val="20"/>
          <w:color w:val="auto"/>
        </w:rPr>
      </w:pPr>
      <w:r>
        <w:rPr>
          <w:rFonts w:ascii="Arial" w:cs="Arial" w:eastAsia="Arial" w:hAnsi="Arial"/>
          <w:sz w:val="16"/>
          <w:szCs w:val="16"/>
          <w:color w:val="auto"/>
        </w:rPr>
        <w:t>The undersigned recognizes that it is in the best financial interests of the undersigned, as an officer or director, or an owner of shares, options, warrants or other securities of the Company (the "</w:t>
      </w:r>
      <w:r>
        <w:rPr>
          <w:rFonts w:ascii="Arial" w:cs="Arial" w:eastAsia="Arial" w:hAnsi="Arial"/>
          <w:sz w:val="16"/>
          <w:szCs w:val="16"/>
          <w:u w:val="single" w:color="auto"/>
          <w:color w:val="auto"/>
        </w:rPr>
        <w:t>Company Securities</w:t>
      </w:r>
      <w:r>
        <w:rPr>
          <w:rFonts w:ascii="Arial" w:cs="Arial" w:eastAsia="Arial" w:hAnsi="Arial"/>
          <w:sz w:val="16"/>
          <w:szCs w:val="16"/>
          <w:color w:val="auto"/>
        </w:rPr>
        <w:t>"), that the Company complete the proposed Offering.</w:t>
      </w:r>
    </w:p>
    <w:p>
      <w:pPr>
        <w:spacing w:after="0" w:line="152" w:lineRule="exact"/>
        <w:rPr>
          <w:sz w:val="20"/>
          <w:szCs w:val="20"/>
          <w:color w:val="auto"/>
        </w:rPr>
      </w:pPr>
    </w:p>
    <w:p>
      <w:pPr>
        <w:jc w:val="both"/>
        <w:ind w:left="4" w:firstLine="608"/>
        <w:spacing w:after="0" w:line="319" w:lineRule="auto"/>
        <w:rPr>
          <w:sz w:val="20"/>
          <w:szCs w:val="20"/>
          <w:color w:val="auto"/>
        </w:rPr>
      </w:pPr>
      <w:r>
        <w:rPr>
          <w:rFonts w:ascii="Arial" w:cs="Arial" w:eastAsia="Arial" w:hAnsi="Arial"/>
          <w:sz w:val="14"/>
          <w:szCs w:val="14"/>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Agreement to further assure the Underwriter that the Company Securities of the undersigned, now held or hereafter acquired, will not enter the public market at a time that might impair the underwriting effort.</w:t>
      </w:r>
    </w:p>
    <w:p>
      <w:pPr>
        <w:spacing w:after="0" w:line="127" w:lineRule="exact"/>
        <w:rPr>
          <w:sz w:val="20"/>
          <w:szCs w:val="20"/>
          <w:color w:val="auto"/>
        </w:rPr>
      </w:pPr>
    </w:p>
    <w:p>
      <w:pPr>
        <w:ind w:left="604"/>
        <w:spacing w:after="0"/>
        <w:rPr>
          <w:sz w:val="20"/>
          <w:szCs w:val="20"/>
          <w:color w:val="auto"/>
        </w:rPr>
      </w:pPr>
      <w:r>
        <w:rPr>
          <w:rFonts w:ascii="Arial" w:cs="Arial" w:eastAsia="Arial" w:hAnsi="Arial"/>
          <w:sz w:val="14"/>
          <w:szCs w:val="14"/>
          <w:color w:val="auto"/>
        </w:rPr>
        <w:t>Therefore, as an inducement to the Underwriter to execute the Underwriting Agreement, the undersigned hereby acknowledges and agrees that the undersigned will not</w:t>
      </w:r>
    </w:p>
    <w:p>
      <w:pPr>
        <w:spacing w:after="0" w:line="44" w:lineRule="exact"/>
        <w:rPr>
          <w:sz w:val="20"/>
          <w:szCs w:val="20"/>
          <w:color w:val="auto"/>
        </w:rPr>
      </w:pPr>
    </w:p>
    <w:p>
      <w:pPr>
        <w:jc w:val="both"/>
        <w:ind w:left="4" w:hanging="4"/>
        <w:spacing w:after="0" w:line="269" w:lineRule="auto"/>
        <w:tabs>
          <w:tab w:leader="none" w:pos="203" w:val="left"/>
        </w:tabs>
        <w:numPr>
          <w:ilvl w:val="0"/>
          <w:numId w:val="152"/>
        </w:numPr>
        <w:rPr>
          <w:rFonts w:ascii="Arial" w:cs="Arial" w:eastAsia="Arial" w:hAnsi="Arial"/>
          <w:sz w:val="15"/>
          <w:szCs w:val="15"/>
          <w:color w:val="auto"/>
        </w:rPr>
      </w:pPr>
      <w:r>
        <w:rPr>
          <w:rFonts w:ascii="Arial" w:cs="Arial" w:eastAsia="Arial" w:hAnsi="Arial"/>
          <w:sz w:val="15"/>
          <w:szCs w:val="15"/>
          <w:color w:val="auto"/>
        </w:rPr>
        <w:t>offer, sell, contract to sell, pledge, grant any option to purchase, make any short sale or otherwise dispose of, engage in any hedging or other transactions, including, without limitation, any short sale or any purchase, sale or grant of any right (including without limitation any put or call option) with respect to, or with respect to any security that includes, relates to, or derives any significant part of its value from (collectively a "</w:t>
      </w:r>
      <w:r>
        <w:rPr>
          <w:rFonts w:ascii="Arial" w:cs="Arial" w:eastAsia="Arial" w:hAnsi="Arial"/>
          <w:sz w:val="15"/>
          <w:szCs w:val="15"/>
          <w:u w:val="single" w:color="auto"/>
          <w:color w:val="auto"/>
        </w:rPr>
        <w:t>Disposition</w:t>
      </w:r>
      <w:r>
        <w:rPr>
          <w:rFonts w:ascii="Arial" w:cs="Arial" w:eastAsia="Arial" w:hAnsi="Arial"/>
          <w:sz w:val="15"/>
          <w:szCs w:val="15"/>
          <w:color w:val="auto"/>
        </w:rPr>
        <w:t>"), any Company Securities, or any securities convertible into or exercisable or exchangeable for, or any rights to purchase or otherwise acquire, any Company Securities held by the undersigned or acquired by the undersigned after the date hereof, or that may be deemed to be beneficially owned by the undersigned (collectively, the "</w:t>
      </w:r>
      <w:r>
        <w:rPr>
          <w:rFonts w:ascii="Arial" w:cs="Arial" w:eastAsia="Arial" w:hAnsi="Arial"/>
          <w:sz w:val="15"/>
          <w:szCs w:val="15"/>
          <w:u w:val="single" w:color="auto"/>
          <w:color w:val="auto"/>
        </w:rPr>
        <w:t>Lock-Up Shares</w:t>
      </w:r>
      <w:r>
        <w:rPr>
          <w:rFonts w:ascii="Arial" w:cs="Arial" w:eastAsia="Arial" w:hAnsi="Arial"/>
          <w:sz w:val="15"/>
          <w:szCs w:val="15"/>
          <w:color w:val="auto"/>
        </w:rPr>
        <w:t>"), pursuant to the rules and regulations promulgated under the Securities Act of 1933, as amended (the "</w:t>
      </w:r>
      <w:r>
        <w:rPr>
          <w:rFonts w:ascii="Arial" w:cs="Arial" w:eastAsia="Arial" w:hAnsi="Arial"/>
          <w:sz w:val="15"/>
          <w:szCs w:val="15"/>
          <w:u w:val="single" w:color="auto"/>
          <w:color w:val="auto"/>
        </w:rPr>
        <w:t>Act</w:t>
      </w:r>
      <w:r>
        <w:rPr>
          <w:rFonts w:ascii="Arial" w:cs="Arial" w:eastAsia="Arial" w:hAnsi="Arial"/>
          <w:sz w:val="15"/>
          <w:szCs w:val="15"/>
          <w:color w:val="auto"/>
        </w:rPr>
        <w:t>"), and the Securities Exchange Act of 1934, as amended, for a period commencing on the date hereof and ending 180 days after the date of the Company’s prospectus (the "</w:t>
      </w:r>
      <w:r>
        <w:rPr>
          <w:rFonts w:ascii="Arial" w:cs="Arial" w:eastAsia="Arial" w:hAnsi="Arial"/>
          <w:sz w:val="15"/>
          <w:szCs w:val="15"/>
          <w:u w:val="single" w:color="auto"/>
          <w:color w:val="auto"/>
        </w:rPr>
        <w:t>Prospectus</w:t>
      </w:r>
      <w:r>
        <w:rPr>
          <w:rFonts w:ascii="Arial" w:cs="Arial" w:eastAsia="Arial" w:hAnsi="Arial"/>
          <w:sz w:val="15"/>
          <w:szCs w:val="15"/>
          <w:color w:val="auto"/>
        </w:rPr>
        <w:t>") first filed pursuant to Rule 424(b) under the Act, (the "</w:t>
      </w:r>
      <w:r>
        <w:rPr>
          <w:rFonts w:ascii="Arial" w:cs="Arial" w:eastAsia="Arial" w:hAnsi="Arial"/>
          <w:sz w:val="15"/>
          <w:szCs w:val="15"/>
          <w:u w:val="single" w:color="auto"/>
          <w:color w:val="auto"/>
        </w:rPr>
        <w:t>Lock-Up Period</w:t>
      </w:r>
      <w:r>
        <w:rPr>
          <w:rFonts w:ascii="Arial" w:cs="Arial" w:eastAsia="Arial" w:hAnsi="Arial"/>
          <w:sz w:val="15"/>
          <w:szCs w:val="15"/>
          <w:color w:val="auto"/>
        </w:rPr>
        <w:t>"), without the prior written consent of the Representative, or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including under the Registration Statement, during the Lock-Up Period. Notwithstanding the foregoing, if (x) during the last 17 days of the Lock-Up Period, the Company issues a release concerning earnings or material news or a material event relating to the Company occurs; or (y) prior to the expiration of the Lock-Up Period, the Company announces it will release earnings results during the 16-day period beginning on the last day of the Lock-Up Period; the restrictions imposed in this Agreement shall continue to apply until the expiration of the 18-day period beginning on the issuance of the earnings release or the occurrence of the material news or material event.</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83" w:name="page184"/>
    <w:bookmarkEnd w:id="183"/>
    <w:p>
      <w:pPr>
        <w:jc w:val="both"/>
        <w:ind w:right="20" w:firstLine="608"/>
        <w:spacing w:after="0" w:line="264" w:lineRule="auto"/>
        <w:rPr>
          <w:sz w:val="20"/>
          <w:szCs w:val="20"/>
          <w:color w:val="auto"/>
        </w:rPr>
      </w:pPr>
      <w:r>
        <w:rPr>
          <w:rFonts w:ascii="Arial" w:cs="Arial" w:eastAsia="Arial" w:hAnsi="Arial"/>
          <w:sz w:val="16"/>
          <w:szCs w:val="16"/>
          <w:color w:val="auto"/>
        </w:rPr>
        <w:t>The undersigned agrees and consents to the entry of stop transfer instructions with the Company’s transfer agent against the transfer of any Company Securities or any securities convertible into or exercisable or exchangeable for, or any rights to purchase or otherwise acquire, any Company Securities, held by the undersigned except in compliance with this Agreement.</w:t>
      </w:r>
    </w:p>
    <w:p>
      <w:pPr>
        <w:spacing w:after="0" w:line="162" w:lineRule="exact"/>
        <w:rPr>
          <w:sz w:val="20"/>
          <w:szCs w:val="20"/>
          <w:color w:val="auto"/>
        </w:rPr>
      </w:pPr>
    </w:p>
    <w:p>
      <w:pPr>
        <w:ind w:right="100" w:firstLine="577"/>
        <w:spacing w:after="0" w:line="289" w:lineRule="auto"/>
        <w:rPr>
          <w:sz w:val="20"/>
          <w:szCs w:val="20"/>
          <w:color w:val="auto"/>
        </w:rPr>
      </w:pPr>
      <w:r>
        <w:rPr>
          <w:rFonts w:ascii="Arial" w:cs="Arial" w:eastAsia="Arial" w:hAnsi="Arial"/>
          <w:sz w:val="15"/>
          <w:szCs w:val="15"/>
          <w:color w:val="auto"/>
        </w:rPr>
        <w:t>Notwithstanding the foregoing, and subject to the conditions below, the undersigned may transfer the Lock-Up Shares in the transactions listed as (i)-(iv) below without the prior written consent of the Underwriter, provided that (1) prior to such a transfer, the Underwriter shall have received a duplicate form of this Agreement executed and delivered by each donee, trustee, distributee or transferee, as the case may be, and (2) no such transfer shall involve a disposition for value:</w:t>
      </w:r>
    </w:p>
    <w:p>
      <w:pPr>
        <w:spacing w:after="0" w:line="146" w:lineRule="exact"/>
        <w:rPr>
          <w:sz w:val="20"/>
          <w:szCs w:val="20"/>
          <w:color w:val="auto"/>
        </w:rPr>
      </w:pPr>
    </w:p>
    <w:p>
      <w:pPr>
        <w:ind w:left="1000" w:hanging="571"/>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 a bona fide gift or gifts;</w:t>
      </w:r>
    </w:p>
    <w:p>
      <w:pPr>
        <w:spacing w:after="0" w:line="200" w:lineRule="exact"/>
        <w:rPr>
          <w:rFonts w:ascii="Arial" w:cs="Arial" w:eastAsia="Arial" w:hAnsi="Arial"/>
          <w:sz w:val="16"/>
          <w:szCs w:val="16"/>
          <w:color w:val="auto"/>
        </w:rPr>
      </w:pPr>
    </w:p>
    <w:p>
      <w:pPr>
        <w:ind w:left="1000" w:hanging="571"/>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w:t>
      </w:r>
    </w:p>
    <w:p>
      <w:pPr>
        <w:spacing w:after="0" w:line="200" w:lineRule="exact"/>
        <w:rPr>
          <w:rFonts w:ascii="Arial" w:cs="Arial" w:eastAsia="Arial" w:hAnsi="Arial"/>
          <w:sz w:val="16"/>
          <w:szCs w:val="16"/>
          <w:color w:val="auto"/>
        </w:rPr>
      </w:pPr>
    </w:p>
    <w:p>
      <w:pPr>
        <w:ind w:left="1000" w:hanging="571"/>
        <w:spacing w:after="0"/>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any beneficiary of the undersigned pursuant to a will or other testamentary document or applicable laws of descent; or</w:t>
      </w:r>
    </w:p>
    <w:p>
      <w:pPr>
        <w:spacing w:after="0" w:line="200" w:lineRule="exact"/>
        <w:rPr>
          <w:rFonts w:ascii="Arial" w:cs="Arial" w:eastAsia="Arial" w:hAnsi="Arial"/>
          <w:sz w:val="16"/>
          <w:szCs w:val="16"/>
          <w:color w:val="auto"/>
        </w:rPr>
      </w:pPr>
    </w:p>
    <w:p>
      <w:pPr>
        <w:ind w:left="1000" w:right="20" w:hanging="571"/>
        <w:spacing w:after="0" w:line="277" w:lineRule="auto"/>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any corporation, partnership, limited liability company or other entity all of the beneficial ownership interests of which are held by the undersigned or the immediate family of the undersigned.</w:t>
      </w:r>
    </w:p>
    <w:p>
      <w:pPr>
        <w:spacing w:after="0" w:line="152" w:lineRule="exact"/>
        <w:rPr>
          <w:sz w:val="20"/>
          <w:szCs w:val="20"/>
          <w:color w:val="auto"/>
        </w:rPr>
      </w:pPr>
    </w:p>
    <w:p>
      <w:pPr>
        <w:jc w:val="both"/>
        <w:ind w:right="20" w:firstLine="608"/>
        <w:spacing w:after="0" w:line="277" w:lineRule="auto"/>
        <w:rPr>
          <w:sz w:val="20"/>
          <w:szCs w:val="20"/>
          <w:color w:val="auto"/>
        </w:rPr>
      </w:pPr>
      <w:r>
        <w:rPr>
          <w:rFonts w:ascii="Arial" w:cs="Arial" w:eastAsia="Arial" w:hAnsi="Arial"/>
          <w:sz w:val="16"/>
          <w:szCs w:val="16"/>
          <w:color w:val="auto"/>
        </w:rPr>
        <w:t>It is understood that if the Underwriting Agreement (other than the provisions thereof that survive termination) shall terminate or be terminated prior to payment for and delivery of the Shares, you will release the undersigned from the obligations under this Agreement.</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Facsimile or electronically transmitted signatures to this Agreement shall be binding and have the same force and effect as manually executed original signatures.</w:t>
      </w:r>
    </w:p>
    <w:p>
      <w:pPr>
        <w:spacing w:after="0" w:line="212"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6"/>
          <w:szCs w:val="16"/>
          <w:color w:val="auto"/>
        </w:rPr>
        <w:t>In furtherance of the foregoing, the Company and its transfer agent and registrar are hereby authorized to decline to make any transfer of Lock-Up Shares if such transfer would constitute a violation or breach of this Agreement. This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Agreement shall be governed by and construed in accordance with the laws of the State of New York, without regard to the conflict of laws principles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84" w:name="page185"/>
    <w:bookmarkEnd w:id="184"/>
    <w:p>
      <w:pPr>
        <w:jc w:val="right"/>
        <w:ind w:right="3419"/>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-115570</wp:posOffset>
            </wp:positionV>
            <wp:extent cx="36309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20320</wp:posOffset>
            </wp:positionV>
            <wp:extent cx="726186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16"/>
          <w:szCs w:val="16"/>
          <w:u w:val="single" w:color="auto"/>
          <w:color w:val="auto"/>
        </w:rPr>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Alcobra Ltd. (the “Company”) announced today that Aegis Capital Corp., acting as representative for the underwriters in the Company’s recent public offering of  _______</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of the Company, is [waiving] [releasing] a lock-up restriction with respect to _________  shares of the Company’s ordinary shares held by [certain officers 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directors] [an officer or director] of the Company. The [waiver] [release] will take effect on _________, 20___, and the shares may be sold on or after such date.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color w:val="auto"/>
        </w:rPr>
        <w:t>Exhibit 4.2</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Representative’s Warrant Agreement</w:t>
      </w:r>
    </w:p>
    <w:p>
      <w:pPr>
        <w:spacing w:after="0" w:line="200" w:lineRule="exact"/>
        <w:rPr>
          <w:sz w:val="20"/>
          <w:szCs w:val="20"/>
          <w:color w:val="auto"/>
        </w:rPr>
      </w:pPr>
    </w:p>
    <w:p>
      <w:pPr>
        <w:jc w:val="both"/>
        <w:ind w:left="4" w:firstLine="3"/>
        <w:spacing w:after="0" w:line="256" w:lineRule="auto"/>
        <w:rPr>
          <w:sz w:val="20"/>
          <w:szCs w:val="20"/>
          <w:color w:val="auto"/>
        </w:rPr>
      </w:pPr>
      <w:r>
        <w:rPr>
          <w:rFonts w:ascii="Arial" w:cs="Arial" w:eastAsia="Arial" w:hAnsi="Arial"/>
          <w:sz w:val="16"/>
          <w:szCs w:val="16"/>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EFFECTIVE DATE (DEFINED BELOW) TO ANYONE OTHER THAN (I) AEGIS CAPITAL CORP. OR AN UNDERWRITER OR A SELECTED DEALER IN CONNECTION WITH THE OFFERING, OR (II) A BONA FIDE OFFICER OR PARTNER OF AEGIS CAPITAL CORP. OR OF ANY SUCH UNDERWRITER OR SELECTED DEALER.</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ORDINARY SHARE PURCHASE WARRANT</w:t>
      </w:r>
    </w:p>
    <w:p>
      <w:pPr>
        <w:spacing w:after="0" w:line="200" w:lineRule="exact"/>
        <w:rPr>
          <w:sz w:val="20"/>
          <w:szCs w:val="20"/>
          <w:color w:val="auto"/>
        </w:rPr>
      </w:pPr>
    </w:p>
    <w:p>
      <w:pPr>
        <w:ind w:left="4284"/>
        <w:spacing w:after="0"/>
        <w:rPr>
          <w:sz w:val="20"/>
          <w:szCs w:val="20"/>
          <w:color w:val="auto"/>
        </w:rPr>
      </w:pPr>
      <w:r>
        <w:rPr>
          <w:rFonts w:ascii="Arial" w:cs="Arial" w:eastAsia="Arial" w:hAnsi="Arial"/>
          <w:sz w:val="16"/>
          <w:szCs w:val="16"/>
          <w:color w:val="auto"/>
        </w:rPr>
        <w:t>For the Purchase of [_____] Ordinary Shares</w:t>
      </w:r>
    </w:p>
    <w:p>
      <w:pPr>
        <w:spacing w:after="0" w:line="21"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of</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ALCOBRA LTD.</w:t>
      </w:r>
    </w:p>
    <w:p>
      <w:pPr>
        <w:spacing w:after="0" w:line="188" w:lineRule="exact"/>
        <w:rPr>
          <w:sz w:val="20"/>
          <w:szCs w:val="20"/>
          <w:color w:val="auto"/>
        </w:rPr>
      </w:pPr>
    </w:p>
    <w:p>
      <w:pPr>
        <w:jc w:val="both"/>
        <w:ind w:left="4" w:hanging="4"/>
        <w:spacing w:after="0" w:line="270" w:lineRule="auto"/>
        <w:tabs>
          <w:tab w:leader="none" w:pos="588"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Purchase Warrant</w:t>
      </w:r>
      <w:r>
        <w:rPr>
          <w:rFonts w:ascii="Arial" w:cs="Arial" w:eastAsia="Arial" w:hAnsi="Arial"/>
          <w:sz w:val="15"/>
          <w:szCs w:val="15"/>
          <w:color w:val="auto"/>
        </w:rPr>
        <w:t xml:space="preserve">. THIS CERTIFIES THAT, in consideration of funds duly paid by or on behalf of Aegis Capital Corp. (“Holder”), as registered owner of this Purchase Warrant, to Alcobra Ltd., a Israeli corporation (the “Company”), Holder is entitled, at any time or from time to time from time to time, in whole or in part, during a period commencing one year (the “First Anniversary”) from [_______________] [DATE THAT IS ONE YEAR FROM THE EFFECTIVE DATE OF THE OFFERING] (the “Commencement Date”) to subscribe for, purchase and receive, in whole or in part, up to an aggregate of [____] ordinary shares, par value NIS 0.01 per share (the “Shares”), subject to adjustment as provided in Section 6 hereof the rights granted by this Purchase Warrant, including the exercise price per Share and the number of Shares to be received upon such exercise, shall be adjusted as therein specified, as follows: (i) one third of this Purchase Warrant will have an exercise period of 12 months beginning on the First Anniversary, at an initial exercise price per Ordinary Share of $[•] [150.0% of the initial public offering price per share of ordinary share]; (ii) one third of this Purchase Warrant will have an exercise period of 18 months beginning on the First Anniversary, at an initial exercise price per Ordinary Share of $[•] [200.0% of the initial public offering price per share of ordinary share]; and (iii) one third of this Purchase Warrant will have an exercise period of 24 months beginning on the First Anniversary, at an initial exercise price per share of Ordinary Share of $[•], [250.0% of the initial public offering price per share of ordinary share] (each an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upon the occurrence of any of the events specified in Section 6 hereof, the rights granted by this Purchase Warrant, including the exercise price per Share and the number of Shares to be received upon such exercise, shall be adjusted as therein specified. If an applicable Expiration Date is a day on which banking institutions are authorized by law to close, then this Purchase Warrant may be exercised on the next succeeding day which is not such a day in accordance with the terms herein. During the period ending on applicable Expiration Date, the Company agrees not to take any action that would terminate this Purchase Warrant. The term “Exercise Price” shall mean, as the case maybe, the applicable initial exercise prices or the adjusted applicable exercise prices, depending on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356235</wp:posOffset>
            </wp:positionV>
            <wp:extent cx="726186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315" w:right="219" w:bottom="1440" w:gutter="0" w:footer="0" w:header="0"/>
        </w:sectPr>
      </w:pPr>
    </w:p>
    <w:bookmarkStart w:id="187" w:name="page188"/>
    <w:bookmarkEnd w:id="187"/>
    <w:p>
      <w:pPr>
        <w:ind w:left="564" w:hanging="564"/>
        <w:spacing w:after="0"/>
        <w:tabs>
          <w:tab w:leader="none" w:pos="564"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5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Exercise Form</w:t>
      </w:r>
      <w:r>
        <w:rPr>
          <w:rFonts w:ascii="Arial" w:cs="Arial" w:eastAsia="Arial" w:hAnsi="Arial"/>
          <w:sz w:val="16"/>
          <w:szCs w:val="16"/>
          <w:color w:val="auto"/>
        </w:rPr>
        <w:t>. In order to exercise this Purchase Warrant, the exercise form attached hereto must be duly executed and completed and delivered to the Company, together with this Purchase Warrant and payment of the applicable Exercise Price for the Shares being purchased payable in cash by wire transfer of immediately available funds to an account designated by the Company or by certified check or official bank check.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168" w:lineRule="exact"/>
        <w:rPr>
          <w:sz w:val="20"/>
          <w:szCs w:val="20"/>
          <w:color w:val="auto"/>
        </w:rPr>
      </w:pPr>
    </w:p>
    <w:p>
      <w:pPr>
        <w:jc w:val="both"/>
        <w:ind w:left="4" w:firstLine="577"/>
        <w:spacing w:after="0" w:line="282"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Cashless Exercise</w:t>
      </w:r>
      <w:r>
        <w:rPr>
          <w:rFonts w:ascii="Arial" w:cs="Arial" w:eastAsia="Arial" w:hAnsi="Arial"/>
          <w:sz w:val="15"/>
          <w:szCs w:val="15"/>
          <w:color w:val="auto"/>
        </w:rPr>
        <w:t>. If at any time after the Commencement Date there is no effective registration statement registering, or no current prospectus available for, the resale of the Shares by the Holder, then in lieu of exercising this Purchase Warrant by payment of cash or check payable to the order of the Company pursuant to Section 2.1 above, Holder may elect to receive the number of Shares equal to the value of this Purchase Warrant (or the portion thereof being exercised), by surrender of this Purchase Warrant to the Company, together with the exercise form attached hereto, in which event the issue to Holder, Shares in accordance with the following formula:</w:t>
      </w:r>
    </w:p>
    <w:p>
      <w:pPr>
        <w:sectPr>
          <w:pgSz w:w="11900" w:h="16838" w:orient="portrait"/>
          <w:cols w:equalWidth="0" w:num="1">
            <w:col w:w="11444"/>
          </w:cols>
          <w:pgMar w:left="236" w:top="800" w:right="219" w:bottom="1440" w:gutter="0" w:footer="0" w:header="0"/>
        </w:sectPr>
      </w:pPr>
    </w:p>
    <w:p>
      <w:pPr>
        <w:spacing w:after="0" w:line="246" w:lineRule="exact"/>
        <w:rPr>
          <w:sz w:val="20"/>
          <w:szCs w:val="20"/>
          <w:color w:val="auto"/>
        </w:rPr>
      </w:pPr>
    </w:p>
    <w:p>
      <w:pPr>
        <w:ind w:left="824" w:hanging="449"/>
        <w:spacing w:after="0"/>
        <w:tabs>
          <w:tab w:leader="none" w:pos="824" w:val="left"/>
        </w:tabs>
        <w:numPr>
          <w:ilvl w:val="0"/>
          <w:numId w:val="156"/>
        </w:numPr>
        <w:rPr>
          <w:rFonts w:ascii="Arial" w:cs="Arial" w:eastAsia="Arial" w:hAnsi="Arial"/>
          <w:sz w:val="13"/>
          <w:szCs w:val="13"/>
          <w:color w:val="auto"/>
        </w:rPr>
      </w:pPr>
      <w:r>
        <w:rPr>
          <w:rFonts w:ascii="Arial" w:cs="Arial" w:eastAsia="Arial" w:hAnsi="Arial"/>
          <w:sz w:val="13"/>
          <w:szCs w:val="13"/>
          <w:color w:val="auto"/>
        </w:rPr>
        <w:t>=</w:t>
      </w:r>
    </w:p>
    <w:p>
      <w:pPr>
        <w:spacing w:after="0" w:line="331" w:lineRule="exact"/>
        <w:rPr>
          <w:rFonts w:ascii="Arial" w:cs="Arial" w:eastAsia="Arial" w:hAnsi="Arial"/>
          <w:sz w:val="13"/>
          <w:szCs w:val="13"/>
          <w:color w:val="auto"/>
        </w:rPr>
      </w:pPr>
    </w:p>
    <w:p>
      <w:pPr>
        <w:ind w:left="284"/>
        <w:spacing w:after="0"/>
        <w:rPr>
          <w:rFonts w:ascii="Arial" w:cs="Arial" w:eastAsia="Arial" w:hAnsi="Arial"/>
          <w:sz w:val="13"/>
          <w:szCs w:val="13"/>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9000"/>
        <w:spacing w:after="0"/>
        <w:rPr>
          <w:sz w:val="20"/>
          <w:szCs w:val="20"/>
          <w:color w:val="auto"/>
        </w:rPr>
      </w:pPr>
      <w:r>
        <w:rPr>
          <w:rFonts w:ascii="Arial" w:cs="Arial" w:eastAsia="Arial" w:hAnsi="Arial"/>
          <w:sz w:val="16"/>
          <w:szCs w:val="16"/>
          <w:u w:val="single" w:color="auto"/>
          <w:color w:val="auto"/>
        </w:rPr>
        <w:t>Y(A-B)</w:t>
      </w:r>
    </w:p>
    <w:p>
      <w:pPr>
        <w:spacing w:after="0" w:line="21" w:lineRule="exact"/>
        <w:rPr>
          <w:sz w:val="20"/>
          <w:szCs w:val="20"/>
          <w:color w:val="auto"/>
        </w:rPr>
      </w:pPr>
    </w:p>
    <w:p>
      <w:pPr>
        <w:jc w:val="center"/>
        <w:ind w:right="9000"/>
        <w:spacing w:after="0"/>
        <w:rPr>
          <w:sz w:val="20"/>
          <w:szCs w:val="20"/>
          <w:color w:val="auto"/>
        </w:rPr>
      </w:pPr>
      <w:r>
        <w:rPr>
          <w:rFonts w:ascii="Arial" w:cs="Arial" w:eastAsia="Arial" w:hAnsi="Arial"/>
          <w:sz w:val="16"/>
          <w:szCs w:val="16"/>
          <w:color w:val="auto"/>
        </w:rPr>
        <w:t>A</w:t>
      </w:r>
    </w:p>
    <w:p>
      <w:pPr>
        <w:spacing w:after="0" w:line="380" w:lineRule="exact"/>
        <w:rPr>
          <w:sz w:val="20"/>
          <w:szCs w:val="20"/>
          <w:color w:val="auto"/>
        </w:rPr>
      </w:pPr>
    </w:p>
    <w:p>
      <w:pPr>
        <w:ind w:left="560" w:hanging="556"/>
        <w:spacing w:after="0"/>
        <w:tabs>
          <w:tab w:leader="none" w:pos="5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The number of Shares to be issued to Holder;</w:t>
      </w:r>
    </w:p>
    <w:p>
      <w:pPr>
        <w:spacing w:after="0" w:line="21" w:lineRule="exact"/>
        <w:rPr>
          <w:sz w:val="20"/>
          <w:szCs w:val="20"/>
          <w:color w:val="auto"/>
        </w:rPr>
      </w:pPr>
    </w:p>
    <w:p>
      <w:pPr>
        <w:ind w:left="560" w:hanging="556"/>
        <w:spacing w:after="0"/>
        <w:tabs>
          <w:tab w:leader="none" w:pos="56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    The number of Shares for which the Purchase Warrant is being exercised;</w:t>
      </w:r>
    </w:p>
    <w:p>
      <w:pPr>
        <w:spacing w:after="0" w:line="31" w:lineRule="exact"/>
        <w:rPr>
          <w:sz w:val="20"/>
          <w:szCs w:val="20"/>
          <w:color w:val="auto"/>
        </w:rPr>
      </w:pPr>
    </w:p>
    <w:p>
      <w:pPr>
        <w:ind w:left="560" w:hanging="556"/>
        <w:spacing w:after="0"/>
        <w:tabs>
          <w:tab w:leader="none" w:pos="5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The fair market value of one Share; and</w:t>
      </w:r>
    </w:p>
    <w:p>
      <w:pPr>
        <w:spacing w:after="0" w:line="8" w:lineRule="exact"/>
        <w:rPr>
          <w:sz w:val="20"/>
          <w:szCs w:val="20"/>
          <w:color w:val="auto"/>
        </w:rPr>
      </w:pPr>
    </w:p>
    <w:p>
      <w:pPr>
        <w:ind w:left="560" w:hanging="556"/>
        <w:spacing w:after="0"/>
        <w:tabs>
          <w:tab w:leader="none" w:pos="5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The applicable Exercise Price.</w:t>
      </w:r>
    </w:p>
    <w:p>
      <w:pPr>
        <w:spacing w:after="0" w:line="188" w:lineRule="exact"/>
        <w:rPr>
          <w:sz w:val="20"/>
          <w:szCs w:val="20"/>
          <w:color w:val="auto"/>
        </w:rPr>
      </w:pPr>
    </w:p>
    <w:p>
      <w:pPr>
        <w:sectPr>
          <w:pgSz w:w="11900" w:h="16838" w:orient="portrait"/>
          <w:cols w:equalWidth="0" w:num="2">
            <w:col w:w="904" w:space="440"/>
            <w:col w:w="10100"/>
          </w:cols>
          <w:pgMar w:left="236" w:top="800" w:right="219" w:bottom="1440" w:gutter="0" w:footer="0" w:header="0"/>
          <w:type w:val="continuous"/>
        </w:sectPr>
      </w:pPr>
    </w:p>
    <w:p>
      <w:pPr>
        <w:ind w:left="584"/>
        <w:spacing w:after="0"/>
        <w:rPr>
          <w:sz w:val="20"/>
          <w:szCs w:val="20"/>
          <w:color w:val="auto"/>
        </w:rPr>
      </w:pPr>
      <w:r>
        <w:rPr>
          <w:rFonts w:ascii="Arial" w:cs="Arial" w:eastAsia="Arial" w:hAnsi="Arial"/>
          <w:sz w:val="16"/>
          <w:szCs w:val="16"/>
          <w:color w:val="auto"/>
        </w:rPr>
        <w:t>For purposes of this Section 2.2, the fair market value of a Share is defined as follows:</w:t>
      </w:r>
    </w:p>
    <w:p>
      <w:pPr>
        <w:spacing w:after="0" w:line="200" w:lineRule="exact"/>
        <w:rPr>
          <w:sz w:val="20"/>
          <w:szCs w:val="20"/>
          <w:color w:val="auto"/>
        </w:rPr>
      </w:pPr>
    </w:p>
    <w:p>
      <w:pPr>
        <w:ind w:left="1184" w:right="20" w:hanging="379"/>
        <w:spacing w:after="0" w:line="277" w:lineRule="auto"/>
        <w:tabs>
          <w:tab w:leader="none" w:pos="11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Company’s ordinary shares are traded on a securities exchange, the value shall be deemed to be the closing price on such exchange prior to the exercise form being submitted in connection with the exercise of the Purchase Warrant; or</w:t>
      </w:r>
    </w:p>
    <w:p>
      <w:pPr>
        <w:spacing w:after="0" w:line="151" w:lineRule="exact"/>
        <w:rPr>
          <w:rFonts w:ascii="Arial" w:cs="Arial" w:eastAsia="Arial" w:hAnsi="Arial"/>
          <w:sz w:val="16"/>
          <w:szCs w:val="16"/>
          <w:color w:val="auto"/>
        </w:rPr>
      </w:pPr>
    </w:p>
    <w:p>
      <w:pPr>
        <w:jc w:val="both"/>
        <w:ind w:left="1184" w:right="20" w:hanging="379"/>
        <w:spacing w:after="0" w:line="264" w:lineRule="auto"/>
        <w:tabs>
          <w:tab w:leader="none" w:pos="11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the Company’s ordinary shares are actively traded over-the-counter, the value shall be deemed to be the closing bid prior to the exercise form being submitted in connection with the exercise of the Purchase Warrant; if there is no active public market, the value shall be the fair market value thereof, as determined in good faith by the Company’s Board of Directors.</w:t>
      </w:r>
    </w:p>
    <w:p>
      <w:pPr>
        <w:spacing w:after="0" w:line="162"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Legend</w:t>
      </w:r>
      <w:r>
        <w:rPr>
          <w:rFonts w:ascii="Arial" w:cs="Arial" w:eastAsia="Arial" w:hAnsi="Arial"/>
          <w:sz w:val="16"/>
          <w:szCs w:val="16"/>
          <w:color w:val="auto"/>
        </w:rPr>
        <w:t>. Each certificate for the securities purchased under this Purchase Warrant shall bear a legend as follows unless such securities have been registered under the Securities Act of 1933, as amended (the “Act”):</w:t>
      </w:r>
    </w:p>
    <w:p>
      <w:pPr>
        <w:spacing w:after="0" w:line="152" w:lineRule="exact"/>
        <w:rPr>
          <w:sz w:val="20"/>
          <w:szCs w:val="20"/>
          <w:color w:val="auto"/>
        </w:rPr>
      </w:pPr>
    </w:p>
    <w:p>
      <w:pPr>
        <w:jc w:val="both"/>
        <w:ind w:left="4" w:firstLine="577"/>
        <w:spacing w:after="0" w:line="289" w:lineRule="auto"/>
        <w:rPr>
          <w:sz w:val="20"/>
          <w:szCs w:val="20"/>
          <w:color w:val="auto"/>
        </w:rPr>
      </w:pPr>
      <w:r>
        <w:rPr>
          <w:rFonts w:ascii="Arial" w:cs="Arial" w:eastAsia="Arial" w:hAnsi="Arial"/>
          <w:sz w:val="15"/>
          <w:szCs w:val="15"/>
          <w:color w:val="auto"/>
        </w:rPr>
        <w:t>“The securities represented by this certificate have not been registered under the Securities Act of 1933, as amended (the “Act”), or applicable state law. Neither the securities nor any interest therein may be offered for sale, sold or otherwise transferred except pursuant to an effective registration statement under the Securities Act, or pursuant to an exemption from registration under the Securities Act and applicable state law which, in the opinion of counsel to the Company, is available.”</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type w:val="continuous"/>
        </w:sectPr>
      </w:pPr>
    </w:p>
    <w:bookmarkStart w:id="188" w:name="page189"/>
    <w:bookmarkEnd w:id="188"/>
    <w:p>
      <w:pPr>
        <w:ind w:left="604" w:hanging="604"/>
        <w:spacing w:after="0"/>
        <w:tabs>
          <w:tab w:leader="none" w:pos="60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9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General Restrictions</w:t>
      </w:r>
      <w:r>
        <w:rPr>
          <w:rFonts w:ascii="Arial" w:cs="Arial" w:eastAsia="Arial" w:hAnsi="Arial"/>
          <w:sz w:val="14"/>
          <w:szCs w:val="14"/>
          <w:color w:val="auto"/>
        </w:rPr>
        <w:t>. The registered Holder of this Purchase Warrant agrees by his, her or its acceptance hereof, that such Holder will not: (a) sell, transfer, assign, pledge or hypothecate this Purchase Warrant for a period of one hundred eighty (180) days following the Effective Date to anyone other than: (i) Aegis Capital Corp. (“Aegis”) or an underwriter or a selected dealer participating in the Offering, or (ii) a bona fide officer or partner of AEGIS or of any such underwriter or selected dealer, in each case in accordance with FINRA Conduct Rule 5110(g)(1),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5110(g)(2). On and after 180 days after the Effective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149" w:lineRule="exact"/>
        <w:rPr>
          <w:sz w:val="20"/>
          <w:szCs w:val="20"/>
          <w:color w:val="auto"/>
        </w:rPr>
      </w:pPr>
    </w:p>
    <w:p>
      <w:pPr>
        <w:jc w:val="both"/>
        <w:ind w:left="4" w:firstLine="577"/>
        <w:spacing w:after="0" w:line="25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Restrictions Imposed by the Securities Act</w:t>
      </w:r>
      <w:r>
        <w:rPr>
          <w:rFonts w:ascii="Arial" w:cs="Arial" w:eastAsia="Arial" w:hAnsi="Arial"/>
          <w:sz w:val="16"/>
          <w:szCs w:val="16"/>
          <w:color w:val="auto"/>
        </w:rPr>
        <w:t>. The securities evidenced by this Purchase Warrant shall not be transferred unless and until: (i) the Company has received the opinion of counsel for the Holder that the securities may be transferred pursuant to an exemption from registration under the Securities Act and applicable state securities laws, the availability of which is established to the reasonable satisfaction of the Company (the Company hereby agreeing that the opinion of Troutman Sanders LLP shall be deemed satisfactory evidence of the availability of an exemption), or (ii) a registration statement or a post-effective amendment to the Registration Statement relating to the offer and sale of such securities has been filed by the Company and declared effective by the U.S. Securities and Exchange Commission (the ”Commission”) and compliance with applicable state securities law has been established.</w:t>
      </w:r>
    </w:p>
    <w:p>
      <w:pPr>
        <w:spacing w:after="0" w:line="168" w:lineRule="exact"/>
        <w:rPr>
          <w:sz w:val="20"/>
          <w:szCs w:val="20"/>
          <w:color w:val="auto"/>
        </w:rPr>
      </w:pPr>
    </w:p>
    <w:p>
      <w:pPr>
        <w:ind w:left="604" w:hanging="604"/>
        <w:spacing w:after="0"/>
        <w:tabs>
          <w:tab w:leader="none" w:pos="604"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200"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200" w:lineRule="exact"/>
        <w:rPr>
          <w:sz w:val="20"/>
          <w:szCs w:val="20"/>
          <w:color w:val="auto"/>
        </w:rPr>
      </w:pPr>
    </w:p>
    <w:p>
      <w:pPr>
        <w:jc w:val="both"/>
        <w:ind w:left="4" w:firstLine="1153"/>
        <w:spacing w:after="0" w:line="289"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Grant of Right</w:t>
      </w:r>
      <w:r>
        <w:rPr>
          <w:rFonts w:ascii="Arial" w:cs="Arial" w:eastAsia="Arial" w:hAnsi="Arial"/>
          <w:sz w:val="14"/>
          <w:szCs w:val="14"/>
          <w:color w:val="auto"/>
        </w:rPr>
        <w:t xml:space="preserve">. The Company, upon written demand (a “Demand Notice”) of the Holder(s) of at least 51% of the Purchase Warrants and/or the underlying Shares (“Majority Holders”), agrees to register, on one occasion, all or any portion of the Shares underlying the Purchase Warrants (collectively, the “Registrable Securities”). On such occasion, the Company will file a registration statement with the Commission covering the Registrable Securities within sixty (60) days after receipt of a Demand Notice and use its reasonable best efforts to have the registration statement declared effective promptly thereafter, subject to compliance with review by the Commission;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required to comply with a Demand Notice if the Company has filed a registration statement with respect to which the Holder is entitled to piggyback registration rights pursuant to Section 4.2 hereof and either: (i) the Holder has elected to participate in the offering covered by such registration statement or</w:t>
      </w:r>
    </w:p>
    <w:p>
      <w:pPr>
        <w:spacing w:after="0" w:line="2" w:lineRule="exact"/>
        <w:rPr>
          <w:sz w:val="20"/>
          <w:szCs w:val="20"/>
          <w:color w:val="auto"/>
        </w:rPr>
      </w:pPr>
    </w:p>
    <w:p>
      <w:pPr>
        <w:jc w:val="both"/>
        <w:ind w:left="4" w:right="20" w:hanging="4"/>
        <w:spacing w:after="0" w:line="276" w:lineRule="auto"/>
        <w:tabs>
          <w:tab w:leader="none" w:pos="25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if such registration statement relates to an underwritten primary offering of securities of the Company, until the offering covered by such registration statement has been withdrawn or until thirty (30) days after such offering is consummated. The demand for registration may be made at any time during a period of four (4) years beginning on the Commencement Date. The Company covenants and agrees to give written notice of its receipt of any Demand Notice by any Holder(s) to all other registered Holders of the Purchase Warrants and/or the Registrable Securities within ten (10) days after the date of the receipt of any such Demand Notice.</w:t>
      </w:r>
    </w:p>
    <w:p>
      <w:pPr>
        <w:spacing w:after="0" w:line="347" w:lineRule="exact"/>
        <w:rPr>
          <w:rFonts w:ascii="Arial" w:cs="Arial" w:eastAsia="Arial" w:hAnsi="Arial"/>
          <w:sz w:val="15"/>
          <w:szCs w:val="15"/>
          <w:color w:val="auto"/>
        </w:rPr>
      </w:pPr>
    </w:p>
    <w:p>
      <w:pPr>
        <w:ind w:left="5684" w:hanging="99"/>
        <w:spacing w:after="0"/>
        <w:tabs>
          <w:tab w:leader="none" w:pos="568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89" w:name="page190"/>
    <w:bookmarkEnd w:id="189"/>
    <w:p>
      <w:pPr>
        <w:jc w:val="both"/>
        <w:ind w:firstLine="1153"/>
        <w:spacing w:after="0" w:line="271"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Terms</w:t>
      </w:r>
      <w:r>
        <w:rPr>
          <w:rFonts w:ascii="Arial" w:cs="Arial" w:eastAsia="Arial" w:hAnsi="Arial"/>
          <w:sz w:val="15"/>
          <w:szCs w:val="15"/>
          <w:color w:val="auto"/>
        </w:rPr>
        <w:t xml:space="preserve">. The Company shall bear all fees and expenses attendant to the registration of the Registrable Securities pursuant to Section 4.1.1, but the Holders shall pay any and all underwriting commissions and the expenses of any legal counsel selected by the Holders to represent them in connection with the sale of the Registrable Securities. The Company agrees to use its reasonable best efforts to cause the filing required herein to become effective promptly and to qualify or register the Registrable Securities in such States as are reasonably requested by the 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the Company be required to register the Registrable Securities in a State in which such registration would cause: (i) the Company to be obligated to register or license to do business in such State or submit to general service of process in such State, or (ii) the principal shareholders of the Company to be obligated to escrow their shares of capital stock of the Company. The Company shall cause any registration statement filed pursuant to the demand right granted under Section 4.1.1 to remain effective for a period of at least twelve (12) consecutive months after the date that the Holders of the Registrable Securities covered by such registration statement are first given the opportunity to sell all of such securities. The Holders shall only use the prospectuses provided by the Company to sell the shares covered by such registration statement, and will immediately cease to use any prospectus furnished by the Company if the Company advises the Holder that such prospectus may no longer be used due to a material misstatement or omission. Notwithstanding the provisions of this Section 4.1.2, the Holder shall be entitled to a demand registration under this Section 4.1.2 on only one (1) occasion and such demand registration right shall terminate on the fifth anniversary of the effectiveness of the registration statement in accordance with FINRA Rule 5110(f)(2)(H)(iv).</w:t>
      </w:r>
    </w:p>
    <w:p>
      <w:pPr>
        <w:spacing w:after="0" w:line="161"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20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General Terms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4"/>
          <w:szCs w:val="14"/>
          <w:color w:val="auto"/>
        </w:rPr>
        <w:t xml:space="preserve">4.3.1 </w:t>
      </w:r>
      <w:r>
        <w:rPr>
          <w:rFonts w:ascii="Arial" w:cs="Arial" w:eastAsia="Arial" w:hAnsi="Arial"/>
          <w:sz w:val="14"/>
          <w:szCs w:val="14"/>
          <w:u w:val="single" w:color="auto"/>
          <w:color w:val="auto"/>
        </w:rPr>
        <w:t>Indemnification</w:t>
      </w:r>
      <w:r>
        <w:rPr>
          <w:rFonts w:ascii="Arial" w:cs="Arial" w:eastAsia="Arial" w:hAnsi="Arial"/>
          <w:sz w:val="14"/>
          <w:szCs w:val="14"/>
          <w:color w:val="auto"/>
        </w:rPr>
        <w:t>. The Company shall indemnify the Holder(s) of the Registrable Securities to be sold pursuant to any registration statement hereunder and each person, if any, who controls such Holders within the meaning of Section 15 of the Securities Act or Section 20 (a) of the Securities Exchange Act of 1934, as amended (“Exchange Act”),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Underwriters contained in Section 5.1 of the Underwriting Agreement between the Underwriters and the Company, dated as of [___________], 2013. The Holder(s) of the Registrable Securities to be sold pursuant</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5.2 of the Underwriting Agreement pursuant to which the Underwriters have agreed to indemnify the Company.</w:t>
      </w:r>
    </w:p>
    <w:p>
      <w:pPr>
        <w:spacing w:after="0" w:line="171"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Exercise of Purchase Warrants</w:t>
      </w:r>
      <w:r>
        <w:rPr>
          <w:rFonts w:ascii="Arial" w:cs="Arial" w:eastAsia="Arial" w:hAnsi="Arial"/>
          <w:sz w:val="16"/>
          <w:szCs w:val="16"/>
          <w:color w:val="auto"/>
        </w:rPr>
        <w:t>. Nothing contained in this Purchase Warrant shall be construed as requiring the Holder(s) to exercise their Purchase Warrants prior to or after the initial filing of any registration statement or the effectiveness thereof.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90" w:name="page191"/>
    <w:bookmarkEnd w:id="190"/>
    <w:p>
      <w:pPr>
        <w:jc w:val="both"/>
        <w:ind w:right="20" w:firstLine="1153"/>
        <w:spacing w:after="0" w:line="291" w:lineRule="auto"/>
        <w:rPr>
          <w:sz w:val="20"/>
          <w:szCs w:val="20"/>
          <w:color w:val="auto"/>
        </w:rPr>
      </w:pPr>
      <w:r>
        <w:rPr>
          <w:rFonts w:ascii="Arial" w:cs="Arial" w:eastAsia="Arial" w:hAnsi="Arial"/>
          <w:sz w:val="14"/>
          <w:szCs w:val="14"/>
          <w:color w:val="auto"/>
        </w:rPr>
        <w:t xml:space="preserve">4.3.3 </w:t>
      </w:r>
      <w:r>
        <w:rPr>
          <w:rFonts w:ascii="Arial" w:cs="Arial" w:eastAsia="Arial" w:hAnsi="Arial"/>
          <w:sz w:val="14"/>
          <w:szCs w:val="14"/>
          <w:u w:val="single" w:color="auto"/>
          <w:color w:val="auto"/>
        </w:rPr>
        <w:t>Documents Delivered to Holders</w:t>
      </w:r>
      <w:r>
        <w:rPr>
          <w:rFonts w:ascii="Arial" w:cs="Arial" w:eastAsia="Arial" w:hAnsi="Arial"/>
          <w:sz w:val="14"/>
          <w:szCs w:val="14"/>
          <w:color w:val="auto"/>
        </w:rPr>
        <w:t>.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153" w:lineRule="exact"/>
        <w:rPr>
          <w:sz w:val="20"/>
          <w:szCs w:val="20"/>
          <w:color w:val="auto"/>
        </w:rPr>
      </w:pPr>
    </w:p>
    <w:p>
      <w:pPr>
        <w:jc w:val="both"/>
        <w:ind w:right="20" w:firstLine="1153"/>
        <w:spacing w:after="0" w:line="297" w:lineRule="auto"/>
        <w:rPr>
          <w:sz w:val="20"/>
          <w:szCs w:val="20"/>
          <w:color w:val="auto"/>
        </w:rPr>
      </w:pPr>
      <w:r>
        <w:rPr>
          <w:rFonts w:ascii="Arial" w:cs="Arial" w:eastAsia="Arial" w:hAnsi="Arial"/>
          <w:sz w:val="14"/>
          <w:szCs w:val="14"/>
          <w:color w:val="auto"/>
        </w:rPr>
        <w:t xml:space="preserve">4.3.4 </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The Company shall enter into an underwriting agreement with the managing underwriter(s), if any, selected by any Holders whose Registrable Securities are being registered pursuant to this Section 4, which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143"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Documents to be Delivered by Holder(s)</w:t>
      </w:r>
      <w:r>
        <w:rPr>
          <w:rFonts w:ascii="Arial" w:cs="Arial" w:eastAsia="Arial" w:hAnsi="Arial"/>
          <w:sz w:val="16"/>
          <w:szCs w:val="16"/>
          <w:color w:val="auto"/>
        </w:rPr>
        <w:t>. Each of the Holder(s) participating in any of the foregoing offerings shall furnish to the Company a completed and executed questionnaire provided by the Company requesting information customarily sought of selling security holders.</w:t>
      </w:r>
    </w:p>
    <w:p>
      <w:pPr>
        <w:spacing w:after="0" w:line="15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4.3.6 </w:t>
      </w:r>
      <w:r>
        <w:rPr>
          <w:rFonts w:ascii="Arial" w:cs="Arial" w:eastAsia="Arial" w:hAnsi="Arial"/>
          <w:sz w:val="16"/>
          <w:szCs w:val="16"/>
          <w:u w:val="single" w:color="auto"/>
          <w:color w:val="auto"/>
        </w:rPr>
        <w:t>Damages</w:t>
      </w:r>
      <w:r>
        <w:rPr>
          <w:rFonts w:ascii="Arial" w:cs="Arial" w:eastAsia="Arial" w:hAnsi="Arial"/>
          <w:sz w:val="16"/>
          <w:szCs w:val="16"/>
          <w:color w:val="auto"/>
        </w:rPr>
        <w:t>. Should the registration or the effectiveness thereof required by Sections 4.1 and 4.2 hereof be delayed by the Company or the Company otherwise fails to comply with such provisions,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91" w:name="page192"/>
    <w:bookmarkEnd w:id="191"/>
    <w:p>
      <w:pPr>
        <w:ind w:left="604" w:hanging="604"/>
        <w:spacing w:after="0"/>
        <w:tabs>
          <w:tab w:leader="none" w:pos="60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New Purchase Warrants to be Issued</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5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Partial Exercise or Transfer</w:t>
      </w:r>
      <w:r>
        <w:rPr>
          <w:rFonts w:ascii="Arial" w:cs="Arial" w:eastAsia="Arial" w:hAnsi="Arial"/>
          <w:sz w:val="16"/>
          <w:szCs w:val="16"/>
          <w:color w:val="auto"/>
        </w:rPr>
        <w:t>. Subject to the restrictions in Section 3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applicable Exercise Price and/or transfer tax if exercised pursuant to Section 2.1 hereto,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68" w:lineRule="exact"/>
        <w:rPr>
          <w:sz w:val="20"/>
          <w:szCs w:val="20"/>
          <w:color w:val="auto"/>
        </w:rPr>
      </w:pPr>
    </w:p>
    <w:p>
      <w:pPr>
        <w:jc w:val="both"/>
        <w:ind w:left="4" w:right="20" w:firstLine="577"/>
        <w:spacing w:after="0" w:line="319"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Lost Certificate</w:t>
      </w:r>
      <w:r>
        <w:rPr>
          <w:rFonts w:ascii="Arial" w:cs="Arial" w:eastAsia="Arial" w:hAnsi="Arial"/>
          <w:sz w:val="14"/>
          <w:szCs w:val="14"/>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127" w:lineRule="exact"/>
        <w:rPr>
          <w:sz w:val="20"/>
          <w:szCs w:val="20"/>
          <w:color w:val="auto"/>
        </w:rPr>
      </w:pPr>
    </w:p>
    <w:p>
      <w:pPr>
        <w:ind w:left="644" w:hanging="644"/>
        <w:spacing w:after="0"/>
        <w:tabs>
          <w:tab w:leader="none" w:pos="644"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Adjustments to Exercise Price and Number of Securities</w:t>
      </w:r>
      <w:r>
        <w:rPr>
          <w:rFonts w:ascii="Arial" w:cs="Arial" w:eastAsia="Arial" w:hAnsi="Arial"/>
          <w:sz w:val="16"/>
          <w:szCs w:val="16"/>
          <w:color w:val="auto"/>
        </w:rPr>
        <w:t>. The applicable Exercise Price and the number of Shares underlying the Purchase Warrant shall be subject to adjustment from time to time as hereinafter set forth:</w:t>
      </w:r>
    </w:p>
    <w:p>
      <w:pPr>
        <w:spacing w:after="0" w:line="152" w:lineRule="exact"/>
        <w:rPr>
          <w:sz w:val="20"/>
          <w:szCs w:val="20"/>
          <w:color w:val="auto"/>
        </w:rPr>
      </w:pPr>
    </w:p>
    <w:p>
      <w:pPr>
        <w:jc w:val="both"/>
        <w:ind w:left="4" w:firstLine="1153"/>
        <w:spacing w:after="0" w:line="289" w:lineRule="auto"/>
        <w:rPr>
          <w:sz w:val="20"/>
          <w:szCs w:val="20"/>
          <w:color w:val="auto"/>
        </w:rPr>
      </w:pPr>
      <w:r>
        <w:rPr>
          <w:rFonts w:ascii="Arial" w:cs="Arial" w:eastAsia="Arial" w:hAnsi="Arial"/>
          <w:sz w:val="15"/>
          <w:szCs w:val="15"/>
          <w:color w:val="auto"/>
        </w:rPr>
        <w:t>6.1.1 Share Dividends; Split Ups. If, after the date hereof, and subject to the provisions of Section 6.3 below, the number of outstanding Shares is increased by a stock dividend payable in Shares or by a split up of Shares or other similar event, then, on the effective day thereof, the number of Shares purchasable hereunder shall be increased in proportion to such increase in outstanding Shares, and the applicable Exercise Price shall be proportionately decreased.</w:t>
      </w:r>
    </w:p>
    <w:p>
      <w:pPr>
        <w:spacing w:after="0" w:line="146" w:lineRule="exact"/>
        <w:rPr>
          <w:sz w:val="20"/>
          <w:szCs w:val="20"/>
          <w:color w:val="auto"/>
        </w:rPr>
      </w:pPr>
    </w:p>
    <w:p>
      <w:pPr>
        <w:jc w:val="both"/>
        <w:ind w:left="4" w:right="20" w:firstLine="1153"/>
        <w:spacing w:after="0" w:line="289" w:lineRule="auto"/>
        <w:rPr>
          <w:sz w:val="20"/>
          <w:szCs w:val="20"/>
          <w:color w:val="auto"/>
        </w:rPr>
      </w:pPr>
      <w:r>
        <w:rPr>
          <w:rFonts w:ascii="Arial" w:cs="Arial" w:eastAsia="Arial" w:hAnsi="Arial"/>
          <w:sz w:val="15"/>
          <w:szCs w:val="15"/>
          <w:color w:val="auto"/>
        </w:rPr>
        <w:t>6.1.2 Aggregation of Shares. If, after the date hereof, and subject to the provisions of Section 6.3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applicable Exercise Price shall be proportionately increased.</w:t>
      </w:r>
    </w:p>
    <w:p>
      <w:pPr>
        <w:spacing w:after="0" w:line="146" w:lineRule="exact"/>
        <w:rPr>
          <w:sz w:val="20"/>
          <w:szCs w:val="20"/>
          <w:color w:val="auto"/>
        </w:rPr>
      </w:pPr>
    </w:p>
    <w:p>
      <w:pPr>
        <w:jc w:val="both"/>
        <w:ind w:left="4" w:firstLine="1153"/>
        <w:spacing w:after="0" w:line="271" w:lineRule="auto"/>
        <w:rPr>
          <w:sz w:val="20"/>
          <w:szCs w:val="20"/>
          <w:color w:val="auto"/>
        </w:rPr>
      </w:pPr>
      <w:r>
        <w:rPr>
          <w:rFonts w:ascii="Arial" w:cs="Arial" w:eastAsia="Arial" w:hAnsi="Arial"/>
          <w:sz w:val="15"/>
          <w:szCs w:val="15"/>
          <w:color w:val="auto"/>
        </w:rPr>
        <w:t>6.1.3 Replacement of Securities upon Reorganization, etc. In case of any reclassification or reorganization of the outstanding Shares other than a change covered by Section 6.1.1 or 6.1.2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applicable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Purchase Warrant immediately prior to such event; and if any reclassification also results in a change in Shares covered by Section 6.1.1 or 6.1.2, then such adjustment shall be made pursuant to Sections 6.1.1, 6.1.2 and this Section 6.1.3. The provisions of this Section 6.1.3 shall similarly apply to successive reclassifications, reorganizations, share reconstructions or amalgamations, or consolidations, sales or other transfers.</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92" w:name="page193"/>
    <w:bookmarkEnd w:id="192"/>
    <w:p>
      <w:pPr>
        <w:ind w:left="1144"/>
        <w:spacing w:after="0"/>
        <w:tabs>
          <w:tab w:leader="none" w:pos="1684" w:val="left"/>
        </w:tabs>
        <w:rPr>
          <w:sz w:val="20"/>
          <w:szCs w:val="20"/>
          <w:color w:val="auto"/>
        </w:rPr>
      </w:pPr>
      <w:r>
        <w:rPr>
          <w:rFonts w:ascii="Arial" w:cs="Arial" w:eastAsia="Arial" w:hAnsi="Arial"/>
          <w:sz w:val="16"/>
          <w:szCs w:val="16"/>
          <w:color w:val="auto"/>
        </w:rPr>
        <w:t>6.1.4</w:t>
      </w:r>
      <w:r>
        <w:rPr>
          <w:sz w:val="20"/>
          <w:szCs w:val="20"/>
          <w:color w:val="auto"/>
        </w:rPr>
        <w:tab/>
      </w:r>
      <w:r>
        <w:rPr>
          <w:rFonts w:ascii="Arial" w:cs="Arial" w:eastAsia="Arial" w:hAnsi="Arial"/>
          <w:sz w:val="14"/>
          <w:szCs w:val="14"/>
          <w:color w:val="auto"/>
        </w:rPr>
        <w:t>[Reserved.]</w:t>
      </w:r>
    </w:p>
    <w:p>
      <w:pPr>
        <w:spacing w:after="0" w:line="200" w:lineRule="exact"/>
        <w:rPr>
          <w:sz w:val="20"/>
          <w:szCs w:val="20"/>
          <w:color w:val="auto"/>
        </w:rPr>
      </w:pPr>
    </w:p>
    <w:p>
      <w:pPr>
        <w:jc w:val="both"/>
        <w:ind w:left="4" w:firstLine="1153"/>
        <w:spacing w:after="0" w:line="259" w:lineRule="auto"/>
        <w:rPr>
          <w:sz w:val="20"/>
          <w:szCs w:val="20"/>
          <w:color w:val="auto"/>
        </w:rPr>
      </w:pPr>
      <w:r>
        <w:rPr>
          <w:rFonts w:ascii="Arial" w:cs="Arial" w:eastAsia="Arial" w:hAnsi="Arial"/>
          <w:sz w:val="16"/>
          <w:szCs w:val="16"/>
          <w:color w:val="auto"/>
        </w:rPr>
        <w:t>6.1.5 Changes in Form of Purchase Warrant. This form of Purchase Warrant need not be changed because of any change pursuant to this Section 6.1, and Purchase Warrants issued after such change may state the same applicable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spacing w:after="0" w:line="167" w:lineRule="exact"/>
        <w:rPr>
          <w:sz w:val="20"/>
          <w:szCs w:val="20"/>
          <w:color w:val="auto"/>
        </w:rPr>
      </w:pPr>
    </w:p>
    <w:p>
      <w:pPr>
        <w:jc w:val="both"/>
        <w:ind w:left="4" w:right="20" w:firstLine="577"/>
        <w:spacing w:after="0" w:line="29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Substitute Purchase Warrant</w:t>
      </w:r>
      <w:r>
        <w:rPr>
          <w:rFonts w:ascii="Arial" w:cs="Arial" w:eastAsia="Arial" w:hAnsi="Arial"/>
          <w:sz w:val="14"/>
          <w:szCs w:val="14"/>
          <w:color w:val="auto"/>
        </w:rPr>
        <w:t>.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Section 6. The above provision of this Section shall similarly apply to successive consolidations or share reconstructions or amalgamations.</w:t>
      </w:r>
    </w:p>
    <w:p>
      <w:pPr>
        <w:spacing w:after="0" w:line="147"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Elimination of Fractional Interests</w:t>
      </w:r>
      <w:r>
        <w:rPr>
          <w:rFonts w:ascii="Arial" w:cs="Arial" w:eastAsia="Arial" w:hAnsi="Arial"/>
          <w:sz w:val="16"/>
          <w:szCs w:val="16"/>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162" w:lineRule="exact"/>
        <w:rPr>
          <w:sz w:val="20"/>
          <w:szCs w:val="20"/>
          <w:color w:val="auto"/>
        </w:rPr>
      </w:pPr>
    </w:p>
    <w:p>
      <w:pPr>
        <w:jc w:val="both"/>
        <w:ind w:left="4" w:right="20" w:hanging="4"/>
        <w:spacing w:after="0" w:line="273" w:lineRule="auto"/>
        <w:tabs>
          <w:tab w:leader="none" w:pos="640"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Reservation and Listing</w:t>
      </w:r>
      <w:r>
        <w:rPr>
          <w:rFonts w:ascii="Arial" w:cs="Arial" w:eastAsia="Arial" w:hAnsi="Arial"/>
          <w:sz w:val="15"/>
          <w:szCs w:val="15"/>
          <w:color w:val="auto"/>
        </w:rPr>
        <w:t>. The Company shall at all times reserve and keep available out of its authorized Shares, solely for the purpose of issuance upon exercise of the Purchase Warrants, such number of Shares or other securities, properties or rights as shall be issuable upon the exercise thereof. The Company covenants and agrees that, upon exercise of the Purchase Warrants and payment of the applicable Exercise Price therefor, in accordance with the terms hereby, all Shares and other securities issuable upon such exercise shall be duly and validly issued, fully paid and non-assessable and not subject to preemptive rights of any shareholder. The Company further covenants and agrees that upon exercise of the Purchase Warrants and payment of the applicable exercise price therefor, all Shares and other securities issuable upon such exercise shall be duly and validly issued, fully paid and non-assessable and not subject to preemptive rights of any shareholder. As long as the Purchase Warrants shall be outstanding, the Company shall use its commercially reasonable efforts to cause all Shares issuable upon exercise of the Purchase Warrants to be listed (subject to official notice of issuance) on all national securities exchanges (or, if applicable, on the OTC Bulletin Board or any successor trading market) on which the Shares issued to the public in the Offering may then be listed and/or quoted.</w:t>
      </w:r>
    </w:p>
    <w:p>
      <w:pPr>
        <w:spacing w:after="0" w:line="348" w:lineRule="exact"/>
        <w:rPr>
          <w:rFonts w:ascii="Arial" w:cs="Arial" w:eastAsia="Arial" w:hAnsi="Arial"/>
          <w:sz w:val="15"/>
          <w:szCs w:val="15"/>
          <w:color w:val="auto"/>
        </w:rPr>
      </w:pPr>
    </w:p>
    <w:p>
      <w:pPr>
        <w:ind w:left="5684" w:hanging="99"/>
        <w:spacing w:after="0"/>
        <w:tabs>
          <w:tab w:leader="none" w:pos="568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93" w:name="page194"/>
    <w:bookmarkEnd w:id="193"/>
    <w:p>
      <w:pPr>
        <w:ind w:left="604" w:hanging="604"/>
        <w:spacing w:after="0"/>
        <w:tabs>
          <w:tab w:leader="none" w:pos="604"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Certain Notice Requirements</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97"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Holder’s Right to Receive Notice</w:t>
      </w:r>
      <w:r>
        <w:rPr>
          <w:rFonts w:ascii="Arial" w:cs="Arial" w:eastAsia="Arial" w:hAnsi="Arial"/>
          <w:sz w:val="14"/>
          <w:szCs w:val="14"/>
          <w:color w:val="auto"/>
        </w:rPr>
        <w:t>.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Section 8.2 shall occur, then, in one or more of said events, the Company shall give written notice of such event at least fifteen days prior to the date fixed as a record date or the date of closing the transfer books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143" w:lineRule="exact"/>
        <w:rPr>
          <w:sz w:val="20"/>
          <w:szCs w:val="20"/>
          <w:color w:val="auto"/>
        </w:rPr>
      </w:pPr>
    </w:p>
    <w:p>
      <w:pPr>
        <w:jc w:val="both"/>
        <w:ind w:left="4" w:firstLine="577"/>
        <w:spacing w:after="0" w:line="276"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Events Requiring Notice</w:t>
      </w:r>
      <w:r>
        <w:rPr>
          <w:rFonts w:ascii="Arial" w:cs="Arial" w:eastAsia="Arial" w:hAnsi="Arial"/>
          <w:sz w:val="15"/>
          <w:szCs w:val="15"/>
          <w:color w:val="auto"/>
        </w:rPr>
        <w:t>. The Company shall be required to give the notice described in this Section 8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share reconstruction or amalgamation) or a sale of all or substantially all of its property, assets and business shall be proposed.</w:t>
      </w:r>
    </w:p>
    <w:p>
      <w:pPr>
        <w:spacing w:after="0" w:line="155"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Notice of Change in applicable Exercise Price</w:t>
      </w:r>
      <w:r>
        <w:rPr>
          <w:rFonts w:ascii="Arial" w:cs="Arial" w:eastAsia="Arial" w:hAnsi="Arial"/>
          <w:sz w:val="16"/>
          <w:szCs w:val="16"/>
          <w:color w:val="auto"/>
        </w:rPr>
        <w:t>. The Company shall, promptly after an event requiring a change in the applicable Exercise Price pursuant to Section 6 hereof, send notice to the Holders of such event and change (“Price Notice”). The Price Notice shall describe the event causing the change and the method of calculating same and shall be certified as being true and accurate by the Company’s Chief Financial Officer.</w:t>
      </w:r>
    </w:p>
    <w:p>
      <w:pPr>
        <w:spacing w:after="0" w:line="162" w:lineRule="exact"/>
        <w:rPr>
          <w:sz w:val="20"/>
          <w:szCs w:val="20"/>
          <w:color w:val="auto"/>
        </w:rPr>
      </w:pPr>
    </w:p>
    <w:p>
      <w:pPr>
        <w:jc w:val="both"/>
        <w:ind w:left="4" w:firstLine="577"/>
        <w:spacing w:after="0" w:line="319"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Transmittal of Notices</w:t>
      </w:r>
      <w:r>
        <w:rPr>
          <w:rFonts w:ascii="Arial" w:cs="Arial" w:eastAsia="Arial" w:hAnsi="Arial"/>
          <w:sz w:val="14"/>
          <w:szCs w:val="14"/>
          <w:color w:val="auto"/>
        </w:rPr>
        <w:t>. All notices, requests, consents and other communications under this Purchase Warrant shall be in writing and shall be deemed to have been duly made when hand delivered, or mailed by express mail or private courier service: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2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to the Holder:</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Aegis Capital Corp.</w:t>
      </w:r>
    </w:p>
    <w:p>
      <w:pPr>
        <w:ind w:left="584"/>
        <w:spacing w:after="0" w:line="201" w:lineRule="auto"/>
        <w:rPr>
          <w:sz w:val="20"/>
          <w:szCs w:val="20"/>
          <w:color w:val="auto"/>
        </w:rPr>
      </w:pPr>
      <w:r>
        <w:rPr>
          <w:rFonts w:ascii="Arial" w:cs="Arial" w:eastAsia="Arial" w:hAnsi="Arial"/>
          <w:sz w:val="16"/>
          <w:szCs w:val="16"/>
          <w:color w:val="auto"/>
        </w:rPr>
        <w:t>810 Seventh Avenue,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584"/>
        <w:spacing w:after="0"/>
        <w:rPr>
          <w:sz w:val="20"/>
          <w:szCs w:val="20"/>
          <w:color w:val="auto"/>
        </w:rPr>
      </w:pPr>
      <w:r>
        <w:rPr>
          <w:rFonts w:ascii="Arial" w:cs="Arial" w:eastAsia="Arial" w:hAnsi="Arial"/>
          <w:sz w:val="16"/>
          <w:szCs w:val="16"/>
          <w:color w:val="auto"/>
        </w:rPr>
        <w:t>New York, New York 10019</w:t>
      </w:r>
    </w:p>
    <w:p>
      <w:pPr>
        <w:spacing w:after="0" w:line="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Attn: Mr. David Bocchi, Managing Director of Investment Banking</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212-813-1047</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with a copy (which shall not constitute notice) to:</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94" w:name="page195"/>
    <w:bookmarkEnd w:id="194"/>
    <w:p>
      <w:pPr>
        <w:ind w:left="564"/>
        <w:spacing w:after="0"/>
        <w:rPr>
          <w:sz w:val="20"/>
          <w:szCs w:val="20"/>
          <w:color w:val="auto"/>
        </w:rPr>
      </w:pPr>
      <w:r>
        <w:rPr>
          <w:rFonts w:ascii="Arial" w:cs="Arial" w:eastAsia="Arial" w:hAnsi="Arial"/>
          <w:sz w:val="16"/>
          <w:szCs w:val="16"/>
          <w:color w:val="auto"/>
        </w:rPr>
        <w:t>Troutman Sanders LLP</w:t>
      </w:r>
    </w:p>
    <w:p>
      <w:pPr>
        <w:spacing w:after="0" w:line="21"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Chrysler Building</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405 Lexington Avenue</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New York, New York 10174</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Attn: Henry I. Rothman</w:t>
      </w:r>
    </w:p>
    <w:p>
      <w:pPr>
        <w:spacing w:after="0" w:line="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Fax No.: 212-704-6288</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If to the Company:</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Alcobra Ltd.</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65 Rothschild Blvd.</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Tel Aviv 65785 Israel</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Attention: Dr. Yaron Daniely</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011-972-72-220-4664</w:t>
      </w:r>
    </w:p>
    <w:p>
      <w:pPr>
        <w:spacing w:after="0" w:line="18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ZAG/S&amp;W LLP</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1633 Broadway</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New York, NY 10019</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Attention: Edwin L. Miller Jr.</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Fax No: 617-338-2880</w:t>
      </w:r>
    </w:p>
    <w:p>
      <w:pPr>
        <w:spacing w:after="0" w:line="188" w:lineRule="exact"/>
        <w:rPr>
          <w:sz w:val="20"/>
          <w:szCs w:val="20"/>
          <w:color w:val="auto"/>
        </w:rPr>
      </w:pPr>
    </w:p>
    <w:p>
      <w:pPr>
        <w:ind w:left="604" w:hanging="604"/>
        <w:spacing w:after="0"/>
        <w:tabs>
          <w:tab w:leader="none" w:pos="604"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left="4" w:firstLine="577"/>
        <w:spacing w:after="0" w:line="25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w:t>
      </w:r>
      <w:r>
        <w:rPr>
          <w:rFonts w:ascii="Arial" w:cs="Arial" w:eastAsia="Arial" w:hAnsi="Arial"/>
          <w:sz w:val="16"/>
          <w:szCs w:val="16"/>
          <w:color w:val="auto"/>
        </w:rPr>
        <w:t>. The Company and Aegis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Aegis may deem necessary or desirable and that the Company and Aegis deem shall not adversely affect the interest of the Holders. All other modifications or amendments shall require the written consent of and be signed by the party against whom enforcement of the modification or amendment is sought.</w:t>
      </w:r>
    </w:p>
    <w:p>
      <w:pPr>
        <w:spacing w:after="0" w:line="168"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herein are for the sole purpose of convenience of reference, and shall not in any way limit or affect the meaning or interpretation of any of the terms or provisions of this Purchase Warrant.</w:t>
      </w:r>
    </w:p>
    <w:p>
      <w:pPr>
        <w:spacing w:after="0" w:line="152"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62"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Purchase Warrant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195" w:name="page196"/>
    <w:bookmarkEnd w:id="195"/>
    <w:p>
      <w:pPr>
        <w:ind w:left="580"/>
        <w:spacing w:after="0"/>
        <w:tabs>
          <w:tab w:leader="none" w:pos="11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u w:val="single" w:color="auto"/>
          <w:color w:val="auto"/>
        </w:rPr>
        <w:t>Governing Law; Submission to Jurisdiction; Trial by Jury</w:t>
      </w:r>
      <w:r>
        <w:rPr>
          <w:rFonts w:ascii="Arial" w:cs="Arial" w:eastAsia="Arial" w:hAnsi="Arial"/>
          <w:sz w:val="14"/>
          <w:szCs w:val="14"/>
          <w:color w:val="auto"/>
        </w:rPr>
        <w:t>.</w:t>
      </w:r>
    </w:p>
    <w:p>
      <w:pPr>
        <w:spacing w:after="0" w:line="200" w:lineRule="exact"/>
        <w:rPr>
          <w:sz w:val="20"/>
          <w:szCs w:val="20"/>
          <w:color w:val="auto"/>
        </w:rPr>
      </w:pPr>
    </w:p>
    <w:p>
      <w:pPr>
        <w:ind w:firstLine="1153"/>
        <w:spacing w:after="0" w:line="289" w:lineRule="auto"/>
        <w:rPr>
          <w:sz w:val="20"/>
          <w:szCs w:val="20"/>
          <w:color w:val="auto"/>
        </w:rPr>
      </w:pPr>
      <w:r>
        <w:rPr>
          <w:rFonts w:ascii="Arial" w:cs="Arial" w:eastAsia="Arial" w:hAnsi="Arial"/>
          <w:sz w:val="14"/>
          <w:szCs w:val="14"/>
          <w:color w:val="auto"/>
        </w:rPr>
        <w:t>9.5.1 This Purchase Warrant shall be governed by and construed and enforced in accordance with the laws of the State of New York, without giving effect to conflict of laws principles thereof that would defer to the substantive laws of another jurisdiction. By the execution and delivery of this Purchase Warrant , the Company hereby irrevocably designates and appoints Zysman, Aharoni, Gayer &amp; Sullivan &amp; Worcester LLP, 1633 Broadway, New York, NY 10019 as its authorized agent upon whom process may be served in any suit, proceeding or other action against it instituted by any Holder or by any person controlling a Holder as to which such Holder or any such controlling person is a party and based upon Purchase Warrant, or in any other action against the Company in the New York Supreme Court, County of New York and the United States District Court for the Southern District of New York, arising out of this Purchase Warrant. The Company expressly accepts jurisdiction of any such court in respect of any such suit, proceeding or other action and, without limiting other methods of obtaining jurisdiction, expressly submits to nonexclusive personal jurisdiction of any such court in respect of any such suit, proceeding or other action. Such designation and appointment shall be irrevocable, unless and until a successor authorized agent in the County and State of New York reasonably acceptable to the Holder shall have been appointed by the Company, such successor shall have accepted such appointment and written notice thereof shall have been given to the Holder. The Company further agrees that service of process upon its authorized agent or successor shall be deemed in every respect personal service of process upon the Company in any such suit, proceeding or other action. In the event that service of any process or notice of motion or other application to any such court in connection with any such motion in connection with any such action or proceeding cannot be made in the manner described above, such service may be made in the manner set forth in conformance with the Hague Convention on the Service Abroad of Judicial and Extrajudicial Documents on Civil and Commercial Matters or any successor convention or treaty. The Company hereby irrevocably waives any objection that it may have or hereafter have to the laying of venue of any such action or proceeding arising out of or based on this Purchase Warrant in any Federal or state court sitting in the County of New York and hereby further irrevocably waives any claim that any such action or proceeding in any such court has been brought in an inconvenient forum. The Company agrees that any final judgment after exhaustion of all appeals or the expiration of time to appeal in any such action or proceeding arising out of this Purchase Warrant rendered by any such Federal court or state court shall be conclusive and may be enforced in any other jurisdiction by suit on the judgment or in any other manner provided by law. Nothing contained in this Purchase Warrant shall affect or limit the right of the Holder or any person controlling a Holder to serve any process or notice of motion or other application in any other manner permitted by law or limit or affect the right of the Holder or any person controlling a Holder to bring any action or proceeding against the Company or any of its properties in the courts of any other jurisdiction. The Company further agrees to take any and all action, including the execution and filing of all such instruments and documents, as may be necessary to continue such designations and appointments or such substitute designations and appointments in full force and effect. The Company hereby agrees with the Holder to the nonexclusive jurisdiction of the New York Supreme Court, County of New York or the United States District Court for the Southern District of New York in connection with any action or proceeding arising from this Purchase Warrant brought by the Company, the Holder or any person controlling a Holder. The Company (on its behalf and, to the extent permitted by applicable law, on behalf of its stockholders and affiliates) and each of the Holder hereby irrevocably waives, to the fullest extent permitted by applicable law, any and all right to trial by jury in any legal proceeding arising out of or relating to this Purchase Warrant or the transactions contemplated hereby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96" w:name="page197"/>
    <w:bookmarkEnd w:id="196"/>
    <w:p>
      <w:pPr>
        <w:ind w:right="40" w:firstLine="1153"/>
        <w:spacing w:after="0" w:line="271" w:lineRule="auto"/>
        <w:rPr>
          <w:sz w:val="20"/>
          <w:szCs w:val="20"/>
          <w:color w:val="auto"/>
        </w:rPr>
      </w:pPr>
      <w:r>
        <w:rPr>
          <w:rFonts w:ascii="Arial" w:cs="Arial" w:eastAsia="Arial" w:hAnsi="Arial"/>
          <w:sz w:val="15"/>
          <w:szCs w:val="15"/>
          <w:color w:val="auto"/>
        </w:rPr>
        <w:t>9.5.2 The Company agrees that in any suit (whether in a court in the United States, Israel or elsewhere) seeking enforcement of this Purchase Warrant or provisions of this Purchase Warrant (i) if the plaintiffs therein seek a judgment in either United States dollars or Israeli currency, subject to Israeli foreign currency control regulations, the Company will not interpose any defense or objection to or otherwise oppose judgment, if any, being awarded in such currencies except to the extent that such a judgment would violate the laws of the State of Israel, and (ii) if the plaintiffs therein seek to have any judgment (or any aspect thereof) awarded in New Israeli Shekels linked, for the period from entry of such judgment until actual payment thereof in full has been made, to either or both of the consumer price index of Israel or changes in the New Israeli Shekel-United States dollar exchange rate, the Company will not interpose any defense or objection to or otherwise oppose inclusion of such linkage in any such judgment except to the extent that such a judgment would violate the laws of the State of Israel. The Company agrees that it will not initiate or seek to initiate any action, suit or proceeding, in Israel or in any other jurisdiction other than in the United States, seeking damages in respect of or for the purpose of obtaining any injunction or declaratory judgment against the enforcement of, or a declaratory judgment concerning any alleged breach by the Company or other claim by the Holder, or any person controlling a Holder in respect of this Purchase Warrant or any of the Holder's rights under this Purchase Warrant, including without limitation any action, suit or proceeding challenging the enforceability of or seeking to invalidate in any respect the submission by the Company hereunder to the jurisdiction of the courts or the designation of the laws as the law applicable to this Purchase Warrant, in each case as set forth herein.</w:t>
      </w:r>
    </w:p>
    <w:p>
      <w:pPr>
        <w:spacing w:after="0" w:line="161" w:lineRule="exact"/>
        <w:rPr>
          <w:sz w:val="20"/>
          <w:szCs w:val="20"/>
          <w:color w:val="auto"/>
        </w:rPr>
      </w:pPr>
    </w:p>
    <w:p>
      <w:pPr>
        <w:ind w:right="40" w:firstLine="1153"/>
        <w:spacing w:after="0" w:line="297" w:lineRule="auto"/>
        <w:rPr>
          <w:sz w:val="20"/>
          <w:szCs w:val="20"/>
          <w:color w:val="auto"/>
        </w:rPr>
      </w:pPr>
      <w:r>
        <w:rPr>
          <w:rFonts w:ascii="Arial" w:cs="Arial" w:eastAsia="Arial" w:hAnsi="Arial"/>
          <w:sz w:val="14"/>
          <w:szCs w:val="14"/>
          <w:color w:val="auto"/>
        </w:rPr>
        <w:t>9.5.3 The Company agrees that if any payment of any sum due under this Purchase Warrant from the Company is made to or received by the Holder or any controlling person of any Holder in a currency other than freely transferable United States dollars, whether by judicial judgment or otherwise, the obligations of the Company under this Purchase Warrant shall be discharged only to the extent of the net amount of freely transferable United States dollars that the Holder or such controlling persons, as the case may be, in accordance with normal bank procedures, are able to lawfully purchase with such amount of such other currency. To the extent that the Holder or such controlling persons are not able to purchase sufficient United States dollars with such amount of such other currency to discharge the obligations of the Company to the Holder or such controlling persons, the obligations of the Company shall not be discharged with respect to such difference, and any such undischarged amount will be due as a separate obligation and shall not be affected by payment of or judgment being obtained for any other sums due under or in respect of this Purchase Warrant.</w:t>
      </w:r>
    </w:p>
    <w:p>
      <w:pPr>
        <w:spacing w:after="0" w:line="143"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Waiver, etc</w:t>
      </w:r>
      <w:r>
        <w:rPr>
          <w:rFonts w:ascii="Arial" w:cs="Arial" w:eastAsia="Arial" w:hAnsi="Arial"/>
          <w:sz w:val="14"/>
          <w:szCs w:val="14"/>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4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w:t>
      </w:r>
    </w:p>
    <w:p>
      <w:pPr>
        <w:spacing w:after="0" w:line="167"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Exchange Agreement</w:t>
      </w:r>
      <w:r>
        <w:rPr>
          <w:rFonts w:ascii="Arial" w:cs="Arial" w:eastAsia="Arial" w:hAnsi="Arial"/>
          <w:sz w:val="14"/>
          <w:szCs w:val="14"/>
          <w:color w:val="auto"/>
        </w:rPr>
        <w:t>. As a condition of the Holder’s receipt and acceptance of this Purchase Warrant, Holder agrees that, at any time prior to the complete exercise of this Purchase Warrant by Holder, if the Company and Aegis enter into an agreement (“Exchange Agreement”) pursuant to which they agree that all outstanding Purchase Warrants will be exchanged for securities or cash or a combination of both, then Holder shall agree to such exchange and become a party to the Exchange Agreement.</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[Signature Page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color w:val="auto"/>
        </w:rPr>
        <w:t>IN WITNESS WHEREOF, the Company has caused this Purchase Warrant to be signed by its duly authorized officer as of the ____ day of _______, 2013.</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-116205</wp:posOffset>
            </wp:positionV>
            <wp:extent cx="299783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97835" cy="762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26186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940"/>
          </w:cols>
          <w:pgMar w:left="820" w:top="800" w:right="1139" w:bottom="1440" w:gutter="0" w:footer="0" w:header="0"/>
        </w:sectPr>
      </w:pPr>
    </w:p>
    <w:bookmarkStart w:id="198" w:name="page199"/>
    <w:bookmarkEnd w:id="198"/>
    <w:p>
      <w:pPr>
        <w:ind w:left="3620"/>
        <w:spacing w:after="0"/>
        <w:rPr>
          <w:sz w:val="20"/>
          <w:szCs w:val="20"/>
          <w:color w:val="auto"/>
        </w:rPr>
      </w:pPr>
      <w:r>
        <w:rPr>
          <w:rFonts w:ascii="Arial" w:cs="Arial" w:eastAsia="Arial" w:hAnsi="Arial"/>
          <w:sz w:val="16"/>
          <w:szCs w:val="16"/>
          <w:color w:val="auto"/>
        </w:rPr>
        <w:t>[Form to be used to exercise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 20___</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hereby elects irrevocably to exercise the Purchase Warrant for ______ ordinary shares, par value NIS 0.01 per share (the “Shares”), of Alcobra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Ltd., an Israeli corporation (the “Company”), and hereby makes payment of $____ (at the rate of $____ per Share) in payment of the applicable Exercise Price pursuant</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thereto. Please issue the Shares as to which this Purchase Warrant is exercised in accordance with the instructions given below and, if applicable, a new Purchase Warrant representing the number of Shares for which this Purchase Warrant has not been exercised.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undersigned hereby elects irrevocably to convert its right to purchase ___ Shares of the Company under the Purchase Warrant for ______ Shares,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in accordance with the following formula:</w:t>
      </w:r>
    </w:p>
    <w:p>
      <w:pPr>
        <w:sectPr>
          <w:pgSz w:w="11900" w:h="16838" w:orient="portrait"/>
          <w:cols w:equalWidth="0" w:num="1">
            <w:col w:w="10840"/>
          </w:cols>
          <w:pgMar w:left="820" w:top="800" w:right="239" w:bottom="1440" w:gutter="0" w:footer="0" w:header="0"/>
        </w:sectPr>
      </w:pPr>
    </w:p>
    <w:p>
      <w:pPr>
        <w:spacing w:after="0" w:line="284" w:lineRule="exact"/>
        <w:rPr>
          <w:sz w:val="20"/>
          <w:szCs w:val="20"/>
          <w:color w:val="auto"/>
        </w:rPr>
      </w:pPr>
    </w:p>
    <w:p>
      <w:pPr>
        <w:jc w:val="both"/>
        <w:ind w:left="1320"/>
        <w:spacing w:after="0"/>
        <w:tabs>
          <w:tab w:leader="none" w:pos="1640" w:val="left"/>
        </w:tabs>
        <w:rPr>
          <w:sz w:val="20"/>
          <w:szCs w:val="20"/>
          <w:color w:val="auto"/>
        </w:rPr>
      </w:pPr>
      <w:r>
        <w:rPr>
          <w:rFonts w:ascii="Arial" w:cs="Arial" w:eastAsia="Arial" w:hAnsi="Arial"/>
          <w:sz w:val="16"/>
          <w:szCs w:val="16"/>
          <w:color w:val="auto"/>
        </w:rPr>
        <w:t>X</w:t>
        <w:tab/>
        <w:t>=</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X</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Y</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7094"/>
        <w:spacing w:after="0"/>
        <w:rPr>
          <w:sz w:val="20"/>
          <w:szCs w:val="20"/>
          <w:color w:val="auto"/>
        </w:rPr>
      </w:pPr>
      <w:r>
        <w:rPr>
          <w:rFonts w:ascii="Arial" w:cs="Arial" w:eastAsia="Arial" w:hAnsi="Arial"/>
          <w:sz w:val="16"/>
          <w:szCs w:val="16"/>
          <w:color w:val="auto"/>
        </w:rPr>
        <w:t>Y(A-B)</w:t>
      </w:r>
    </w:p>
    <w:p>
      <w:pPr>
        <w:spacing w:after="0" w:line="21" w:lineRule="exact"/>
        <w:rPr>
          <w:sz w:val="20"/>
          <w:szCs w:val="20"/>
          <w:color w:val="auto"/>
        </w:rPr>
      </w:pPr>
    </w:p>
    <w:p>
      <w:pPr>
        <w:jc w:val="center"/>
        <w:ind w:right="7094"/>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-116205</wp:posOffset>
            </wp:positionV>
            <wp:extent cx="130429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372" w:lineRule="exact"/>
        <w:rPr>
          <w:sz w:val="20"/>
          <w:szCs w:val="20"/>
          <w:color w:val="auto"/>
        </w:rPr>
      </w:pPr>
    </w:p>
    <w:p>
      <w:pPr>
        <w:ind w:left="246" w:hanging="246"/>
        <w:spacing w:after="0"/>
        <w:tabs>
          <w:tab w:leader="none" w:pos="24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number of Shares to be issued to Holder;</w:t>
      </w:r>
    </w:p>
    <w:p>
      <w:pPr>
        <w:spacing w:after="0" w:line="20" w:lineRule="exact"/>
        <w:rPr>
          <w:rFonts w:ascii="Arial" w:cs="Arial" w:eastAsia="Arial" w:hAnsi="Arial"/>
          <w:sz w:val="16"/>
          <w:szCs w:val="16"/>
          <w:color w:val="auto"/>
        </w:rPr>
      </w:pPr>
    </w:p>
    <w:p>
      <w:pPr>
        <w:ind w:left="246" w:hanging="246"/>
        <w:spacing w:after="0"/>
        <w:tabs>
          <w:tab w:leader="none" w:pos="24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number of Shares for which the Purchase Warrant is being exercised;</w:t>
      </w:r>
    </w:p>
    <w:p>
      <w:pPr>
        <w:spacing w:after="0" w:line="31" w:lineRule="exact"/>
        <w:rPr>
          <w:rFonts w:ascii="Arial" w:cs="Arial" w:eastAsia="Arial" w:hAnsi="Arial"/>
          <w:sz w:val="14"/>
          <w:szCs w:val="14"/>
          <w:color w:val="auto"/>
        </w:rPr>
      </w:pPr>
    </w:p>
    <w:p>
      <w:pPr>
        <w:ind w:left="246" w:hanging="246"/>
        <w:spacing w:after="0"/>
        <w:tabs>
          <w:tab w:leader="none" w:pos="24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fair market value of one Share which is equal to $_____; and</w:t>
      </w:r>
    </w:p>
    <w:p>
      <w:pPr>
        <w:spacing w:after="0" w:line="8" w:lineRule="exact"/>
        <w:rPr>
          <w:rFonts w:ascii="Arial" w:cs="Arial" w:eastAsia="Arial" w:hAnsi="Arial"/>
          <w:sz w:val="16"/>
          <w:szCs w:val="16"/>
          <w:color w:val="auto"/>
        </w:rPr>
      </w:pPr>
    </w:p>
    <w:p>
      <w:pPr>
        <w:ind w:left="246" w:hanging="246"/>
        <w:spacing w:after="0"/>
        <w:tabs>
          <w:tab w:leader="none" w:pos="246"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applicable Exercise Price which is equal to $______ per share</w:t>
      </w:r>
    </w:p>
    <w:p>
      <w:pPr>
        <w:spacing w:after="0" w:line="199" w:lineRule="exact"/>
        <w:rPr>
          <w:sz w:val="20"/>
          <w:szCs w:val="20"/>
          <w:color w:val="auto"/>
        </w:rPr>
      </w:pPr>
    </w:p>
    <w:p>
      <w:pPr>
        <w:sectPr>
          <w:pgSz w:w="11900" w:h="16838" w:orient="portrait"/>
          <w:cols w:equalWidth="0" w:num="2">
            <w:col w:w="1740" w:space="274"/>
            <w:col w:w="8826"/>
          </w:cols>
          <w:pgMar w:left="820" w:top="800" w:right="239" w:bottom="1440" w:gutter="0" w:footer="0" w:header="0"/>
          <w:type w:val="continuous"/>
        </w:sectPr>
      </w:pPr>
    </w:p>
    <w:p>
      <w:pPr>
        <w:ind w:firstLine="577"/>
        <w:spacing w:after="0" w:line="277" w:lineRule="auto"/>
        <w:rPr>
          <w:sz w:val="20"/>
          <w:szCs w:val="20"/>
          <w:color w:val="auto"/>
        </w:rPr>
      </w:pPr>
      <w:r>
        <w:rPr>
          <w:rFonts w:ascii="Arial" w:cs="Arial" w:eastAsia="Arial" w:hAnsi="Arial"/>
          <w:sz w:val="16"/>
          <w:szCs w:val="16"/>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52"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Please issue the Shares as to which this Purchase Warrant is exercised in accordance with the instructions given below and, if applicable, a new Purchase Warrant representing the number of Shares for which this Purchase Warrant has not been converted.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13335</wp:posOffset>
            </wp:positionV>
            <wp:extent cx="260858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8580"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13335</wp:posOffset>
            </wp:positionV>
            <wp:extent cx="260858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8580" cy="7620"/>
                    </a:xfrm>
                    <a:prstGeom prst="rect">
                      <a:avLst/>
                    </a:prstGeom>
                    <a:noFill/>
                  </pic:spPr>
                </pic:pic>
              </a:graphicData>
            </a:graphic>
          </wp:anchor>
        </w:drawing>
      </w:r>
    </w:p>
    <w:p>
      <w:pPr>
        <w:spacing w:after="0" w:line="38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13335</wp:posOffset>
            </wp:positionV>
            <wp:extent cx="726186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840"/>
          </w:cols>
          <w:pgMar w:left="820" w:top="800" w:right="23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6"/>
          <w:szCs w:val="16"/>
          <w:color w:val="auto"/>
        </w:rPr>
        <w:t>INSTRUCTIONS FOR REGISTRATION OF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(Print in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-116205</wp:posOffset>
            </wp:positionV>
            <wp:extent cx="289877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516890</wp:posOffset>
            </wp:positionV>
            <wp:extent cx="289877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762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264795</wp:posOffset>
            </wp:positionV>
            <wp:extent cx="289877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762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13335</wp:posOffset>
            </wp:positionV>
            <wp:extent cx="289877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6"/>
          <w:szCs w:val="16"/>
          <w:color w:val="auto"/>
        </w:rPr>
        <w:t>[Form to be used to assign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ASSIGNMENT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be executed by the registered Holder to effect a transfer of the within Purchase Warrant):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__________________ does hereby sell, assign and transfer unto the right to purchase ordinary shares, par value NIS 0.01 per share, of Alcobra Ltd.,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 Israeli corporation (the “Company”), evidenced by the Purchase Warrant and does hereby authorize the Company to transfer such right on the books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 20__</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13335</wp:posOffset>
            </wp:positionV>
            <wp:extent cx="290639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192" w:lineRule="exact"/>
        <w:rPr>
          <w:sz w:val="20"/>
          <w:szCs w:val="20"/>
          <w:color w:val="auto"/>
        </w:rPr>
      </w:pPr>
    </w:p>
    <w:p>
      <w:pPr>
        <w:jc w:val="both"/>
        <w:ind w:right="280"/>
        <w:spacing w:after="0" w:line="351" w:lineRule="auto"/>
        <w:rPr>
          <w:sz w:val="20"/>
          <w:szCs w:val="20"/>
          <w:color w:val="auto"/>
        </w:rPr>
      </w:pPr>
      <w:r>
        <w:rPr>
          <w:rFonts w:ascii="Arial" w:cs="Arial" w:eastAsia="Arial" w:hAnsi="Arial"/>
          <w:sz w:val="14"/>
          <w:szCs w:val="14"/>
          <w:color w:val="auto"/>
        </w:rPr>
        <w:t>NOTICE: The signature to this form must correspond with the name as written upon the face of the within Purchase Warrant without alteration or enlargement or any change whatsoever, and must be guaranteed by a bank, other than a savings bank, or by a trust company or by a firm having membership on a registered national securities exchange.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6"/>
          <w:szCs w:val="16"/>
          <w:color w:val="auto"/>
        </w:rPr>
        <w:t>Zysman, Aharoni, Gayer &amp; Co.</w:t>
      </w:r>
    </w:p>
    <w:p>
      <w:pPr>
        <w:spacing w:after="0" w:line="200" w:lineRule="exact"/>
        <w:rPr>
          <w:sz w:val="20"/>
          <w:szCs w:val="20"/>
          <w:color w:val="auto"/>
        </w:rPr>
      </w:pPr>
    </w:p>
    <w:p>
      <w:pPr>
        <w:spacing w:after="0"/>
        <w:tabs>
          <w:tab w:leader="none" w:pos="10480" w:val="left"/>
        </w:tabs>
        <w:rPr>
          <w:sz w:val="20"/>
          <w:szCs w:val="20"/>
          <w:color w:val="auto"/>
        </w:rPr>
      </w:pPr>
      <w:r>
        <w:rPr>
          <w:rFonts w:ascii="Arial" w:cs="Arial" w:eastAsia="Arial" w:hAnsi="Arial"/>
          <w:sz w:val="15"/>
          <w:szCs w:val="15"/>
          <w:color w:val="auto"/>
        </w:rPr>
        <w:t>To:</w:t>
      </w:r>
      <w:r>
        <w:rPr>
          <w:sz w:val="20"/>
          <w:szCs w:val="20"/>
          <w:color w:val="auto"/>
        </w:rPr>
        <w:tab/>
      </w:r>
      <w:r>
        <w:rPr>
          <w:rFonts w:ascii="Arial" w:cs="Arial" w:eastAsia="Arial" w:hAnsi="Arial"/>
          <w:sz w:val="15"/>
          <w:szCs w:val="15"/>
          <w:color w:val="auto"/>
        </w:rPr>
        <w:t>April 25, 2013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Alcobra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 Ehad Ha’am St.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Tel-Aviv 6520206, Israel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b w:val="1"/>
          <w:bCs w:val="1"/>
          <w:u w:val="single" w:color="auto"/>
          <w:color w:val="auto"/>
        </w:rPr>
        <w:t>Registration Statement on Form F-1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6" w:lineRule="exact"/>
        <w:rPr>
          <w:sz w:val="20"/>
          <w:szCs w:val="20"/>
          <w:color w:val="auto"/>
        </w:rPr>
      </w:pPr>
    </w:p>
    <w:p>
      <w:pPr>
        <w:ind w:right="60" w:firstLine="288"/>
        <w:spacing w:after="0" w:line="277" w:lineRule="auto"/>
        <w:rPr>
          <w:sz w:val="20"/>
          <w:szCs w:val="20"/>
          <w:color w:val="auto"/>
        </w:rPr>
      </w:pPr>
      <w:r>
        <w:rPr>
          <w:rFonts w:ascii="Arial" w:cs="Arial" w:eastAsia="Arial" w:hAnsi="Arial"/>
          <w:sz w:val="15"/>
          <w:szCs w:val="15"/>
          <w:color w:val="auto"/>
        </w:rPr>
        <w:t>We have acted as Israeli counsel for Alcobra Ltd., an Israeli company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underwritten initial public offering (the “</w:t>
      </w:r>
      <w:r>
        <w:rPr>
          <w:rFonts w:ascii="Arial" w:cs="Arial" w:eastAsia="Arial" w:hAnsi="Arial"/>
          <w:sz w:val="15"/>
          <w:szCs w:val="15"/>
          <w:b w:val="1"/>
          <w:bCs w:val="1"/>
          <w:color w:val="auto"/>
        </w:rPr>
        <w:t>Offering</w:t>
      </w:r>
      <w:r>
        <w:rPr>
          <w:rFonts w:ascii="Arial" w:cs="Arial" w:eastAsia="Arial" w:hAnsi="Arial"/>
          <w:sz w:val="15"/>
          <w:szCs w:val="15"/>
          <w:color w:val="auto"/>
        </w:rPr>
        <w:t>”) by the Company of the following securities (all of which are collectively referred to herein as the “</w:t>
      </w:r>
      <w:r>
        <w:rPr>
          <w:rFonts w:ascii="Arial" w:cs="Arial" w:eastAsia="Arial" w:hAnsi="Arial"/>
          <w:sz w:val="15"/>
          <w:szCs w:val="15"/>
          <w:b w:val="1"/>
          <w:bCs w:val="1"/>
          <w:color w:val="auto"/>
        </w:rPr>
        <w:t>Securities</w:t>
      </w:r>
      <w:r>
        <w:rPr>
          <w:rFonts w:ascii="Arial" w:cs="Arial" w:eastAsia="Arial" w:hAnsi="Arial"/>
          <w:sz w:val="15"/>
          <w:szCs w:val="15"/>
          <w:color w:val="auto"/>
        </w:rPr>
        <w:t>”): (i) up to an aggregate of 1,569,750 shares (the “</w:t>
      </w:r>
      <w:r>
        <w:rPr>
          <w:rFonts w:ascii="Arial" w:cs="Arial" w:eastAsia="Arial" w:hAnsi="Arial"/>
          <w:sz w:val="15"/>
          <w:szCs w:val="15"/>
          <w:b w:val="1"/>
          <w:bCs w:val="1"/>
          <w:color w:val="auto"/>
        </w:rPr>
        <w:t>Offered Shares</w:t>
      </w:r>
      <w:r>
        <w:rPr>
          <w:rFonts w:ascii="Arial" w:cs="Arial" w:eastAsia="Arial" w:hAnsi="Arial"/>
          <w:sz w:val="15"/>
          <w:szCs w:val="15"/>
          <w:color w:val="auto"/>
        </w:rPr>
        <w:t>”) of the Company’s ordinary shares, par value NIS 0.01 per share (the “</w:t>
      </w:r>
      <w:r>
        <w:rPr>
          <w:rFonts w:ascii="Arial" w:cs="Arial" w:eastAsia="Arial" w:hAnsi="Arial"/>
          <w:sz w:val="15"/>
          <w:szCs w:val="15"/>
          <w:b w:val="1"/>
          <w:bCs w:val="1"/>
          <w:color w:val="auto"/>
        </w:rPr>
        <w:t>Ordinary Shares</w:t>
      </w:r>
      <w:r>
        <w:rPr>
          <w:rFonts w:ascii="Arial" w:cs="Arial" w:eastAsia="Arial" w:hAnsi="Arial"/>
          <w:sz w:val="15"/>
          <w:szCs w:val="15"/>
          <w:color w:val="auto"/>
        </w:rPr>
        <w:t>”), including shares issuable upon exercise of the underwriters’ over-allotment option; (ii) a warrant (the “</w:t>
      </w:r>
      <w:r>
        <w:rPr>
          <w:rFonts w:ascii="Arial" w:cs="Arial" w:eastAsia="Arial" w:hAnsi="Arial"/>
          <w:sz w:val="15"/>
          <w:szCs w:val="15"/>
          <w:b w:val="1"/>
          <w:bCs w:val="1"/>
          <w:color w:val="auto"/>
        </w:rPr>
        <w:t>Representative’s Warrant</w:t>
      </w:r>
      <w:r>
        <w:rPr>
          <w:rFonts w:ascii="Arial" w:cs="Arial" w:eastAsia="Arial" w:hAnsi="Arial"/>
          <w:sz w:val="15"/>
          <w:szCs w:val="15"/>
          <w:color w:val="auto"/>
        </w:rPr>
        <w:t>”) to purchase up to an aggregate of 68,250 Ordinary Shares; and (iii) 68,250 Ordinary Shares issuable upon exercise of the Representative’s Warrant (the “</w:t>
      </w:r>
      <w:r>
        <w:rPr>
          <w:rFonts w:ascii="Arial" w:cs="Arial" w:eastAsia="Arial" w:hAnsi="Arial"/>
          <w:sz w:val="15"/>
          <w:szCs w:val="15"/>
          <w:b w:val="1"/>
          <w:bCs w:val="1"/>
          <w:color w:val="auto"/>
        </w:rPr>
        <w:t>Warrant Shares</w:t>
      </w:r>
      <w:r>
        <w:rPr>
          <w:rFonts w:ascii="Arial" w:cs="Arial" w:eastAsia="Arial" w:hAnsi="Arial"/>
          <w:sz w:val="15"/>
          <w:szCs w:val="15"/>
          <w:color w:val="auto"/>
        </w:rPr>
        <w:t>”). This opinion letter is rendered pursuant to Item 8(a) of Form F-1 of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and Item 601(b)(5) of the SEC’s Regulation S-K under the United States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w:t>
      </w:r>
    </w:p>
    <w:p>
      <w:pPr>
        <w:spacing w:after="0" w:line="155" w:lineRule="exact"/>
        <w:rPr>
          <w:sz w:val="20"/>
          <w:szCs w:val="20"/>
          <w:color w:val="auto"/>
        </w:rPr>
      </w:pPr>
    </w:p>
    <w:p>
      <w:pPr>
        <w:ind w:right="40" w:firstLine="577"/>
        <w:spacing w:after="0" w:line="273" w:lineRule="auto"/>
        <w:rPr>
          <w:sz w:val="20"/>
          <w:szCs w:val="20"/>
          <w:color w:val="auto"/>
        </w:rPr>
      </w:pPr>
      <w:r>
        <w:rPr>
          <w:rFonts w:ascii="Arial" w:cs="Arial" w:eastAsia="Arial" w:hAnsi="Arial"/>
          <w:sz w:val="15"/>
          <w:szCs w:val="15"/>
          <w:color w:val="auto"/>
        </w:rPr>
        <w:t>In connection herewith, we have examined the originals, photocopies or copies, certified or otherwise identified to our satisfaction, of: (i) the form of the registration statement on Form F-1 (File No. 333-186003), filed by the Company with the SEC and to which this opinion is attached as an exhibit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(ii) the exhibits to the Registration Statement including the form of Underwriting Agreement between the Company and Aegis Capital Corp., as representatives of the several underwriters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(iii) the Representative’s Warrant (iv) copies of the articles of association of the Company, as currently in effect; (v) copies of the amended and restated articles of association of the Company to become effective concurrently with the Offering; (vi) resolutions of the board of directors of the Company which have heretofore been approved which relate to the Registration Statement and the actions to be taken in connection with the Offering; and (vii) such other corporate records, agreements, documents and other instruments, and such certificates or comparable documents of public officials and of officers and representatives of the Company, and have made inquires of such officers and representatives as we have deemed relevant and necessary as a basis for the opinions hereafter set forth.</w:t>
      </w:r>
    </w:p>
    <w:p>
      <w:pPr>
        <w:spacing w:after="0" w:line="160" w:lineRule="exact"/>
        <w:rPr>
          <w:sz w:val="20"/>
          <w:szCs w:val="20"/>
          <w:color w:val="auto"/>
        </w:rPr>
      </w:pPr>
    </w:p>
    <w:p>
      <w:pPr>
        <w:ind w:right="260" w:firstLine="577"/>
        <w:spacing w:after="0" w:line="259"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67" w:lineRule="exact"/>
        <w:rPr>
          <w:sz w:val="20"/>
          <w:szCs w:val="20"/>
          <w:color w:val="auto"/>
        </w:rPr>
      </w:pPr>
    </w:p>
    <w:p>
      <w:pPr>
        <w:ind w:right="80" w:firstLine="577"/>
        <w:spacing w:after="0" w:line="273" w:lineRule="auto"/>
        <w:rPr>
          <w:sz w:val="20"/>
          <w:szCs w:val="20"/>
          <w:color w:val="auto"/>
        </w:rPr>
      </w:pPr>
      <w:r>
        <w:rPr>
          <w:rFonts w:ascii="Arial" w:cs="Arial" w:eastAsia="Arial" w:hAnsi="Arial"/>
          <w:sz w:val="15"/>
          <w:szCs w:val="15"/>
          <w:color w:val="auto"/>
        </w:rPr>
        <w:t>Based upon and subject to the foregoing, we are of the opinion that (i) the Securities have been duly authorized for issuance by all necessary corporate action by the Company; (ii) upon payment to the Company of the consideration in such amount and form as shall be determined by the board of directors of the Company or an authorized committee thereof, the Offered Shares, when issued and sold in the Offering as described in the Registration Statement, will be validly issued, fully paid and non-assessable; (iii) the Representative’s Warrant, when executed and delivered by the Company in accordance with and in the manner described in the Registration Statement and the Underwriting Agreement, will be validly issued and will constitute a valid and binding agreement of the Company enforceable against the Company in accordance with its terms, subject to applicable bankruptcy, insolvency and similar laws affecting creditors’ rights generally and equitable principles of general applicability; and (iv) the Warrant Shares, when issued and sold by the Company and delivered by the Company against receipt of the exercise price therefor, in accordance with and in the manner described in the Registration Statement and the Representative’s Warrant, will be validly issued, fully paid and non-assessable.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are members of the Bar of the State of Israel and we do not express any opinion as to the laws of any other jurisdiction other than those of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379095</wp:posOffset>
            </wp:positionV>
            <wp:extent cx="726186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202" w:name="page203"/>
    <w:bookmarkEnd w:id="202"/>
    <w:p>
      <w:pPr>
        <w:ind w:firstLine="577"/>
        <w:spacing w:after="0" w:line="264"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Zysman, Aharoni, Gayer &amp; Co.</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80"/>
          </w:cols>
          <w:pgMar w:left="240" w:top="800" w:right="379"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Exhibit 10.9</w:t>
      </w:r>
    </w:p>
    <w:p>
      <w:pPr>
        <w:spacing w:after="0" w:line="393"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7240" w:type="dxa"/>
            <w:vAlign w:val="bottom"/>
          </w:tcPr>
          <w:p>
            <w:pPr>
              <w:jc w:val="center"/>
              <w:ind w:left="1640"/>
              <w:spacing w:after="0"/>
              <w:rPr>
                <w:sz w:val="20"/>
                <w:szCs w:val="20"/>
                <w:color w:val="auto"/>
              </w:rPr>
            </w:pPr>
            <w:r>
              <w:rPr>
                <w:rFonts w:ascii="Arial" w:cs="Arial" w:eastAsia="Arial" w:hAnsi="Arial"/>
                <w:sz w:val="16"/>
                <w:szCs w:val="16"/>
                <w:b w:val="1"/>
                <w:bCs w:val="1"/>
                <w:color w:val="auto"/>
              </w:rPr>
              <w:t>EMPLOYMENT AGREEMENT</w:t>
            </w:r>
          </w:p>
        </w:tc>
      </w:tr>
      <w:tr>
        <w:trPr>
          <w:trHeight w:val="192"/>
        </w:trPr>
        <w:tc>
          <w:tcPr>
            <w:tcW w:w="1240" w:type="dxa"/>
            <w:vAlign w:val="bottom"/>
          </w:tcPr>
          <w:p>
            <w:pPr>
              <w:spacing w:after="0"/>
              <w:rPr>
                <w:sz w:val="16"/>
                <w:szCs w:val="16"/>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b w:val="1"/>
                <w:bCs w:val="1"/>
                <w:color w:val="auto"/>
                <w:w w:val="97"/>
              </w:rPr>
              <w:t>AND</w:t>
            </w:r>
          </w:p>
        </w:tc>
      </w:tr>
      <w:tr>
        <w:trPr>
          <w:trHeight w:val="192"/>
        </w:trPr>
        <w:tc>
          <w:tcPr>
            <w:tcW w:w="1240" w:type="dxa"/>
            <w:vAlign w:val="bottom"/>
          </w:tcPr>
          <w:p>
            <w:pPr>
              <w:spacing w:after="0"/>
              <w:rPr>
                <w:sz w:val="16"/>
                <w:szCs w:val="16"/>
                <w:color w:val="auto"/>
              </w:rPr>
            </w:pPr>
          </w:p>
        </w:tc>
        <w:tc>
          <w:tcPr>
            <w:tcW w:w="7240" w:type="dxa"/>
            <w:vAlign w:val="bottom"/>
          </w:tcPr>
          <w:p>
            <w:pPr>
              <w:ind w:left="2720"/>
              <w:spacing w:after="0"/>
              <w:rPr>
                <w:sz w:val="20"/>
                <w:szCs w:val="20"/>
                <w:color w:val="auto"/>
              </w:rPr>
            </w:pPr>
            <w:r>
              <w:rPr>
                <w:rFonts w:ascii="Arial" w:cs="Arial" w:eastAsia="Arial" w:hAnsi="Arial"/>
                <w:sz w:val="16"/>
                <w:szCs w:val="16"/>
                <w:b w:val="1"/>
                <w:bCs w:val="1"/>
                <w:color w:val="auto"/>
              </w:rPr>
              <w:t>A NOTICE UNDER THE NOTICE TO EMPLOYEE LAW</w:t>
            </w:r>
          </w:p>
        </w:tc>
      </w:tr>
      <w:tr>
        <w:trPr>
          <w:trHeight w:val="209"/>
        </w:trPr>
        <w:tc>
          <w:tcPr>
            <w:tcW w:w="1240" w:type="dxa"/>
            <w:vAlign w:val="bottom"/>
          </w:tcPr>
          <w:p>
            <w:pPr>
              <w:spacing w:after="0"/>
              <w:rPr>
                <w:sz w:val="18"/>
                <w:szCs w:val="18"/>
                <w:color w:val="auto"/>
              </w:rPr>
            </w:pPr>
          </w:p>
        </w:tc>
        <w:tc>
          <w:tcPr>
            <w:tcW w:w="7240" w:type="dxa"/>
            <w:vAlign w:val="bottom"/>
          </w:tcPr>
          <w:p>
            <w:pPr>
              <w:jc w:val="center"/>
              <w:ind w:left="1640"/>
              <w:spacing w:after="0"/>
              <w:rPr>
                <w:sz w:val="20"/>
                <w:szCs w:val="20"/>
                <w:color w:val="auto"/>
              </w:rPr>
            </w:pPr>
            <w:r>
              <w:rPr>
                <w:rFonts w:ascii="Arial" w:cs="Arial" w:eastAsia="Arial" w:hAnsi="Arial"/>
                <w:sz w:val="16"/>
                <w:szCs w:val="16"/>
                <w:b w:val="1"/>
                <w:bCs w:val="1"/>
                <w:color w:val="auto"/>
                <w:w w:val="98"/>
              </w:rPr>
              <w:t>(TERMS OF EMPLOYMENT), 5762 – 2002</w:t>
            </w:r>
          </w:p>
        </w:tc>
      </w:tr>
      <w:tr>
        <w:trPr>
          <w:trHeight w:val="384"/>
        </w:trPr>
        <w:tc>
          <w:tcPr>
            <w:tcW w:w="1240" w:type="dxa"/>
            <w:vAlign w:val="bottom"/>
          </w:tcPr>
          <w:p>
            <w:pPr>
              <w:spacing w:after="0"/>
              <w:rPr>
                <w:sz w:val="24"/>
                <w:szCs w:val="24"/>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color w:val="auto"/>
                <w:w w:val="90"/>
              </w:rPr>
              <w:t>Duly executed at the 4 date of March, 2010</w:t>
            </w:r>
          </w:p>
        </w:tc>
      </w:tr>
      <w:tr>
        <w:trPr>
          <w:trHeight w:val="384"/>
        </w:trPr>
        <w:tc>
          <w:tcPr>
            <w:tcW w:w="1240" w:type="dxa"/>
            <w:vAlign w:val="bottom"/>
          </w:tcPr>
          <w:p>
            <w:pPr>
              <w:spacing w:after="0"/>
              <w:rPr>
                <w:sz w:val="24"/>
                <w:szCs w:val="24"/>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b w:val="1"/>
                <w:bCs w:val="1"/>
                <w:color w:val="auto"/>
              </w:rPr>
              <w:t>BY AND BETWEEN</w:t>
            </w:r>
          </w:p>
        </w:tc>
      </w:tr>
      <w:tr>
        <w:trPr>
          <w:trHeight w:val="368"/>
        </w:trPr>
        <w:tc>
          <w:tcPr>
            <w:tcW w:w="1240" w:type="dxa"/>
            <w:vAlign w:val="bottom"/>
          </w:tcPr>
          <w:p>
            <w:pPr>
              <w:spacing w:after="0"/>
              <w:rPr>
                <w:sz w:val="24"/>
                <w:szCs w:val="24"/>
                <w:color w:val="auto"/>
              </w:rPr>
            </w:pPr>
          </w:p>
        </w:tc>
        <w:tc>
          <w:tcPr>
            <w:tcW w:w="7240" w:type="dxa"/>
            <w:vAlign w:val="bottom"/>
          </w:tcPr>
          <w:p>
            <w:pPr>
              <w:jc w:val="center"/>
              <w:ind w:left="1640"/>
              <w:spacing w:after="0"/>
              <w:rPr>
                <w:sz w:val="20"/>
                <w:szCs w:val="20"/>
                <w:color w:val="auto"/>
              </w:rPr>
            </w:pPr>
            <w:r>
              <w:rPr>
                <w:rFonts w:ascii="Arial" w:cs="Arial" w:eastAsia="Arial" w:hAnsi="Arial"/>
                <w:sz w:val="16"/>
                <w:szCs w:val="16"/>
                <w:b w:val="1"/>
                <w:bCs w:val="1"/>
                <w:color w:val="auto"/>
                <w:w w:val="99"/>
              </w:rPr>
              <w:t>ALCOBRA LTD.</w:t>
            </w:r>
          </w:p>
        </w:tc>
      </w:tr>
      <w:tr>
        <w:trPr>
          <w:trHeight w:val="192"/>
        </w:trPr>
        <w:tc>
          <w:tcPr>
            <w:tcW w:w="1240" w:type="dxa"/>
            <w:vAlign w:val="bottom"/>
          </w:tcPr>
          <w:p>
            <w:pPr>
              <w:spacing w:after="0"/>
              <w:rPr>
                <w:sz w:val="16"/>
                <w:szCs w:val="16"/>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b w:val="1"/>
                <w:bCs w:val="1"/>
                <w:color w:val="auto"/>
                <w:w w:val="90"/>
              </w:rPr>
              <w:t>Company incorporated under the laws of the State of Israel</w:t>
            </w:r>
          </w:p>
        </w:tc>
      </w:tr>
      <w:tr>
        <w:trPr>
          <w:trHeight w:val="209"/>
        </w:trPr>
        <w:tc>
          <w:tcPr>
            <w:tcW w:w="1240" w:type="dxa"/>
            <w:vAlign w:val="bottom"/>
          </w:tcPr>
          <w:p>
            <w:pPr>
              <w:spacing w:after="0"/>
              <w:rPr>
                <w:sz w:val="18"/>
                <w:szCs w:val="18"/>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color w:val="auto"/>
                <w:w w:val="94"/>
              </w:rPr>
              <w:t>(the “</w:t>
            </w:r>
            <w:r>
              <w:rPr>
                <w:rFonts w:ascii="Arial" w:cs="Arial" w:eastAsia="Arial" w:hAnsi="Arial"/>
                <w:sz w:val="16"/>
                <w:szCs w:val="16"/>
                <w:b w:val="1"/>
                <w:bCs w:val="1"/>
                <w:color w:val="auto"/>
                <w:w w:val="94"/>
              </w:rPr>
              <w:t>Company</w:t>
            </w:r>
            <w:r>
              <w:rPr>
                <w:rFonts w:ascii="Arial" w:cs="Arial" w:eastAsia="Arial" w:hAnsi="Arial"/>
                <w:sz w:val="16"/>
                <w:szCs w:val="16"/>
                <w:color w:val="auto"/>
                <w:w w:val="94"/>
              </w:rPr>
              <w:t>”)</w:t>
            </w:r>
          </w:p>
        </w:tc>
      </w:tr>
      <w:tr>
        <w:trPr>
          <w:trHeight w:val="384"/>
        </w:trPr>
        <w:tc>
          <w:tcPr>
            <w:tcW w:w="1240" w:type="dxa"/>
            <w:vAlign w:val="bottom"/>
          </w:tcPr>
          <w:p>
            <w:pPr>
              <w:spacing w:after="0"/>
              <w:rPr>
                <w:sz w:val="24"/>
                <w:szCs w:val="24"/>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b w:val="1"/>
                <w:bCs w:val="1"/>
                <w:color w:val="auto"/>
                <w:w w:val="97"/>
              </w:rPr>
              <w:t>AND</w:t>
            </w:r>
          </w:p>
        </w:tc>
      </w:tr>
      <w:tr>
        <w:trPr>
          <w:trHeight w:val="368"/>
        </w:trPr>
        <w:tc>
          <w:tcPr>
            <w:tcW w:w="1240" w:type="dxa"/>
            <w:vAlign w:val="bottom"/>
          </w:tcPr>
          <w:p>
            <w:pPr>
              <w:spacing w:after="0"/>
              <w:rPr>
                <w:sz w:val="24"/>
                <w:szCs w:val="24"/>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color w:val="auto"/>
                <w:w w:val="92"/>
              </w:rPr>
              <w:t>Yaron Daniely I.D. 038300331</w:t>
            </w:r>
          </w:p>
        </w:tc>
      </w:tr>
      <w:tr>
        <w:trPr>
          <w:trHeight w:val="209"/>
        </w:trPr>
        <w:tc>
          <w:tcPr>
            <w:tcW w:w="1240" w:type="dxa"/>
            <w:vAlign w:val="bottom"/>
          </w:tcPr>
          <w:p>
            <w:pPr>
              <w:spacing w:after="0"/>
              <w:rPr>
                <w:sz w:val="18"/>
                <w:szCs w:val="18"/>
                <w:color w:val="auto"/>
              </w:rPr>
            </w:pPr>
          </w:p>
        </w:tc>
        <w:tc>
          <w:tcPr>
            <w:tcW w:w="7240" w:type="dxa"/>
            <w:vAlign w:val="bottom"/>
          </w:tcPr>
          <w:p>
            <w:pPr>
              <w:jc w:val="center"/>
              <w:ind w:left="1620"/>
              <w:spacing w:after="0"/>
              <w:rPr>
                <w:sz w:val="20"/>
                <w:szCs w:val="20"/>
                <w:color w:val="auto"/>
              </w:rPr>
            </w:pPr>
            <w:r>
              <w:rPr>
                <w:rFonts w:ascii="Arial" w:cs="Arial" w:eastAsia="Arial" w:hAnsi="Arial"/>
                <w:sz w:val="16"/>
                <w:szCs w:val="16"/>
                <w:color w:val="auto"/>
                <w:w w:val="92"/>
              </w:rPr>
              <w:t>(the “</w:t>
            </w:r>
            <w:r>
              <w:rPr>
                <w:rFonts w:ascii="Arial" w:cs="Arial" w:eastAsia="Arial" w:hAnsi="Arial"/>
                <w:sz w:val="16"/>
                <w:szCs w:val="16"/>
                <w:b w:val="1"/>
                <w:bCs w:val="1"/>
                <w:color w:val="auto"/>
                <w:w w:val="92"/>
              </w:rPr>
              <w:t>Executive</w:t>
            </w:r>
            <w:r>
              <w:rPr>
                <w:rFonts w:ascii="Arial" w:cs="Arial" w:eastAsia="Arial" w:hAnsi="Arial"/>
                <w:sz w:val="16"/>
                <w:szCs w:val="16"/>
                <w:color w:val="auto"/>
                <w:w w:val="92"/>
              </w:rPr>
              <w:t>”)</w:t>
            </w:r>
          </w:p>
        </w:tc>
      </w:tr>
      <w:tr>
        <w:trPr>
          <w:trHeight w:val="384"/>
        </w:trPr>
        <w:tc>
          <w:tcPr>
            <w:tcW w:w="1240" w:type="dxa"/>
            <w:vAlign w:val="bottom"/>
          </w:tcPr>
          <w:p>
            <w:pPr>
              <w:spacing w:after="0"/>
              <w:rPr>
                <w:sz w:val="20"/>
                <w:szCs w:val="20"/>
                <w:color w:val="auto"/>
              </w:rPr>
            </w:pPr>
            <w:r>
              <w:rPr>
                <w:rFonts w:ascii="Arial" w:cs="Arial" w:eastAsia="Arial" w:hAnsi="Arial"/>
                <w:sz w:val="16"/>
                <w:szCs w:val="16"/>
                <w:color w:val="auto"/>
              </w:rPr>
              <w:t>WHEREAS</w:t>
            </w:r>
          </w:p>
        </w:tc>
        <w:tc>
          <w:tcPr>
            <w:tcW w:w="7240" w:type="dxa"/>
            <w:vAlign w:val="bottom"/>
          </w:tcPr>
          <w:p>
            <w:pPr>
              <w:ind w:left="480"/>
              <w:spacing w:after="0"/>
              <w:rPr>
                <w:sz w:val="20"/>
                <w:szCs w:val="20"/>
                <w:color w:val="auto"/>
              </w:rPr>
            </w:pPr>
            <w:r>
              <w:rPr>
                <w:rFonts w:ascii="Arial" w:cs="Arial" w:eastAsia="Arial" w:hAnsi="Arial"/>
                <w:sz w:val="16"/>
                <w:szCs w:val="16"/>
                <w:color w:val="auto"/>
                <w:w w:val="95"/>
              </w:rPr>
              <w:t>the Company wishes to employ the Executive according to the terms and conditions set herein; and</w:t>
            </w:r>
          </w:p>
        </w:tc>
      </w:tr>
      <w:tr>
        <w:trPr>
          <w:trHeight w:val="384"/>
        </w:trPr>
        <w:tc>
          <w:tcPr>
            <w:tcW w:w="1240" w:type="dxa"/>
            <w:vAlign w:val="bottom"/>
          </w:tcPr>
          <w:p>
            <w:pPr>
              <w:spacing w:after="0"/>
              <w:rPr>
                <w:sz w:val="20"/>
                <w:szCs w:val="20"/>
                <w:color w:val="auto"/>
              </w:rPr>
            </w:pPr>
            <w:r>
              <w:rPr>
                <w:rFonts w:ascii="Arial" w:cs="Arial" w:eastAsia="Arial" w:hAnsi="Arial"/>
                <w:sz w:val="16"/>
                <w:szCs w:val="16"/>
                <w:color w:val="auto"/>
              </w:rPr>
              <w:t>WHEREAS</w:t>
            </w:r>
          </w:p>
        </w:tc>
        <w:tc>
          <w:tcPr>
            <w:tcW w:w="7240" w:type="dxa"/>
            <w:vAlign w:val="bottom"/>
          </w:tcPr>
          <w:p>
            <w:pPr>
              <w:ind w:left="480"/>
              <w:spacing w:after="0"/>
              <w:rPr>
                <w:sz w:val="20"/>
                <w:szCs w:val="20"/>
                <w:color w:val="auto"/>
              </w:rPr>
            </w:pPr>
            <w:r>
              <w:rPr>
                <w:rFonts w:ascii="Arial" w:cs="Arial" w:eastAsia="Arial" w:hAnsi="Arial"/>
                <w:sz w:val="16"/>
                <w:szCs w:val="16"/>
                <w:color w:val="auto"/>
                <w:w w:val="93"/>
              </w:rPr>
              <w:t>the Executive agrees to be employed by the Company according to the said terms and conditions; and</w:t>
            </w:r>
          </w:p>
        </w:tc>
      </w:tr>
      <w:tr>
        <w:trPr>
          <w:trHeight w:val="384"/>
        </w:trPr>
        <w:tc>
          <w:tcPr>
            <w:tcW w:w="1240" w:type="dxa"/>
            <w:vAlign w:val="bottom"/>
          </w:tcPr>
          <w:p>
            <w:pPr>
              <w:spacing w:after="0"/>
              <w:rPr>
                <w:sz w:val="20"/>
                <w:szCs w:val="20"/>
                <w:color w:val="auto"/>
              </w:rPr>
            </w:pPr>
            <w:r>
              <w:rPr>
                <w:rFonts w:ascii="Arial" w:cs="Arial" w:eastAsia="Arial" w:hAnsi="Arial"/>
                <w:sz w:val="16"/>
                <w:szCs w:val="16"/>
                <w:color w:val="auto"/>
              </w:rPr>
              <w:t>WHEREAS</w:t>
            </w:r>
          </w:p>
        </w:tc>
        <w:tc>
          <w:tcPr>
            <w:tcW w:w="7240" w:type="dxa"/>
            <w:vAlign w:val="bottom"/>
          </w:tcPr>
          <w:p>
            <w:pPr>
              <w:ind w:left="480"/>
              <w:spacing w:after="0"/>
              <w:rPr>
                <w:sz w:val="20"/>
                <w:szCs w:val="20"/>
                <w:color w:val="auto"/>
              </w:rPr>
            </w:pPr>
            <w:r>
              <w:rPr>
                <w:rFonts w:ascii="Arial" w:cs="Arial" w:eastAsia="Arial" w:hAnsi="Arial"/>
                <w:sz w:val="16"/>
                <w:szCs w:val="16"/>
                <w:color w:val="auto"/>
                <w:w w:val="91"/>
              </w:rPr>
              <w:t>Executive's employment requires Executive's involvement with confidential information of the Company.</w:t>
            </w: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Now therefore, in considerations of the mutual promises and agreements, the parties hereto agree, declare and stipulate as follows:</w:t>
      </w:r>
    </w:p>
    <w:p>
      <w:pPr>
        <w:spacing w:after="0" w:line="204" w:lineRule="exact"/>
        <w:rPr>
          <w:sz w:val="20"/>
          <w:szCs w:val="20"/>
          <w:color w:val="auto"/>
        </w:rPr>
      </w:pPr>
    </w:p>
    <w:p>
      <w:pPr>
        <w:ind w:left="564" w:hanging="564"/>
        <w:spacing w:after="0"/>
        <w:tabs>
          <w:tab w:leader="none" w:pos="56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General</w:t>
      </w:r>
    </w:p>
    <w:p>
      <w:pPr>
        <w:spacing w:after="0" w:line="200"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The preamble and any appendix attached hereto shall constitute an integral part hereof.</w:t>
      </w:r>
    </w:p>
    <w:p>
      <w:pPr>
        <w:spacing w:after="0" w:line="200" w:lineRule="exact"/>
        <w:rPr>
          <w:rFonts w:ascii="Arial" w:cs="Arial" w:eastAsia="Arial" w:hAnsi="Arial"/>
          <w:sz w:val="16"/>
          <w:szCs w:val="16"/>
          <w:color w:val="auto"/>
        </w:rPr>
      </w:pPr>
    </w:p>
    <w:p>
      <w:pPr>
        <w:ind w:left="564" w:right="20" w:hanging="564"/>
        <w:spacing w:after="0" w:line="277" w:lineRule="auto"/>
        <w:tabs>
          <w:tab w:leader="none" w:pos="56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hereby hires the Executive as CEO of the Company reporting to the Company's Board of Directors and Executive accepts such employment upon the following terms and conditions.</w:t>
      </w:r>
    </w:p>
    <w:p>
      <w:pPr>
        <w:spacing w:after="0" w:line="151" w:lineRule="exact"/>
        <w:rPr>
          <w:rFonts w:ascii="Arial" w:cs="Arial" w:eastAsia="Arial" w:hAnsi="Arial"/>
          <w:sz w:val="16"/>
          <w:szCs w:val="16"/>
          <w:color w:val="auto"/>
        </w:rPr>
      </w:pPr>
    </w:p>
    <w:p>
      <w:pPr>
        <w:ind w:left="564" w:hanging="564"/>
        <w:spacing w:after="0"/>
        <w:tabs>
          <w:tab w:leader="none" w:pos="56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Executive shall be employed as a "full time employee", in accordance with the standard working hours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26186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315" w:right="219" w:bottom="1440" w:gutter="0" w:footer="0" w:header="0"/>
        </w:sectPr>
      </w:pPr>
    </w:p>
    <w:bookmarkStart w:id="204" w:name="page205"/>
    <w:bookmarkEnd w:id="204"/>
    <w:p>
      <w:pPr>
        <w:ind w:left="564" w:hanging="564"/>
        <w:spacing w:after="0"/>
        <w:tabs>
          <w:tab w:leader="none" w:pos="56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Term and Termination</w:t>
      </w:r>
    </w:p>
    <w:p>
      <w:pPr>
        <w:spacing w:after="0" w:line="200" w:lineRule="exact"/>
        <w:rPr>
          <w:rFonts w:ascii="Arial" w:cs="Arial" w:eastAsia="Arial" w:hAnsi="Arial"/>
          <w:sz w:val="16"/>
          <w:szCs w:val="16"/>
          <w:color w:val="auto"/>
        </w:rPr>
      </w:pPr>
    </w:p>
    <w:p>
      <w:pPr>
        <w:ind w:left="1124" w:hanging="565"/>
        <w:spacing w:after="0" w:line="274" w:lineRule="auto"/>
        <w:rPr>
          <w:rFonts w:ascii="Arial" w:cs="Arial" w:eastAsia="Arial" w:hAnsi="Arial"/>
          <w:sz w:val="16"/>
          <w:szCs w:val="16"/>
          <w:color w:val="auto"/>
        </w:rPr>
      </w:pPr>
      <w:r>
        <w:rPr>
          <w:rFonts w:ascii="Arial" w:cs="Arial" w:eastAsia="Arial" w:hAnsi="Arial"/>
          <w:sz w:val="16"/>
          <w:szCs w:val="16"/>
          <w:color w:val="auto"/>
        </w:rPr>
        <w:t>4.1.</w:t>
      </w:r>
      <w:r>
        <w:rPr>
          <w:rFonts w:ascii="Arial" w:cs="Arial" w:eastAsia="Arial" w:hAnsi="Arial"/>
          <w:sz w:val="15"/>
          <w:szCs w:val="15"/>
          <w:color w:val="auto"/>
        </w:rPr>
        <w:t>The term of this Agreement shall commence as of May _, 2010. This Agreement is for an unlimited duration. Notwithstanding the above, each party to this Agreement may terminate it without cause upon serving the other party a written notice, 60 days in advance (the “</w:t>
      </w:r>
      <w:r>
        <w:rPr>
          <w:rFonts w:ascii="Arial" w:cs="Arial" w:eastAsia="Arial" w:hAnsi="Arial"/>
          <w:sz w:val="15"/>
          <w:szCs w:val="15"/>
          <w:b w:val="1"/>
          <w:bCs w:val="1"/>
          <w:color w:val="auto"/>
        </w:rPr>
        <w:t>Term</w:t>
      </w:r>
      <w:r>
        <w:rPr>
          <w:rFonts w:ascii="Arial" w:cs="Arial" w:eastAsia="Arial" w:hAnsi="Arial"/>
          <w:sz w:val="15"/>
          <w:szCs w:val="15"/>
          <w:color w:val="auto"/>
        </w:rPr>
        <w:t>”, “</w:t>
      </w:r>
      <w:r>
        <w:rPr>
          <w:rFonts w:ascii="Arial" w:cs="Arial" w:eastAsia="Arial" w:hAnsi="Arial"/>
          <w:sz w:val="15"/>
          <w:szCs w:val="15"/>
          <w:b w:val="1"/>
          <w:bCs w:val="1"/>
          <w:color w:val="auto"/>
        </w:rPr>
        <w:t>Notice</w:t>
      </w:r>
      <w:r>
        <w:rPr>
          <w:rFonts w:ascii="Arial" w:cs="Arial" w:eastAsia="Arial" w:hAnsi="Arial"/>
          <w:sz w:val="15"/>
          <w:szCs w:val="15"/>
          <w:color w:val="auto"/>
        </w:rPr>
        <w:t>”). During the period after Notice is given, the Executive shall continue to perform all of his obligations pursuant to the terms of this Agreement. Notwithstanding the aforesaid, by notifying Executive concurrently with or at any time after a termination Notice is delivered by either party hereto, Company shall be entitled to waive Executive’s services with Company during the Notice period or any part thereof and/or terminate the employer-employee relationship prior to the completion of the Notice period; In such events Company shall pay Executive that sum equal to the amount which Executive would have been entitled to receive for his services rendered until the lapse of the Notice period absent such waiver or termination, as applicable.</w:t>
      </w:r>
    </w:p>
    <w:p>
      <w:pPr>
        <w:spacing w:after="0" w:line="159" w:lineRule="exact"/>
        <w:rPr>
          <w:rFonts w:ascii="Arial" w:cs="Arial" w:eastAsia="Arial" w:hAnsi="Arial"/>
          <w:sz w:val="16"/>
          <w:szCs w:val="16"/>
          <w:color w:val="auto"/>
        </w:rPr>
      </w:pPr>
    </w:p>
    <w:p>
      <w:pPr>
        <w:ind w:left="1124" w:hanging="565"/>
        <w:spacing w:after="0" w:line="257" w:lineRule="auto"/>
        <w:rPr>
          <w:rFonts w:ascii="Arial" w:cs="Arial" w:eastAsia="Arial" w:hAnsi="Arial"/>
          <w:sz w:val="16"/>
          <w:szCs w:val="16"/>
          <w:color w:val="auto"/>
        </w:rPr>
      </w:pPr>
      <w:r>
        <w:rPr>
          <w:rFonts w:ascii="Arial" w:cs="Arial" w:eastAsia="Arial" w:hAnsi="Arial"/>
          <w:sz w:val="16"/>
          <w:szCs w:val="16"/>
          <w:color w:val="auto"/>
        </w:rPr>
        <w:t>4.2.Upon termination of this Agreement, for whatever reason, the Executive shall immediately return to the Company all the information, documents, office equipment, furniture, computers, fax machines, cellular telephone and Company car (if applicable) and other supplies which the Executive received. The Executive hereby waives any rights to withhold or retain any of the items above, whether the Executive had the right under law or contract or otherwise. During the period following the Notice was given, the Executive shall cooperate with the Company and use his best efforts to assist the integration into the Company’s organization of the person or persons who will assume the Executive’s responsibilities.</w:t>
      </w:r>
    </w:p>
    <w:p>
      <w:pPr>
        <w:spacing w:after="0" w:line="168" w:lineRule="exact"/>
        <w:rPr>
          <w:rFonts w:ascii="Arial" w:cs="Arial" w:eastAsia="Arial" w:hAnsi="Arial"/>
          <w:sz w:val="16"/>
          <w:szCs w:val="16"/>
          <w:color w:val="auto"/>
        </w:rPr>
      </w:pPr>
    </w:p>
    <w:p>
      <w:pPr>
        <w:ind w:left="1124" w:hanging="565"/>
        <w:spacing w:after="0" w:line="254" w:lineRule="auto"/>
        <w:rPr>
          <w:rFonts w:ascii="Arial" w:cs="Arial" w:eastAsia="Arial" w:hAnsi="Arial"/>
          <w:sz w:val="16"/>
          <w:szCs w:val="16"/>
          <w:color w:val="auto"/>
        </w:rPr>
      </w:pPr>
      <w:r>
        <w:rPr>
          <w:rFonts w:ascii="Arial" w:cs="Arial" w:eastAsia="Arial" w:hAnsi="Arial"/>
          <w:sz w:val="16"/>
          <w:szCs w:val="16"/>
          <w:color w:val="auto"/>
        </w:rPr>
        <w:t>4.3.Notwithstanding the above, the Company shall be entitled to immediately terminate this Agreement without providing a prior notice and with no additional compensation in the following events: (i) Executive has willfully failing to perform duties, consistent with his position, under this Agreement, provided that the Company informed on such failure and such failure was not cured ; (ii) Executive has committed a dishonorable criminal offense; (iii) Executive is in breach of his duties of trust or loyalty to Company or the commission by the Executive of an act of fraud or embezzlement, or any other act involving the misappropriation of funds or assets of the Company or any of its affiliates; (iv) Executive deliberately causes harm to Company’s business affairs; (v) Executive breaches any of his confidentiality and/or non-competition and/or non-solicitation and/or assignment of inventions provisions of this Agreement; and/or (vi) circumstances that do not entitle Executive to severance payments under any applicable law and/or under any judicial decision of a competent tribunal ("</w:t>
      </w:r>
      <w:r>
        <w:rPr>
          <w:rFonts w:ascii="Arial" w:cs="Arial" w:eastAsia="Arial" w:hAnsi="Arial"/>
          <w:sz w:val="16"/>
          <w:szCs w:val="16"/>
          <w:b w:val="1"/>
          <w:bCs w:val="1"/>
          <w:color w:val="auto"/>
        </w:rPr>
        <w:t>Termination For Cause</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64" w:hanging="564"/>
        <w:spacing w:after="0"/>
        <w:tabs>
          <w:tab w:leader="none" w:pos="56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 and undertakings</w:t>
      </w:r>
    </w:p>
    <w:p>
      <w:pPr>
        <w:spacing w:after="0" w:line="200" w:lineRule="exact"/>
        <w:rPr>
          <w:rFonts w:ascii="Arial" w:cs="Arial" w:eastAsia="Arial" w:hAnsi="Arial"/>
          <w:sz w:val="16"/>
          <w:szCs w:val="16"/>
          <w:color w:val="auto"/>
        </w:rPr>
      </w:pPr>
    </w:p>
    <w:p>
      <w:pPr>
        <w:ind w:left="1144" w:right="20" w:hanging="565"/>
        <w:spacing w:after="0" w:line="259" w:lineRule="auto"/>
        <w:rPr>
          <w:rFonts w:ascii="Arial" w:cs="Arial" w:eastAsia="Arial" w:hAnsi="Arial"/>
          <w:sz w:val="16"/>
          <w:szCs w:val="16"/>
          <w:color w:val="auto"/>
        </w:rPr>
      </w:pPr>
      <w:r>
        <w:rPr>
          <w:rFonts w:ascii="Arial" w:cs="Arial" w:eastAsia="Arial" w:hAnsi="Arial"/>
          <w:sz w:val="16"/>
          <w:szCs w:val="16"/>
          <w:color w:val="auto"/>
        </w:rPr>
        <w:t>5.1.The Executive represents and warrants to the Company that the execution and delivery of this Agreement and the fulfillment of the terms hereof (i) will not constitute a default under or breach of any agreement or instrument to which he is party or by which he is bound, including without limitation, any confidentially and non competition agreement, (ii) does not require the consent of any person or entity (iii) shall not utilize during the Term any proprietary information of any third party, including prior employers of the Executive.</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205" w:name="page206"/>
    <w:bookmarkEnd w:id="205"/>
    <w:p>
      <w:pPr>
        <w:jc w:val="both"/>
        <w:ind w:left="20" w:right="20" w:hanging="564"/>
        <w:spacing w:after="0" w:line="277" w:lineRule="auto"/>
        <w:rPr>
          <w:sz w:val="20"/>
          <w:szCs w:val="20"/>
          <w:color w:val="auto"/>
        </w:rPr>
      </w:pPr>
      <w:r>
        <w:rPr>
          <w:rFonts w:ascii="Arial" w:cs="Arial" w:eastAsia="Arial" w:hAnsi="Arial"/>
          <w:sz w:val="16"/>
          <w:szCs w:val="16"/>
          <w:color w:val="auto"/>
        </w:rPr>
        <w:t>5.2.</w:t>
      </w:r>
      <w:r>
        <w:rPr>
          <w:sz w:val="20"/>
          <w:szCs w:val="20"/>
          <w:color w:val="auto"/>
        </w:rPr>
        <w:t xml:space="preserve"> </w:t>
      </w:r>
      <w:r>
        <w:rPr>
          <w:rFonts w:ascii="Arial" w:cs="Arial" w:eastAsia="Arial" w:hAnsi="Arial"/>
          <w:sz w:val="16"/>
          <w:szCs w:val="16"/>
          <w:color w:val="auto"/>
        </w:rPr>
        <w:t>The Executive undertakes to comply with the Company's disciplinary regulations, work rules, policies, procedures and objectives, and the policy with respect to the prevention of sexual harassment code as set from time to time and with the requirements of the applicable law.</w:t>
      </w:r>
    </w:p>
    <w:p>
      <w:pPr>
        <w:spacing w:after="0" w:line="152" w:lineRule="exact"/>
        <w:rPr>
          <w:sz w:val="20"/>
          <w:szCs w:val="20"/>
          <w:color w:val="auto"/>
        </w:rPr>
      </w:pPr>
    </w:p>
    <w:p>
      <w:pPr>
        <w:jc w:val="both"/>
        <w:ind w:left="20" w:hanging="564"/>
        <w:spacing w:after="0" w:line="259" w:lineRule="auto"/>
        <w:rPr>
          <w:sz w:val="20"/>
          <w:szCs w:val="20"/>
          <w:color w:val="auto"/>
        </w:rPr>
      </w:pPr>
      <w:r>
        <w:rPr>
          <w:rFonts w:ascii="Arial" w:cs="Arial" w:eastAsia="Arial" w:hAnsi="Arial"/>
          <w:sz w:val="16"/>
          <w:szCs w:val="16"/>
          <w:color w:val="auto"/>
        </w:rPr>
        <w:t>5.3.</w:t>
      </w:r>
      <w:r>
        <w:rPr>
          <w:sz w:val="20"/>
          <w:szCs w:val="20"/>
          <w:color w:val="auto"/>
        </w:rPr>
        <w:t xml:space="preserve"> </w:t>
      </w:r>
      <w:r>
        <w:rPr>
          <w:rFonts w:ascii="Arial" w:cs="Arial" w:eastAsia="Arial" w:hAnsi="Arial"/>
          <w:sz w:val="16"/>
          <w:szCs w:val="16"/>
          <w:color w:val="auto"/>
        </w:rPr>
        <w:t>During the Term, the Executive shall, except during customary vacation periods and periods of illness or military service (Milu’im), devote all necessary time and attention to the business of the Company and shall perform his duties diligently and promptly for the benefit of the Company. The Executive shall devote all his attention to promoting the best interests of the Company. The Executive shall competently perform all assigned duties, carry out the policies, directives, and decisions of the Company.</w:t>
      </w:r>
    </w:p>
    <w:p>
      <w:pPr>
        <w:spacing w:after="0" w:line="167" w:lineRule="exact"/>
        <w:rPr>
          <w:sz w:val="20"/>
          <w:szCs w:val="20"/>
          <w:color w:val="auto"/>
        </w:rPr>
      </w:pPr>
    </w:p>
    <w:p>
      <w:pPr>
        <w:jc w:val="both"/>
        <w:ind w:right="20" w:hanging="564"/>
        <w:spacing w:after="0" w:line="302" w:lineRule="auto"/>
        <w:rPr>
          <w:sz w:val="20"/>
          <w:szCs w:val="20"/>
          <w:color w:val="auto"/>
        </w:rPr>
      </w:pPr>
      <w:r>
        <w:rPr>
          <w:rFonts w:ascii="Arial" w:cs="Arial" w:eastAsia="Arial" w:hAnsi="Arial"/>
          <w:sz w:val="16"/>
          <w:szCs w:val="16"/>
          <w:color w:val="auto"/>
        </w:rPr>
        <w:t>5.4.</w:t>
      </w:r>
      <w:r>
        <w:rPr>
          <w:sz w:val="20"/>
          <w:szCs w:val="20"/>
          <w:color w:val="auto"/>
        </w:rPr>
        <w:t xml:space="preserve"> </w:t>
      </w:r>
      <w:r>
        <w:rPr>
          <w:rFonts w:ascii="Arial" w:cs="Arial" w:eastAsia="Arial" w:hAnsi="Arial"/>
          <w:sz w:val="14"/>
          <w:szCs w:val="14"/>
          <w:color w:val="auto"/>
        </w:rPr>
        <w:t>Unless authorized in writing by the Board of Directors, the Executive shall not undertake or accept any other (paid or unpaid) employment or occupation or engage in or be associated with, directly or indirectly, any other businesses, duties or pursuits, other than the Executive prior academic obligations requiring, in aggregate, not more than 2 hours of the Executive's work-time per week ("</w:t>
      </w:r>
      <w:r>
        <w:rPr>
          <w:rFonts w:ascii="Arial" w:cs="Arial" w:eastAsia="Arial" w:hAnsi="Arial"/>
          <w:sz w:val="14"/>
          <w:szCs w:val="14"/>
          <w:b w:val="1"/>
          <w:bCs w:val="1"/>
          <w:color w:val="auto"/>
        </w:rPr>
        <w:t>Additional Engagement(s)</w:t>
      </w:r>
      <w:r>
        <w:rPr>
          <w:rFonts w:ascii="Arial" w:cs="Arial" w:eastAsia="Arial" w:hAnsi="Arial"/>
          <w:sz w:val="14"/>
          <w:szCs w:val="14"/>
          <w:color w:val="auto"/>
        </w:rPr>
        <w:t>"). The Executive shall inform the Company's Board of Directors in advance of any Additional Engagements he intends to undertake or accept. The Executive undertakes to immediately and without delay inform the Company of any affairs and/or matters that might constitute a conflict of interest with Executive’s Position and/or employment with Company.</w:t>
      </w:r>
    </w:p>
    <w:p>
      <w:pPr>
        <w:spacing w:after="0" w:line="140" w:lineRule="exact"/>
        <w:rPr>
          <w:sz w:val="20"/>
          <w:szCs w:val="20"/>
          <w:color w:val="auto"/>
        </w:rPr>
      </w:pPr>
    </w:p>
    <w:p>
      <w:pPr>
        <w:jc w:val="both"/>
        <w:ind w:left="20" w:hanging="564"/>
        <w:spacing w:after="0" w:line="282" w:lineRule="auto"/>
        <w:rPr>
          <w:sz w:val="20"/>
          <w:szCs w:val="20"/>
          <w:color w:val="auto"/>
        </w:rPr>
      </w:pPr>
      <w:r>
        <w:rPr>
          <w:rFonts w:ascii="Arial" w:cs="Arial" w:eastAsia="Arial" w:hAnsi="Arial"/>
          <w:sz w:val="16"/>
          <w:szCs w:val="16"/>
          <w:color w:val="auto"/>
        </w:rPr>
        <w:t>5.5.</w:t>
      </w:r>
      <w:r>
        <w:rPr>
          <w:sz w:val="20"/>
          <w:szCs w:val="20"/>
          <w:color w:val="auto"/>
        </w:rPr>
        <w:t xml:space="preserve"> </w:t>
      </w:r>
      <w:r>
        <w:rPr>
          <w:rFonts w:ascii="Arial" w:cs="Arial" w:eastAsia="Arial" w:hAnsi="Arial"/>
          <w:sz w:val="15"/>
          <w:szCs w:val="15"/>
          <w:color w:val="auto"/>
        </w:rPr>
        <w:t>The Executive acknowledges and agrees that Executive’s position with the Company is one that requires a special measure of personal trust as defined under the Work and Rest Hours Law, 5711-1951, and therefore, the provisions of such law shall not apply to the Executive. The Executive further acknowledges and agrees that his duties and responsibilities may entail irregular work hours and extensive traveling, for which he is adequately rewarded by the compensation provided for in this Agreement. Not withholding from the above, the Executive shall report his work hours as required by law.</w:t>
      </w:r>
    </w:p>
    <w:p>
      <w:pPr>
        <w:spacing w:after="0" w:line="150" w:lineRule="exact"/>
        <w:rPr>
          <w:sz w:val="20"/>
          <w:szCs w:val="20"/>
          <w:color w:val="auto"/>
        </w:rPr>
      </w:pPr>
    </w:p>
    <w:p>
      <w:pPr>
        <w:jc w:val="both"/>
        <w:ind w:left="20" w:right="20" w:hanging="564"/>
        <w:spacing w:after="0" w:line="277" w:lineRule="auto"/>
        <w:rPr>
          <w:sz w:val="20"/>
          <w:szCs w:val="20"/>
          <w:color w:val="auto"/>
        </w:rPr>
      </w:pPr>
      <w:r>
        <w:rPr>
          <w:rFonts w:ascii="Arial" w:cs="Arial" w:eastAsia="Arial" w:hAnsi="Arial"/>
          <w:sz w:val="16"/>
          <w:szCs w:val="16"/>
          <w:color w:val="auto"/>
        </w:rPr>
        <w:t>5.6.</w:t>
      </w:r>
      <w:r>
        <w:rPr>
          <w:sz w:val="20"/>
          <w:szCs w:val="20"/>
          <w:color w:val="auto"/>
        </w:rPr>
        <w:t xml:space="preserve"> </w:t>
      </w:r>
      <w:r>
        <w:rPr>
          <w:rFonts w:ascii="Arial" w:cs="Arial" w:eastAsia="Arial" w:hAnsi="Arial"/>
          <w:sz w:val="16"/>
          <w:szCs w:val="16"/>
          <w:color w:val="auto"/>
        </w:rPr>
        <w:t>The Executive shall be employed by the Company at its offices in such place as shall be determined by the Company. However, it is agreed that the Executive may be required to spend time in other offices of the Company in Israel and worldwide.</w:t>
      </w: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13335</wp:posOffset>
            </wp:positionV>
            <wp:extent cx="726186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320"/>
          </w:cols>
          <w:pgMar w:left="1360" w:top="800" w:right="219" w:bottom="1440" w:gutter="0" w:footer="0" w:header="0"/>
        </w:sectPr>
      </w:pPr>
    </w:p>
    <w:bookmarkStart w:id="206" w:name="page207"/>
    <w:bookmarkEnd w:id="206"/>
    <w:p>
      <w:pPr>
        <w:ind w:left="4"/>
        <w:spacing w:after="0"/>
        <w:rPr>
          <w:sz w:val="20"/>
          <w:szCs w:val="20"/>
          <w:color w:val="auto"/>
        </w:rPr>
      </w:pPr>
      <w:r>
        <w:rPr>
          <w:rFonts w:ascii="Arial" w:cs="Arial" w:eastAsia="Arial" w:hAnsi="Arial"/>
          <w:sz w:val="16"/>
          <w:szCs w:val="16"/>
          <w:color w:val="auto"/>
        </w:rPr>
        <w:t>In this Section 5 the term ‘Company’ shall include the Company and its subsidiaries and branches.</w:t>
      </w:r>
    </w:p>
    <w:p>
      <w:pPr>
        <w:spacing w:after="0" w:line="200" w:lineRule="exact"/>
        <w:rPr>
          <w:sz w:val="20"/>
          <w:szCs w:val="20"/>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Compensation</w:t>
      </w:r>
    </w:p>
    <w:p>
      <w:pPr>
        <w:spacing w:after="0" w:line="196"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 xml:space="preserve">Executive shall be entitled to compensation and other benefits and conditions as detailed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attached hereto.</w:t>
      </w:r>
    </w:p>
    <w:p>
      <w:pPr>
        <w:spacing w:after="0" w:line="204" w:lineRule="exact"/>
        <w:rPr>
          <w:rFonts w:ascii="Arial" w:cs="Arial" w:eastAsia="Arial" w:hAnsi="Arial"/>
          <w:sz w:val="16"/>
          <w:szCs w:val="16"/>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Confidentiality and Non Compete Undertakings</w:t>
      </w:r>
    </w:p>
    <w:p>
      <w:pPr>
        <w:spacing w:after="0" w:line="200" w:lineRule="exact"/>
        <w:rPr>
          <w:rFonts w:ascii="Arial" w:cs="Arial" w:eastAsia="Arial" w:hAnsi="Arial"/>
          <w:sz w:val="16"/>
          <w:szCs w:val="16"/>
          <w:color w:val="auto"/>
        </w:rPr>
      </w:pPr>
    </w:p>
    <w:p>
      <w:pPr>
        <w:ind w:left="564" w:right="20"/>
        <w:spacing w:after="0" w:line="277" w:lineRule="auto"/>
        <w:rPr>
          <w:rFonts w:ascii="Arial" w:cs="Arial" w:eastAsia="Arial" w:hAnsi="Arial"/>
          <w:sz w:val="16"/>
          <w:szCs w:val="16"/>
          <w:color w:val="auto"/>
        </w:rPr>
      </w:pPr>
      <w:r>
        <w:rPr>
          <w:rFonts w:ascii="Arial" w:cs="Arial" w:eastAsia="Arial" w:hAnsi="Arial"/>
          <w:sz w:val="16"/>
          <w:szCs w:val="16"/>
          <w:color w:val="auto"/>
        </w:rPr>
        <w:t xml:space="preserve">The Executive undertakes, in addition to any other commitment he may take upon himself, and without derogating from any such undertaking, to confirm and fulfill all the undertakings set in the non disclosure, assignment of rights and non competition undertaking is attached hereto as </w:t>
      </w:r>
      <w:r>
        <w:rPr>
          <w:rFonts w:ascii="Arial" w:cs="Arial" w:eastAsia="Arial" w:hAnsi="Arial"/>
          <w:sz w:val="16"/>
          <w:szCs w:val="16"/>
          <w:b w:val="1"/>
          <w:bCs w:val="1"/>
          <w:u w:val="single" w:color="auto"/>
          <w:color w:val="auto"/>
        </w:rPr>
        <w:t>Appendix B.</w:t>
      </w:r>
    </w:p>
    <w:p>
      <w:pPr>
        <w:spacing w:after="0" w:line="151" w:lineRule="exact"/>
        <w:rPr>
          <w:rFonts w:ascii="Arial" w:cs="Arial" w:eastAsia="Arial" w:hAnsi="Arial"/>
          <w:sz w:val="16"/>
          <w:szCs w:val="16"/>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Media Equipment</w:t>
      </w:r>
    </w:p>
    <w:p>
      <w:pPr>
        <w:spacing w:after="0" w:line="200" w:lineRule="exact"/>
        <w:rPr>
          <w:rFonts w:ascii="Arial" w:cs="Arial" w:eastAsia="Arial" w:hAnsi="Arial"/>
          <w:sz w:val="16"/>
          <w:szCs w:val="16"/>
          <w:color w:val="auto"/>
        </w:rPr>
      </w:pPr>
    </w:p>
    <w:p>
      <w:pPr>
        <w:jc w:val="both"/>
        <w:ind w:left="564"/>
        <w:spacing w:after="0" w:line="274" w:lineRule="auto"/>
        <w:rPr>
          <w:rFonts w:ascii="Arial" w:cs="Arial" w:eastAsia="Arial" w:hAnsi="Arial"/>
          <w:sz w:val="16"/>
          <w:szCs w:val="16"/>
          <w:color w:val="auto"/>
        </w:rPr>
      </w:pPr>
      <w:r>
        <w:rPr>
          <w:rFonts w:ascii="Arial" w:cs="Arial" w:eastAsia="Arial" w:hAnsi="Arial"/>
          <w:sz w:val="15"/>
          <w:szCs w:val="15"/>
          <w:color w:val="auto"/>
        </w:rPr>
        <w:t>The Company may provide the Executive with a cellular phone, a computer, an e-mail or any other property of the Company for communication needs during the Executive's work (the "</w:t>
      </w:r>
      <w:r>
        <w:rPr>
          <w:rFonts w:ascii="Arial" w:cs="Arial" w:eastAsia="Arial" w:hAnsi="Arial"/>
          <w:sz w:val="15"/>
          <w:szCs w:val="15"/>
          <w:b w:val="1"/>
          <w:bCs w:val="1"/>
          <w:color w:val="auto"/>
        </w:rPr>
        <w:t>Media Equipment</w:t>
      </w:r>
      <w:r>
        <w:rPr>
          <w:rFonts w:ascii="Arial" w:cs="Arial" w:eastAsia="Arial" w:hAnsi="Arial"/>
          <w:sz w:val="15"/>
          <w:szCs w:val="15"/>
          <w:color w:val="auto"/>
        </w:rPr>
        <w:t>"). The Executive undertakes to use the Company’s Media Equipment and facilities only for the purpose of his employment. The Executive acknowledges that all of the Media Equipment is the property of the Company and agrees that the Company is entitled to conduct inspections within the Company’s offices and on the Company’s the Media Equipment, including inspections of e-mail transmissions, internet usage and inspections of their content at the Company's discretion. For the avoidance of any doubt, it is hereby clarified that all such examination findings shall be the Company’s sole property. The Executive acknowledges that, in order to keep his privacy, he should avoid any personal use of the Company’s Media Equipment and facilities. By Signing this Agreement, The Executive grants the Company an irrevocable right to conduct inspections as aforesaid, including unannounced inspections.</w:t>
      </w:r>
    </w:p>
    <w:p>
      <w:pPr>
        <w:spacing w:after="0" w:line="159" w:lineRule="exact"/>
        <w:rPr>
          <w:rFonts w:ascii="Arial" w:cs="Arial" w:eastAsia="Arial" w:hAnsi="Arial"/>
          <w:sz w:val="16"/>
          <w:szCs w:val="16"/>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Military Reserve Duty</w:t>
      </w:r>
    </w:p>
    <w:p>
      <w:pPr>
        <w:spacing w:after="0" w:line="200" w:lineRule="exact"/>
        <w:rPr>
          <w:rFonts w:ascii="Arial" w:cs="Arial" w:eastAsia="Arial" w:hAnsi="Arial"/>
          <w:sz w:val="16"/>
          <w:szCs w:val="16"/>
          <w:color w:val="auto"/>
        </w:rPr>
      </w:pPr>
    </w:p>
    <w:p>
      <w:pPr>
        <w:jc w:val="both"/>
        <w:ind w:left="564" w:right="20"/>
        <w:spacing w:after="0" w:line="264" w:lineRule="auto"/>
        <w:rPr>
          <w:rFonts w:ascii="Arial" w:cs="Arial" w:eastAsia="Arial" w:hAnsi="Arial"/>
          <w:sz w:val="16"/>
          <w:szCs w:val="16"/>
          <w:color w:val="auto"/>
        </w:rPr>
      </w:pPr>
      <w:r>
        <w:rPr>
          <w:rFonts w:ascii="Arial" w:cs="Arial" w:eastAsia="Arial" w:hAnsi="Arial"/>
          <w:sz w:val="16"/>
          <w:szCs w:val="16"/>
          <w:color w:val="auto"/>
        </w:rPr>
        <w:t>Executive shall inform Company of any military reserve duty Executive has been ordered to perform, immediately after he has been notified of the same. Executive undertakes to provide Company with proper confirmation of active military reserve duty, so that Company may collect from the National Insurance Institute all amounts to which Executive or Company is entitled in connection with such service.</w:t>
      </w:r>
    </w:p>
    <w:p>
      <w:pPr>
        <w:spacing w:after="0" w:line="161" w:lineRule="exact"/>
        <w:rPr>
          <w:rFonts w:ascii="Arial" w:cs="Arial" w:eastAsia="Arial" w:hAnsi="Arial"/>
          <w:sz w:val="16"/>
          <w:szCs w:val="16"/>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200"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5"/>
          <w:szCs w:val="15"/>
          <w:color w:val="auto"/>
        </w:rPr>
        <w:t>10.1.   In the event of (i) a merger, acquisition or reorganization of the Company with one or more other entities, in which the Company is not the surviving entity; or</w:t>
      </w:r>
    </w:p>
    <w:p>
      <w:pPr>
        <w:spacing w:after="0" w:line="32" w:lineRule="exact"/>
        <w:rPr>
          <w:rFonts w:ascii="Arial" w:cs="Arial" w:eastAsia="Arial" w:hAnsi="Arial"/>
          <w:sz w:val="16"/>
          <w:szCs w:val="16"/>
          <w:color w:val="auto"/>
        </w:rPr>
      </w:pPr>
    </w:p>
    <w:p>
      <w:pPr>
        <w:ind w:left="1124" w:right="20" w:firstLine="5"/>
        <w:spacing w:after="0" w:line="261" w:lineRule="auto"/>
        <w:tabs>
          <w:tab w:leader="none" w:pos="136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 sale of all or substantially all of the assets or shares of the Company, the Company may assign or transfer this Agreement or any right, claim or obligation provided herein, provided however that none of Executive’s rights under this Agreement are thereby diminished.</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207" w:name="page208"/>
    <w:bookmarkEnd w:id="207"/>
    <w:p>
      <w:pPr>
        <w:jc w:val="both"/>
        <w:ind w:left="560" w:hanging="564"/>
        <w:spacing w:after="0" w:line="277" w:lineRule="auto"/>
        <w:tabs>
          <w:tab w:leader="none" w:pos="540" w:val="left"/>
        </w:tabs>
        <w:rPr>
          <w:sz w:val="20"/>
          <w:szCs w:val="20"/>
          <w:color w:val="auto"/>
        </w:rPr>
      </w:pPr>
      <w:r>
        <w:rPr>
          <w:rFonts w:ascii="Arial" w:cs="Arial" w:eastAsia="Arial" w:hAnsi="Arial"/>
          <w:sz w:val="16"/>
          <w:szCs w:val="16"/>
          <w:color w:val="auto"/>
        </w:rPr>
        <w:t>10.2.</w:t>
        <w:tab/>
        <w:t>Company shall withhold, or charge Executive with, all taxes and other compulsory payments as required under applicable law with respect to all payments, benefits and/or other compensation paid to Executive in connection with his employment with Company.</w:t>
      </w:r>
    </w:p>
    <w:p>
      <w:pPr>
        <w:spacing w:after="0" w:line="152" w:lineRule="exact"/>
        <w:rPr>
          <w:sz w:val="20"/>
          <w:szCs w:val="20"/>
          <w:color w:val="auto"/>
        </w:rPr>
      </w:pPr>
    </w:p>
    <w:p>
      <w:pPr>
        <w:jc w:val="both"/>
        <w:ind w:left="560" w:hanging="564"/>
        <w:spacing w:after="0" w:line="277" w:lineRule="auto"/>
        <w:tabs>
          <w:tab w:leader="none" w:pos="540" w:val="left"/>
        </w:tabs>
        <w:rPr>
          <w:sz w:val="20"/>
          <w:szCs w:val="20"/>
          <w:color w:val="auto"/>
        </w:rPr>
      </w:pPr>
      <w:r>
        <w:rPr>
          <w:rFonts w:ascii="Arial" w:cs="Arial" w:eastAsia="Arial" w:hAnsi="Arial"/>
          <w:sz w:val="16"/>
          <w:szCs w:val="16"/>
          <w:color w:val="auto"/>
        </w:rPr>
        <w:t>10.3.</w:t>
        <w:tab/>
        <w:t>Company shall be entitled to offset from any and/or all payments to which Executive shall be entitled thereof, any and/or all amounts to which Company shall be entitled from Executive at such time.</w:t>
      </w:r>
    </w:p>
    <w:p>
      <w:pPr>
        <w:spacing w:after="0" w:line="15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Captions and paragraph headings used in this Agreement are for convenience purposes only and shall not be used for the interpretation thereof.</w:t>
      </w:r>
    </w:p>
    <w:p>
      <w:pPr>
        <w:spacing w:after="0" w:line="200" w:lineRule="exact"/>
        <w:rPr>
          <w:sz w:val="20"/>
          <w:szCs w:val="20"/>
          <w:color w:val="auto"/>
        </w:rPr>
      </w:pPr>
    </w:p>
    <w:p>
      <w:pPr>
        <w:jc w:val="both"/>
        <w:ind w:left="560" w:hanging="564"/>
        <w:spacing w:after="0" w:line="264" w:lineRule="auto"/>
        <w:tabs>
          <w:tab w:leader="none" w:pos="540" w:val="left"/>
        </w:tabs>
        <w:rPr>
          <w:sz w:val="20"/>
          <w:szCs w:val="20"/>
          <w:color w:val="auto"/>
        </w:rPr>
      </w:pPr>
      <w:r>
        <w:rPr>
          <w:rFonts w:ascii="Arial" w:cs="Arial" w:eastAsia="Arial" w:hAnsi="Arial"/>
          <w:sz w:val="16"/>
          <w:szCs w:val="16"/>
          <w:color w:val="auto"/>
        </w:rPr>
        <w:t>10.5.</w:t>
        <w:tab/>
        <w:t>The terms and conditions of this Agreement are strictly confidential and shall not be disclosed to any of other Company’s employees. Breaching of this section shall be considered a material breach of Executive’s fiduciary duties as well as of this Agreement. The Company will provide this information only on a need to know basis, or according to the law.</w:t>
      </w:r>
    </w:p>
    <w:p>
      <w:pPr>
        <w:spacing w:after="0" w:line="162" w:lineRule="exact"/>
        <w:rPr>
          <w:sz w:val="20"/>
          <w:szCs w:val="20"/>
          <w:color w:val="auto"/>
        </w:rPr>
      </w:pPr>
    </w:p>
    <w:p>
      <w:pPr>
        <w:jc w:val="both"/>
        <w:ind w:left="560" w:hanging="564"/>
        <w:spacing w:after="0" w:line="264" w:lineRule="auto"/>
        <w:tabs>
          <w:tab w:leader="none" w:pos="540" w:val="left"/>
        </w:tabs>
        <w:rPr>
          <w:sz w:val="20"/>
          <w:szCs w:val="20"/>
          <w:color w:val="auto"/>
        </w:rPr>
      </w:pPr>
      <w:r>
        <w:rPr>
          <w:rFonts w:ascii="Arial" w:cs="Arial" w:eastAsia="Arial" w:hAnsi="Arial"/>
          <w:sz w:val="16"/>
          <w:szCs w:val="16"/>
          <w:color w:val="auto"/>
        </w:rPr>
        <w:t>10.6.</w:t>
        <w:tab/>
        <w:t>This Agreement shall survive an accidental invalidity of one or more of its sections. Company’s failure or delay in enforcing any of the provisions of this Agreement shall not, in any way, be construed as a waiver of any such provisions, or prevent Company thereafter from enforcing each and every other provision of this Agreement which were previously not enforced.</w:t>
      </w:r>
    </w:p>
    <w:p>
      <w:pPr>
        <w:spacing w:after="0" w:line="162" w:lineRule="exact"/>
        <w:rPr>
          <w:sz w:val="20"/>
          <w:szCs w:val="20"/>
          <w:color w:val="auto"/>
        </w:rPr>
      </w:pPr>
    </w:p>
    <w:p>
      <w:pPr>
        <w:jc w:val="both"/>
        <w:ind w:left="560" w:hanging="564"/>
        <w:spacing w:after="0" w:line="277" w:lineRule="auto"/>
        <w:tabs>
          <w:tab w:leader="none" w:pos="540" w:val="left"/>
        </w:tabs>
        <w:rPr>
          <w:sz w:val="20"/>
          <w:szCs w:val="20"/>
          <w:color w:val="auto"/>
        </w:rPr>
      </w:pPr>
      <w:r>
        <w:rPr>
          <w:rFonts w:ascii="Arial" w:cs="Arial" w:eastAsia="Arial" w:hAnsi="Arial"/>
          <w:sz w:val="16"/>
          <w:szCs w:val="16"/>
          <w:color w:val="auto"/>
        </w:rPr>
        <w:t>10.7.</w:t>
        <w:tab/>
        <w:t>This Agreement shall be interpreted and construed in accordance with the laws of the State of Israel. All disputes arising from this Agreement shall be exclusively referred to the competent courts of Tel Aviv-Jaffa district, Israel.</w:t>
      </w:r>
    </w:p>
    <w:p>
      <w:pPr>
        <w:spacing w:after="0" w:line="152" w:lineRule="exact"/>
        <w:rPr>
          <w:sz w:val="20"/>
          <w:szCs w:val="20"/>
          <w:color w:val="auto"/>
        </w:rPr>
      </w:pPr>
    </w:p>
    <w:p>
      <w:pPr>
        <w:jc w:val="both"/>
        <w:ind w:left="560" w:hanging="564"/>
        <w:spacing w:after="0" w:line="289" w:lineRule="auto"/>
        <w:tabs>
          <w:tab w:leader="none" w:pos="54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5"/>
          <w:szCs w:val="15"/>
          <w:color w:val="auto"/>
        </w:rPr>
        <w:t>This Agreement, including its appendices, constitutes the entire agreement between the parties concerning the subject matter hereof. Amendments to, and modifications of, this Agreement, shall be effective only upon approval thereof by both parties in writing. This Agreement and the appendixes hereto shall be deemed as a notice to the Executive in accordance with the Notice to Employees Law (Terms and Conditions of Employment), 5762-2002.</w:t>
      </w:r>
    </w:p>
    <w:p>
      <w:pPr>
        <w:spacing w:after="0" w:line="33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13335</wp:posOffset>
            </wp:positionV>
            <wp:extent cx="726186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860"/>
          </w:cols>
          <w:pgMar w:left="800" w:top="800" w:right="239" w:bottom="1440" w:gutter="0" w:footer="0" w:header="0"/>
        </w:sectPr>
      </w:pPr>
    </w:p>
    <w:bookmarkStart w:id="208" w:name="page209"/>
    <w:bookmarkEnd w:id="208"/>
    <w:p>
      <w:pPr>
        <w:jc w:val="both"/>
        <w:ind w:left="1120" w:right="20" w:hanging="564"/>
        <w:spacing w:after="0" w:line="302" w:lineRule="auto"/>
        <w:tabs>
          <w:tab w:leader="none" w:pos="110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4"/>
          <w:szCs w:val="14"/>
          <w:color w:val="auto"/>
        </w:rPr>
        <w:t>All notices, requests and other communications to any party hereunder shall be given or made in writing and electronically transmitted, mailed (by registered or certified mail) or delivered by hand to the respective party at the address set forth in the caption of this Agreement or to such other address (or facsimile number or an e-mail address) as such party may hereafter specify for the purpose of notice to the other party hereto. Each such notice, request or other communication shall be effective (i) if given by facsimile or e- mail, when such facsimile or electronic mail is transmitted to the facsimile number or electronic mail address specified herein and the appropriate answerback is received or (ii) if given by any other means, when delivered at the address specified herein.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hereunder set their hands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6060" w:type="dxa"/>
            <w:vAlign w:val="bottom"/>
            <w:gridSpan w:val="3"/>
          </w:tcPr>
          <w:p>
            <w:pPr>
              <w:jc w:val="center"/>
              <w:ind w:right="820"/>
              <w:spacing w:after="0"/>
              <w:rPr>
                <w:sz w:val="20"/>
                <w:szCs w:val="20"/>
                <w:color w:val="auto"/>
              </w:rPr>
            </w:pPr>
            <w:r>
              <w:rPr>
                <w:rFonts w:ascii="Arial" w:cs="Arial" w:eastAsia="Arial" w:hAnsi="Arial"/>
                <w:sz w:val="16"/>
                <w:szCs w:val="16"/>
                <w:color w:val="auto"/>
                <w:w w:val="91"/>
              </w:rPr>
              <w:t>/s/ Yaron Daniely</w:t>
            </w:r>
          </w:p>
        </w:tc>
        <w:tc>
          <w:tcPr>
            <w:tcW w:w="3660" w:type="dxa"/>
            <w:vAlign w:val="bottom"/>
          </w:tcPr>
          <w:p>
            <w:pPr>
              <w:jc w:val="center"/>
              <w:ind w:right="260"/>
              <w:spacing w:after="0"/>
              <w:rPr>
                <w:sz w:val="20"/>
                <w:szCs w:val="20"/>
                <w:color w:val="auto"/>
              </w:rPr>
            </w:pPr>
            <w:r>
              <w:rPr>
                <w:rFonts w:ascii="Arial" w:cs="Arial" w:eastAsia="Arial" w:hAnsi="Arial"/>
                <w:sz w:val="16"/>
                <w:szCs w:val="16"/>
                <w:color w:val="auto"/>
                <w:w w:val="95"/>
              </w:rPr>
              <w:t>/s/ Udi Gilboa</w:t>
            </w:r>
          </w:p>
        </w:tc>
        <w:tc>
          <w:tcPr>
            <w:tcW w:w="144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Yaron Daniely</w:t>
            </w:r>
          </w:p>
        </w:tc>
        <w:tc>
          <w:tcPr>
            <w:tcW w:w="5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w w:val="95"/>
              </w:rPr>
              <w:t>Alcobra Ltd.</w:t>
            </w:r>
          </w:p>
        </w:tc>
        <w:tc>
          <w:tcPr>
            <w:tcW w:w="1440" w:type="dxa"/>
            <w:vAlign w:val="bottom"/>
          </w:tcPr>
          <w:p>
            <w:pPr>
              <w:spacing w:after="0"/>
              <w:rPr>
                <w:sz w:val="17"/>
                <w:szCs w:val="17"/>
                <w:color w:val="auto"/>
              </w:rPr>
            </w:pPr>
          </w:p>
        </w:tc>
      </w:tr>
      <w:tr>
        <w:trPr>
          <w:trHeight w:val="372"/>
        </w:trPr>
        <w:tc>
          <w:tcPr>
            <w:tcW w:w="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rPr>
              <w:t>Udi Gilboa</w:t>
            </w:r>
          </w:p>
        </w:tc>
        <w:tc>
          <w:tcPr>
            <w:tcW w:w="1440" w:type="dxa"/>
            <w:vAlign w:val="bottom"/>
          </w:tcPr>
          <w:p>
            <w:pPr>
              <w:spacing w:after="0"/>
              <w:rPr>
                <w:sz w:val="24"/>
                <w:szCs w:val="24"/>
                <w:color w:val="auto"/>
              </w:rPr>
            </w:pPr>
          </w:p>
        </w:tc>
      </w:tr>
      <w:tr>
        <w:trPr>
          <w:trHeight w:val="569"/>
        </w:trPr>
        <w:tc>
          <w:tcPr>
            <w:tcW w:w="2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00" w:right="219" w:bottom="1440" w:gutter="0" w:footer="0" w:header="0"/>
        </w:sectPr>
      </w:pPr>
    </w:p>
    <w:bookmarkStart w:id="209" w:name="page210"/>
    <w:bookmarkEnd w:id="209"/>
    <w:p>
      <w:pPr>
        <w:jc w:val="center"/>
        <w:ind w:right="-3"/>
        <w:spacing w:after="0"/>
        <w:rPr>
          <w:sz w:val="20"/>
          <w:szCs w:val="20"/>
          <w:color w:val="auto"/>
        </w:rPr>
      </w:pPr>
      <w:r>
        <w:rPr>
          <w:rFonts w:ascii="Arial" w:cs="Arial" w:eastAsia="Arial" w:hAnsi="Arial"/>
          <w:sz w:val="16"/>
          <w:szCs w:val="16"/>
          <w:b w:val="1"/>
          <w:bCs w:val="1"/>
          <w:u w:val="single" w:color="auto"/>
          <w:color w:val="auto"/>
        </w:rPr>
        <w:t>APPENDIX A</w:t>
      </w:r>
    </w:p>
    <w:p>
      <w:pPr>
        <w:spacing w:after="0" w:line="204" w:lineRule="exact"/>
        <w:rPr>
          <w:sz w:val="20"/>
          <w:szCs w:val="20"/>
          <w:color w:val="auto"/>
        </w:rPr>
      </w:pPr>
    </w:p>
    <w:p>
      <w:pPr>
        <w:ind w:left="564" w:hanging="564"/>
        <w:spacing w:after="0" w:line="277" w:lineRule="auto"/>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Subject to and in consideration of Executive’s fulfillment of his obligations in pursuance of this Agreement, Company shall pay Executive a monthly gross salary of NIS 45,000 (the “</w:t>
      </w:r>
      <w:r>
        <w:rPr>
          <w:rFonts w:ascii="Arial" w:cs="Arial" w:eastAsia="Arial" w:hAnsi="Arial"/>
          <w:sz w:val="16"/>
          <w:szCs w:val="16"/>
          <w:b w:val="1"/>
          <w:bCs w:val="1"/>
          <w:color w:val="auto"/>
        </w:rPr>
        <w:t>Monthly Salary</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564" w:right="20" w:hanging="564"/>
        <w:spacing w:after="0" w:line="277" w:lineRule="auto"/>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Monthly Salary shall be paid no later than the ninth day after the end of any calendar month. From the said payment the Company will deduct any obligatory and/or agreed deductions, including, without limitation, income tax, health tax and social security.</w:t>
      </w:r>
    </w:p>
    <w:p>
      <w:pPr>
        <w:spacing w:after="0" w:line="151" w:lineRule="exact"/>
        <w:rPr>
          <w:rFonts w:ascii="Arial" w:cs="Arial" w:eastAsia="Arial" w:hAnsi="Arial"/>
          <w:sz w:val="16"/>
          <w:szCs w:val="16"/>
          <w:color w:val="auto"/>
        </w:rPr>
      </w:pPr>
    </w:p>
    <w:p>
      <w:pPr>
        <w:ind w:left="564" w:right="20" w:hanging="564"/>
        <w:spacing w:after="0" w:line="277" w:lineRule="auto"/>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Monthly Salary shall serve as the basis for deductions and contributions to the management fund and advanced study fund (</w:t>
      </w:r>
      <w:r>
        <w:rPr>
          <w:rFonts w:ascii="Arial" w:cs="Arial" w:eastAsia="Arial" w:hAnsi="Arial"/>
          <w:sz w:val="16"/>
          <w:szCs w:val="16"/>
          <w:i w:val="1"/>
          <w:iCs w:val="1"/>
          <w:color w:val="auto"/>
        </w:rPr>
        <w:t>keren hishtalmut</w:t>
      </w:r>
      <w:r>
        <w:rPr>
          <w:rFonts w:ascii="Arial" w:cs="Arial" w:eastAsia="Arial" w:hAnsi="Arial"/>
          <w:sz w:val="16"/>
          <w:szCs w:val="16"/>
          <w:color w:val="auto"/>
        </w:rPr>
        <w:t>) pursuant to section 5 hereunder, and for the calculation of all social benefits.</w:t>
      </w:r>
    </w:p>
    <w:p>
      <w:pPr>
        <w:spacing w:after="0" w:line="151" w:lineRule="exact"/>
        <w:rPr>
          <w:rFonts w:ascii="Arial" w:cs="Arial" w:eastAsia="Arial" w:hAnsi="Arial"/>
          <w:sz w:val="16"/>
          <w:szCs w:val="16"/>
          <w:color w:val="auto"/>
        </w:rPr>
      </w:pPr>
    </w:p>
    <w:p>
      <w:pPr>
        <w:ind w:left="564" w:hanging="564"/>
        <w:spacing w:after="0"/>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Vacation</w:t>
      </w:r>
    </w:p>
    <w:p>
      <w:pPr>
        <w:spacing w:after="0" w:line="196" w:lineRule="exact"/>
        <w:rPr>
          <w:rFonts w:ascii="Arial" w:cs="Arial" w:eastAsia="Arial" w:hAnsi="Arial"/>
          <w:sz w:val="16"/>
          <w:szCs w:val="16"/>
          <w:color w:val="auto"/>
        </w:rPr>
      </w:pPr>
    </w:p>
    <w:p>
      <w:pPr>
        <w:ind w:left="1124" w:right="20" w:hanging="565"/>
        <w:spacing w:after="0" w:line="282" w:lineRule="auto"/>
        <w:rPr>
          <w:rFonts w:ascii="Arial" w:cs="Arial" w:eastAsia="Arial" w:hAnsi="Arial"/>
          <w:sz w:val="16"/>
          <w:szCs w:val="16"/>
          <w:color w:val="auto"/>
        </w:rPr>
      </w:pPr>
      <w:r>
        <w:rPr>
          <w:rFonts w:ascii="Arial" w:cs="Arial" w:eastAsia="Arial" w:hAnsi="Arial"/>
          <w:sz w:val="16"/>
          <w:szCs w:val="16"/>
          <w:color w:val="auto"/>
        </w:rPr>
        <w:t>4.1.The Executive shall be entitled to 18 vacation days (the “</w:t>
      </w:r>
      <w:r>
        <w:rPr>
          <w:rFonts w:ascii="Arial" w:cs="Arial" w:eastAsia="Arial" w:hAnsi="Arial"/>
          <w:sz w:val="16"/>
          <w:szCs w:val="16"/>
          <w:b w:val="1"/>
          <w:bCs w:val="1"/>
          <w:color w:val="auto"/>
        </w:rPr>
        <w:t>Vacation Days</w:t>
      </w:r>
      <w:r>
        <w:rPr>
          <w:rFonts w:ascii="Arial" w:cs="Arial" w:eastAsia="Arial" w:hAnsi="Arial"/>
          <w:sz w:val="16"/>
          <w:szCs w:val="16"/>
          <w:color w:val="auto"/>
        </w:rPr>
        <w:t>”), with respect to each twelve (12) months’ period of continuous employment with the Company.</w:t>
      </w:r>
    </w:p>
    <w:p>
      <w:pPr>
        <w:spacing w:after="0" w:line="148" w:lineRule="exact"/>
        <w:rPr>
          <w:rFonts w:ascii="Arial" w:cs="Arial" w:eastAsia="Arial" w:hAnsi="Arial"/>
          <w:sz w:val="16"/>
          <w:szCs w:val="16"/>
          <w:color w:val="auto"/>
        </w:rPr>
      </w:pPr>
    </w:p>
    <w:p>
      <w:pPr>
        <w:ind w:left="1124" w:hanging="565"/>
        <w:spacing w:after="0" w:line="277" w:lineRule="auto"/>
        <w:rPr>
          <w:rFonts w:ascii="Arial" w:cs="Arial" w:eastAsia="Arial" w:hAnsi="Arial"/>
          <w:sz w:val="16"/>
          <w:szCs w:val="16"/>
          <w:color w:val="auto"/>
        </w:rPr>
      </w:pPr>
      <w:r>
        <w:rPr>
          <w:rFonts w:ascii="Arial" w:cs="Arial" w:eastAsia="Arial" w:hAnsi="Arial"/>
          <w:sz w:val="16"/>
          <w:szCs w:val="16"/>
          <w:color w:val="auto"/>
        </w:rPr>
        <w:t>4.2.The dates of the Executive’s vacation shall be coordinated by the Company and the Executive, in accordance with the Company’s needs. The Company shall be entitled to set uniform dates for vacation to all or part of its employees, as it shall deem fit.</w:t>
      </w:r>
    </w:p>
    <w:p>
      <w:pPr>
        <w:spacing w:after="0" w:line="151" w:lineRule="exact"/>
        <w:rPr>
          <w:rFonts w:ascii="Arial" w:cs="Arial" w:eastAsia="Arial" w:hAnsi="Arial"/>
          <w:sz w:val="16"/>
          <w:szCs w:val="16"/>
          <w:color w:val="auto"/>
        </w:rPr>
      </w:pPr>
    </w:p>
    <w:p>
      <w:pPr>
        <w:ind w:left="1124" w:right="20" w:hanging="565"/>
        <w:spacing w:after="0" w:line="264" w:lineRule="auto"/>
        <w:rPr>
          <w:rFonts w:ascii="Arial" w:cs="Arial" w:eastAsia="Arial" w:hAnsi="Arial"/>
          <w:sz w:val="16"/>
          <w:szCs w:val="16"/>
          <w:color w:val="auto"/>
        </w:rPr>
      </w:pPr>
      <w:r>
        <w:rPr>
          <w:rFonts w:ascii="Arial" w:cs="Arial" w:eastAsia="Arial" w:hAnsi="Arial"/>
          <w:sz w:val="16"/>
          <w:szCs w:val="16"/>
          <w:color w:val="auto"/>
        </w:rPr>
        <w:t>4.3.The Executive shall be entitled to carry forward only the unused vacation days out of the Vacation Days, from one year to the next, provided that the Executive shall not, at any time, accumulate more than twice the Vacation Days. Any unused Vacation Days exceeding the aforesaid accumulation quota shall be cancelled, subject to applicable law.</w:t>
      </w:r>
    </w:p>
    <w:p>
      <w:pPr>
        <w:spacing w:after="0" w:line="161"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4.4.</w:t>
      </w:r>
      <w:r>
        <w:rPr>
          <w:rFonts w:ascii="Arial" w:cs="Arial" w:eastAsia="Arial" w:hAnsi="Arial"/>
          <w:sz w:val="14"/>
          <w:szCs w:val="14"/>
          <w:color w:val="auto"/>
        </w:rPr>
        <w:t>The Executive will be entitled to redeem his unused vacation days, accumulated in accordance herewith, upon termination of employment.</w:t>
      </w:r>
    </w:p>
    <w:p>
      <w:pPr>
        <w:spacing w:after="0" w:line="200" w:lineRule="exact"/>
        <w:rPr>
          <w:rFonts w:ascii="Arial" w:cs="Arial" w:eastAsia="Arial" w:hAnsi="Arial"/>
          <w:sz w:val="16"/>
          <w:szCs w:val="16"/>
          <w:color w:val="auto"/>
        </w:rPr>
      </w:pPr>
    </w:p>
    <w:p>
      <w:pPr>
        <w:ind w:left="564" w:hanging="564"/>
        <w:spacing w:after="0"/>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Certain Benefits</w:t>
      </w:r>
    </w:p>
    <w:p>
      <w:pPr>
        <w:spacing w:after="0" w:line="200" w:lineRule="exact"/>
        <w:rPr>
          <w:rFonts w:ascii="Arial" w:cs="Arial" w:eastAsia="Arial" w:hAnsi="Arial"/>
          <w:sz w:val="16"/>
          <w:szCs w:val="16"/>
          <w:color w:val="auto"/>
        </w:rPr>
      </w:pPr>
    </w:p>
    <w:p>
      <w:pPr>
        <w:ind w:left="1124" w:right="20" w:hanging="565"/>
        <w:spacing w:after="0" w:line="278" w:lineRule="auto"/>
        <w:rPr>
          <w:rFonts w:ascii="Arial" w:cs="Arial" w:eastAsia="Arial" w:hAnsi="Arial"/>
          <w:sz w:val="16"/>
          <w:szCs w:val="16"/>
          <w:color w:val="auto"/>
        </w:rPr>
      </w:pPr>
      <w:r>
        <w:rPr>
          <w:rFonts w:ascii="Arial" w:cs="Arial" w:eastAsia="Arial" w:hAnsi="Arial"/>
          <w:sz w:val="16"/>
          <w:szCs w:val="16"/>
          <w:color w:val="auto"/>
        </w:rPr>
        <w:t>5.1.</w:t>
      </w:r>
      <w:r>
        <w:rPr>
          <w:rFonts w:ascii="Arial" w:cs="Arial" w:eastAsia="Arial" w:hAnsi="Arial"/>
          <w:sz w:val="15"/>
          <w:szCs w:val="15"/>
          <w:color w:val="auto"/>
        </w:rPr>
        <w:t>The Company shall grant the Executive the following benefits: (i) An “Advanced Study Fund” (to which the Company shall pay, on a monthly basis, an amount equal to 7.5% of the Monthly Salary against deduction of 2.5% of the base salary, as the Executive’s contribution, and transfer thereof to the Advanced Study Fund); (ii) “Management Fund” to which the Company shall pay, on a monthly basis, contributions in an amount equal to 13 1/3% (8 1/3% toward severance and 5% toward savings) of the Monthly Salary and disability insurance (Ovdan Kosher Avoda) according to Company policy, against deduction from the Monthly Salary of an amount equal to 5% of the Monthly Salary as Executive’s contribution towards savings to the Management Fund.</w:t>
      </w: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796" w:right="219" w:bottom="1440" w:gutter="0" w:footer="0" w:header="0"/>
        </w:sectPr>
      </w:pPr>
    </w:p>
    <w:bookmarkStart w:id="210" w:name="page211"/>
    <w:bookmarkEnd w:id="210"/>
    <w:p>
      <w:pPr>
        <w:jc w:val="both"/>
        <w:ind w:left="1124" w:right="20" w:hanging="564"/>
        <w:spacing w:after="0" w:line="257" w:lineRule="auto"/>
        <w:tabs>
          <w:tab w:leader="none" w:pos="1104"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 xml:space="preserve">To avoid any doubt it is explicitly stated that the payments of the Company for severance compensation are done to cover and to insure the Company’s future contingent liability to pay the Executive severance compensation, in case the Executive shall be entitled to receive such compensation according to applicable law. This section is in accordance with Section 14 of the Severance Compensation Law, 1963 and the General Approval of the Labor Minister, dated June 30, 1998 issued in accordance with the said section 14, a copy of which is attached hereto as </w:t>
      </w:r>
      <w:r>
        <w:rPr>
          <w:rFonts w:ascii="Arial" w:cs="Arial" w:eastAsia="Arial" w:hAnsi="Arial"/>
          <w:sz w:val="16"/>
          <w:szCs w:val="16"/>
          <w:b w:val="1"/>
          <w:bCs w:val="1"/>
          <w:color w:val="auto"/>
        </w:rPr>
        <w:t>Appendix C</w:t>
      </w:r>
      <w:r>
        <w:rPr>
          <w:rFonts w:ascii="Arial" w:cs="Arial" w:eastAsia="Arial" w:hAnsi="Arial"/>
          <w:sz w:val="16"/>
          <w:szCs w:val="16"/>
          <w:color w:val="auto"/>
        </w:rPr>
        <w:t xml:space="preserve">. The Executive hereby expressly agrees to the arrangement according to the said section 14 as specified in </w:t>
      </w:r>
      <w:r>
        <w:rPr>
          <w:rFonts w:ascii="Arial" w:cs="Arial" w:eastAsia="Arial" w:hAnsi="Arial"/>
          <w:sz w:val="16"/>
          <w:szCs w:val="16"/>
          <w:b w:val="1"/>
          <w:bCs w:val="1"/>
          <w:u w:val="single" w:color="auto"/>
          <w:color w:val="auto"/>
        </w:rPr>
        <w:t>Appendix C</w:t>
      </w:r>
      <w:r>
        <w:rPr>
          <w:rFonts w:ascii="Arial" w:cs="Arial" w:eastAsia="Arial" w:hAnsi="Arial"/>
          <w:sz w:val="16"/>
          <w:szCs w:val="16"/>
          <w:b w:val="1"/>
          <w:bCs w:val="1"/>
          <w:color w:val="auto"/>
        </w:rPr>
        <w:t>.</w:t>
      </w:r>
    </w:p>
    <w:p>
      <w:pPr>
        <w:spacing w:after="0" w:line="168" w:lineRule="exact"/>
        <w:rPr>
          <w:sz w:val="20"/>
          <w:szCs w:val="20"/>
          <w:color w:val="auto"/>
        </w:rPr>
      </w:pPr>
    </w:p>
    <w:p>
      <w:pPr>
        <w:ind w:left="564" w:hanging="564"/>
        <w:spacing w:after="0"/>
        <w:tabs>
          <w:tab w:leader="none" w:pos="56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Executive shall be entitled to recreation pay (</w:t>
      </w:r>
      <w:r>
        <w:rPr>
          <w:rFonts w:ascii="Arial" w:cs="Arial" w:eastAsia="Arial" w:hAnsi="Arial"/>
          <w:sz w:val="16"/>
          <w:szCs w:val="16"/>
          <w:i w:val="1"/>
          <w:iCs w:val="1"/>
          <w:color w:val="auto"/>
        </w:rPr>
        <w:t>Dmei havra’a</w:t>
      </w:r>
      <w:r>
        <w:rPr>
          <w:rFonts w:ascii="Arial" w:cs="Arial" w:eastAsia="Arial" w:hAnsi="Arial"/>
          <w:sz w:val="16"/>
          <w:szCs w:val="16"/>
          <w:color w:val="auto"/>
        </w:rPr>
        <w:t>) according to the Israeli regulations as in effect from time to time with respect to such pay.</w:t>
      </w:r>
    </w:p>
    <w:p>
      <w:pPr>
        <w:spacing w:after="0" w:line="200" w:lineRule="exact"/>
        <w:rPr>
          <w:rFonts w:ascii="Arial" w:cs="Arial" w:eastAsia="Arial" w:hAnsi="Arial"/>
          <w:sz w:val="16"/>
          <w:szCs w:val="16"/>
          <w:color w:val="auto"/>
        </w:rPr>
      </w:pPr>
    </w:p>
    <w:p>
      <w:pPr>
        <w:ind w:left="564" w:hanging="564"/>
        <w:spacing w:after="0"/>
        <w:tabs>
          <w:tab w:leader="none" w:pos="56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Executive shall be entitled to such number of days for sick leave according to the Sick Pay Law - 1976.</w:t>
      </w:r>
    </w:p>
    <w:p>
      <w:pPr>
        <w:spacing w:after="0" w:line="196" w:lineRule="exact"/>
        <w:rPr>
          <w:rFonts w:ascii="Arial" w:cs="Arial" w:eastAsia="Arial" w:hAnsi="Arial"/>
          <w:sz w:val="16"/>
          <w:szCs w:val="16"/>
          <w:color w:val="auto"/>
        </w:rPr>
      </w:pPr>
    </w:p>
    <w:p>
      <w:pPr>
        <w:jc w:val="both"/>
        <w:ind w:left="564" w:hanging="564"/>
        <w:spacing w:after="0" w:line="295" w:lineRule="auto"/>
        <w:tabs>
          <w:tab w:leader="none" w:pos="564"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Company car</w:t>
      </w:r>
      <w:r>
        <w:rPr>
          <w:rFonts w:ascii="Arial" w:cs="Arial" w:eastAsia="Arial" w:hAnsi="Arial"/>
          <w:sz w:val="14"/>
          <w:szCs w:val="14"/>
          <w:color w:val="auto"/>
        </w:rPr>
        <w:t>: The Executive shall be provided with a level 4 company car (the "</w:t>
      </w:r>
      <w:r>
        <w:rPr>
          <w:rFonts w:ascii="Arial" w:cs="Arial" w:eastAsia="Arial" w:hAnsi="Arial"/>
          <w:sz w:val="14"/>
          <w:szCs w:val="14"/>
          <w:b w:val="1"/>
          <w:bCs w:val="1"/>
          <w:color w:val="auto"/>
        </w:rPr>
        <w:t>Company Car</w:t>
      </w:r>
      <w:r>
        <w:rPr>
          <w:rFonts w:ascii="Arial" w:cs="Arial" w:eastAsia="Arial" w:hAnsi="Arial"/>
          <w:sz w:val="14"/>
          <w:szCs w:val="14"/>
          <w:color w:val="auto"/>
        </w:rPr>
        <w:t>") according to the Company's policy. The Company Car is provided to the Executive for work purposes and due to the nature of the Executive's duties towards the Company. The Company agrees, leniently, that the Executive shall be entitled to use the Company Car for personal purposes in Executive's spare time. It is hereby agreed that Executive shall be entitled to use the Company Car during the notice period in the event of termination of this Agreement. The expenses relating to the Company Car (except for Income Tax and other compulsory deductions) including with out limitation, fuel, insurance, annual test maintenance costs and highway tolls shall be paid by the Company. In case of damage subject to excess insurance due to driver's conduct or responsibility, the Executive shall bear such excess insurance. The Company Car shall be considered as reimbursement of travel expenses pursuant to applicable law (to the extent the Executive is entitled to such travel expenses under law). Executive shall bear and pay all penalties and expenses relating to any violation of law committed in connection with the use of the Company Car. Executive hereby irrevocably authorizes Company to set off and deduct all amounts that may be owed to Company under this subsection against any and all amounts due to Executive from the Company under this Agreement or from any source whatsoever.</w:t>
      </w:r>
    </w:p>
    <w:p>
      <w:pPr>
        <w:spacing w:after="0" w:line="144" w:lineRule="exact"/>
        <w:rPr>
          <w:rFonts w:ascii="Arial" w:cs="Arial" w:eastAsia="Arial" w:hAnsi="Arial"/>
          <w:sz w:val="14"/>
          <w:szCs w:val="14"/>
          <w:color w:val="auto"/>
        </w:rPr>
      </w:pPr>
    </w:p>
    <w:p>
      <w:pPr>
        <w:jc w:val="both"/>
        <w:ind w:left="564" w:right="20" w:hanging="564"/>
        <w:spacing w:after="0" w:line="257" w:lineRule="auto"/>
        <w:tabs>
          <w:tab w:leader="none" w:pos="564"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Mobile phone</w:t>
      </w:r>
      <w:r>
        <w:rPr>
          <w:rFonts w:ascii="Arial" w:cs="Arial" w:eastAsia="Arial" w:hAnsi="Arial"/>
          <w:sz w:val="16"/>
          <w:szCs w:val="16"/>
          <w:color w:val="auto"/>
        </w:rPr>
        <w:t>. The Company shall furnish the Executive with a mobile phone, and shall bear all costs and expenses relating thereto, not including tax gross up, in accordance with the Company’s policy, as amended from time to time. Upon termination of this Agreement, for whatever reason, the Company may, at the Executive's request and expense, transfer the ownership in the mobile phone and number to the Executive. The value of the benefit to Executive with regard to such mobile phone shall not be deemed as an integral part of the Monthly Salary for any intent and purpose (including without limitation for the purpose of the Executive's entitlement to severance pay and payments towards the pension policy and Keren Hishtalmut).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211" w:name="page212"/>
    <w:bookmarkEnd w:id="211"/>
    <w:p>
      <w:pPr>
        <w:ind w:left="564" w:hanging="564"/>
        <w:spacing w:after="0"/>
        <w:tabs>
          <w:tab w:leader="none" w:pos="564"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left="1124" w:hanging="565"/>
        <w:spacing w:after="0" w:line="257" w:lineRule="auto"/>
        <w:rPr>
          <w:rFonts w:ascii="Arial" w:cs="Arial" w:eastAsia="Arial" w:hAnsi="Arial"/>
          <w:sz w:val="16"/>
          <w:szCs w:val="16"/>
          <w:color w:val="auto"/>
        </w:rPr>
      </w:pPr>
      <w:r>
        <w:rPr>
          <w:rFonts w:ascii="Arial" w:cs="Arial" w:eastAsia="Arial" w:hAnsi="Arial"/>
          <w:sz w:val="16"/>
          <w:szCs w:val="16"/>
          <w:color w:val="auto"/>
        </w:rPr>
        <w:t>10.1. The Executive shall be granted with an option to purchase 43,000 Ordinary Shares, 0.01 par value each of the Company (the “</w:t>
      </w:r>
      <w:r>
        <w:rPr>
          <w:rFonts w:ascii="Arial" w:cs="Arial" w:eastAsia="Arial" w:hAnsi="Arial"/>
          <w:sz w:val="16"/>
          <w:szCs w:val="16"/>
          <w:b w:val="1"/>
          <w:bCs w:val="1"/>
          <w:color w:val="auto"/>
        </w:rPr>
        <w:t>Option</w:t>
      </w:r>
      <w:r>
        <w:rPr>
          <w:rFonts w:ascii="Arial" w:cs="Arial" w:eastAsia="Arial" w:hAnsi="Arial"/>
          <w:sz w:val="16"/>
          <w:szCs w:val="16"/>
          <w:color w:val="auto"/>
        </w:rPr>
        <w:t>”). The exercise price of the Option shall be US$ 1.923 per share equal to 15% of the price per share offered in the Preferred B round. The Option shall be subject to a four (4) years vesting schedule with a 1 year cliff as to 25% of the Option and the remaining 75% vesting on a quarterly basis during the following three (3) years. The grant of the Option is subject to the Executive exercising the Company's standard Option Agreement and to the approval of the Company's Board of Directors for the grant. All of the unvested options under this Option shall automatically vest immediately prior to a Transaction (as defined in the Company's Incentive Option Plan).</w:t>
      </w:r>
    </w:p>
    <w:p>
      <w:pPr>
        <w:spacing w:after="0" w:line="167"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10.2.   All other terms of the Option, shall be subject to the Company’s Incentive Option Plan and in accordance therewith.</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6060" w:type="dxa"/>
            <w:vAlign w:val="bottom"/>
            <w:gridSpan w:val="3"/>
          </w:tcPr>
          <w:p>
            <w:pPr>
              <w:jc w:val="center"/>
              <w:ind w:right="820"/>
              <w:spacing w:after="0"/>
              <w:rPr>
                <w:sz w:val="20"/>
                <w:szCs w:val="20"/>
                <w:color w:val="auto"/>
              </w:rPr>
            </w:pPr>
            <w:r>
              <w:rPr>
                <w:rFonts w:ascii="Arial" w:cs="Arial" w:eastAsia="Arial" w:hAnsi="Arial"/>
                <w:sz w:val="16"/>
                <w:szCs w:val="16"/>
                <w:color w:val="auto"/>
                <w:w w:val="91"/>
              </w:rPr>
              <w:t>/s/ Yaron Daniely</w:t>
            </w:r>
          </w:p>
        </w:tc>
        <w:tc>
          <w:tcPr>
            <w:tcW w:w="3660" w:type="dxa"/>
            <w:vAlign w:val="bottom"/>
          </w:tcPr>
          <w:p>
            <w:pPr>
              <w:jc w:val="center"/>
              <w:ind w:right="260"/>
              <w:spacing w:after="0"/>
              <w:rPr>
                <w:sz w:val="20"/>
                <w:szCs w:val="20"/>
                <w:color w:val="auto"/>
              </w:rPr>
            </w:pPr>
            <w:r>
              <w:rPr>
                <w:rFonts w:ascii="Arial" w:cs="Arial" w:eastAsia="Arial" w:hAnsi="Arial"/>
                <w:sz w:val="16"/>
                <w:szCs w:val="16"/>
                <w:color w:val="auto"/>
                <w:w w:val="95"/>
              </w:rPr>
              <w:t>/s/ Udi Gilboa</w:t>
            </w:r>
          </w:p>
        </w:tc>
        <w:tc>
          <w:tcPr>
            <w:tcW w:w="144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Yaron Daniely</w:t>
            </w:r>
          </w:p>
        </w:tc>
        <w:tc>
          <w:tcPr>
            <w:tcW w:w="5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w w:val="95"/>
              </w:rPr>
              <w:t>Alcobra Ltd.</w:t>
            </w:r>
          </w:p>
        </w:tc>
        <w:tc>
          <w:tcPr>
            <w:tcW w:w="1440" w:type="dxa"/>
            <w:vAlign w:val="bottom"/>
          </w:tcPr>
          <w:p>
            <w:pPr>
              <w:spacing w:after="0"/>
              <w:rPr>
                <w:sz w:val="17"/>
                <w:szCs w:val="17"/>
                <w:color w:val="auto"/>
              </w:rPr>
            </w:pPr>
          </w:p>
        </w:tc>
      </w:tr>
      <w:tr>
        <w:trPr>
          <w:trHeight w:val="372"/>
        </w:trPr>
        <w:tc>
          <w:tcPr>
            <w:tcW w:w="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rPr>
              <w:t>Udi Gilboa</w:t>
            </w:r>
          </w:p>
        </w:tc>
        <w:tc>
          <w:tcPr>
            <w:tcW w:w="1440" w:type="dxa"/>
            <w:vAlign w:val="bottom"/>
          </w:tcPr>
          <w:p>
            <w:pPr>
              <w:spacing w:after="0"/>
              <w:rPr>
                <w:sz w:val="24"/>
                <w:szCs w:val="24"/>
                <w:color w:val="auto"/>
              </w:rPr>
            </w:pPr>
          </w:p>
        </w:tc>
      </w:tr>
      <w:tr>
        <w:trPr>
          <w:trHeight w:val="569"/>
        </w:trPr>
        <w:tc>
          <w:tcPr>
            <w:tcW w:w="2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4"/>
          </w:cols>
          <w:pgMar w:left="236" w:top="800" w:right="219" w:bottom="1440" w:gutter="0" w:footer="0" w:header="0"/>
        </w:sectPr>
      </w:pPr>
    </w:p>
    <w:bookmarkStart w:id="212" w:name="page213"/>
    <w:bookmarkEnd w:id="212"/>
    <w:p>
      <w:pPr>
        <w:jc w:val="center"/>
        <w:ind w:right="-3"/>
        <w:spacing w:after="0"/>
        <w:rPr>
          <w:sz w:val="20"/>
          <w:szCs w:val="20"/>
          <w:color w:val="auto"/>
        </w:rPr>
      </w:pPr>
      <w:r>
        <w:rPr>
          <w:rFonts w:ascii="Arial" w:cs="Arial" w:eastAsia="Arial" w:hAnsi="Arial"/>
          <w:sz w:val="16"/>
          <w:szCs w:val="16"/>
          <w:b w:val="1"/>
          <w:bCs w:val="1"/>
          <w:color w:val="auto"/>
        </w:rPr>
        <w:t>APPENDIX B</w:t>
      </w:r>
    </w:p>
    <w:p>
      <w:pPr>
        <w:spacing w:after="0" w:line="25"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auto"/>
        </w:rPr>
        <w:t>SECRECY, NON-COMPETITION AND PROPRIETARY</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INFORMATION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5"/>
          <w:szCs w:val="15"/>
          <w:color w:val="auto"/>
        </w:rPr>
        <w:t>This Secrecy, Non-Competition and Proprietary Information Agreement (the "</w:t>
      </w:r>
      <w:r>
        <w:rPr>
          <w:rFonts w:ascii="Arial" w:cs="Arial" w:eastAsia="Arial" w:hAnsi="Arial"/>
          <w:sz w:val="15"/>
          <w:szCs w:val="15"/>
          <w:b w:val="1"/>
          <w:bCs w:val="1"/>
          <w:color w:val="auto"/>
        </w:rPr>
        <w:t>Agreement</w:t>
      </w:r>
      <w:r>
        <w:rPr>
          <w:rFonts w:ascii="Arial" w:cs="Arial" w:eastAsia="Arial" w:hAnsi="Arial"/>
          <w:sz w:val="15"/>
          <w:szCs w:val="15"/>
          <w:color w:val="auto"/>
        </w:rPr>
        <w:t>") is made as of the ____ day of February, 2010 by and between Alcobra Ltd. (the</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Yaron Daniely (the “</w:t>
      </w:r>
      <w:r>
        <w:rPr>
          <w:rFonts w:ascii="Arial" w:cs="Arial" w:eastAsia="Arial" w:hAnsi="Arial"/>
          <w:sz w:val="16"/>
          <w:szCs w:val="16"/>
          <w:b w:val="1"/>
          <w:bCs w:val="1"/>
          <w:color w:val="auto"/>
        </w:rPr>
        <w:t>Executive</w:t>
      </w:r>
      <w:r>
        <w:rPr>
          <w:rFonts w:ascii="Arial" w:cs="Arial" w:eastAsia="Arial" w:hAnsi="Arial"/>
          <w:sz w:val="16"/>
          <w:szCs w:val="16"/>
          <w:color w:val="auto"/>
        </w:rPr>
        <w:t>”).</w:t>
      </w:r>
    </w:p>
    <w:p>
      <w:pPr>
        <w:spacing w:after="0" w:line="188" w:lineRule="exact"/>
        <w:rPr>
          <w:sz w:val="20"/>
          <w:szCs w:val="20"/>
          <w:color w:val="auto"/>
        </w:rPr>
      </w:pPr>
    </w:p>
    <w:p>
      <w:pPr>
        <w:ind w:left="584" w:hanging="584"/>
        <w:spacing w:after="0"/>
        <w:tabs>
          <w:tab w:leader="none" w:pos="584"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Secrecy</w:t>
      </w:r>
    </w:p>
    <w:p>
      <w:pPr>
        <w:spacing w:after="0" w:line="200" w:lineRule="exact"/>
        <w:rPr>
          <w:rFonts w:ascii="Arial" w:cs="Arial" w:eastAsia="Arial" w:hAnsi="Arial"/>
          <w:sz w:val="16"/>
          <w:szCs w:val="16"/>
          <w:color w:val="auto"/>
        </w:rPr>
      </w:pPr>
    </w:p>
    <w:p>
      <w:pPr>
        <w:jc w:val="both"/>
        <w:ind w:left="4" w:right="20" w:firstLine="573"/>
        <w:spacing w:after="0" w:line="264" w:lineRule="auto"/>
        <w:tabs>
          <w:tab w:leader="none" w:pos="142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Executive recognizes and acknowledges that Executive’s access to the trade secrets and confidential or proprietary information (collectively,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the Company and the Company’s subsidiaries (collectively, the “</w:t>
      </w:r>
      <w:r>
        <w:rPr>
          <w:rFonts w:ascii="Arial" w:cs="Arial" w:eastAsia="Arial" w:hAnsi="Arial"/>
          <w:sz w:val="16"/>
          <w:szCs w:val="16"/>
          <w:b w:val="1"/>
          <w:bCs w:val="1"/>
          <w:color w:val="auto"/>
        </w:rPr>
        <w:t>Companies</w:t>
      </w:r>
      <w:r>
        <w:rPr>
          <w:rFonts w:ascii="Arial" w:cs="Arial" w:eastAsia="Arial" w:hAnsi="Arial"/>
          <w:sz w:val="16"/>
          <w:szCs w:val="16"/>
          <w:color w:val="auto"/>
        </w:rPr>
        <w:t>”), is essential to the performance of Executive’s duties as an employee of the Company.</w:t>
      </w:r>
    </w:p>
    <w:p>
      <w:pPr>
        <w:spacing w:after="0" w:line="162" w:lineRule="exact"/>
        <w:rPr>
          <w:sz w:val="20"/>
          <w:szCs w:val="20"/>
          <w:color w:val="auto"/>
        </w:rPr>
      </w:pPr>
    </w:p>
    <w:p>
      <w:pPr>
        <w:jc w:val="both"/>
        <w:ind w:left="4"/>
        <w:spacing w:after="0" w:line="271" w:lineRule="auto"/>
        <w:rPr>
          <w:sz w:val="20"/>
          <w:szCs w:val="20"/>
          <w:color w:val="auto"/>
        </w:rPr>
      </w:pPr>
      <w:r>
        <w:rPr>
          <w:rFonts w:ascii="Arial" w:cs="Arial" w:eastAsia="Arial" w:hAnsi="Arial"/>
          <w:sz w:val="15"/>
          <w:szCs w:val="15"/>
          <w:color w:val="auto"/>
        </w:rPr>
        <w:t>By way of illustration and not limitation, such Confidential Information shall include (i) any and all information concerning the business and affairs of the Companies, product specifications, data, know-how, compositions, processes, formulas, methods, designs, samples, inventions and ideas, past, current and future development or experimental work, current and future distribution methods and processes, customer lists, current and future customer requirements, price lists, market studies, business plans, computer software and programs (including object code and source code), computer software and database technologies, systems, structures and architectures (and related processes, algorithms, compositions, improvements, know-how, inventions, discoveries, concepts, ideas, designs, methods and information) of the Company, and any other information, however documented of the Companies; (ii) any and all information concerning the business and affairs of the Companies (which includes historical financial statements, financial projections and budgets, historical and projected sales, capital spending budgets and plans, the names and backgrounds of key personnel, personnel training and techniques and materials), however documented; and (iii) all derivatives, improvements and enhancements to the Company’s technology which are created or developed by Executive while an employee of the Company or while otherwise providing services to the Company; and (iv) information of third parties as to which the Company has an obligation of confidentiality; and (v) any and all notes, analysis, compilations, studies, summaries, and other material prepared by or for the Companies containing or based, in whole or in part, on any information included in the foregoing.</w:t>
      </w:r>
    </w:p>
    <w:p>
      <w:pPr>
        <w:spacing w:after="0" w:line="164"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The Confidential Information shall not include information which: (i) has become publicly known and made generally available through no wrongful act of Executive; (ii) was known to the Executive prior to his involvement with the Companies; (iii) was or is developed by the Executive not during his employment by the Companies and not in relation, directly or indirectly, to the Companies’ business and was not or is not created or prepared during working hours in the Companies or in the Companies' premises or with the Companies' equipment, provided that such information is not in any way competitive or likely to be competing with the Companies’ business as currently conducted and as may be conducted in the future.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796" w:right="219" w:bottom="1440" w:gutter="0" w:footer="0" w:header="0"/>
        </w:sectPr>
      </w:pPr>
    </w:p>
    <w:bookmarkStart w:id="213" w:name="page214"/>
    <w:bookmarkEnd w:id="213"/>
    <w:p>
      <w:pPr>
        <w:jc w:val="both"/>
        <w:ind w:left="4" w:firstLine="573"/>
        <w:spacing w:after="0" w:line="289" w:lineRule="auto"/>
        <w:tabs>
          <w:tab w:leader="none" w:pos="1367" w:val="left"/>
        </w:tabs>
        <w:numPr>
          <w:ilvl w:val="1"/>
          <w:numId w:val="178"/>
        </w:numPr>
        <w:rPr>
          <w:rFonts w:ascii="Arial" w:cs="Arial" w:eastAsia="Arial" w:hAnsi="Arial"/>
          <w:sz w:val="14"/>
          <w:szCs w:val="14"/>
          <w:color w:val="auto"/>
        </w:rPr>
      </w:pPr>
      <w:r>
        <w:rPr>
          <w:rFonts w:ascii="Arial" w:cs="Arial" w:eastAsia="Arial" w:hAnsi="Arial"/>
          <w:sz w:val="14"/>
          <w:szCs w:val="14"/>
          <w:color w:val="auto"/>
        </w:rPr>
        <w:t>Executive further recognizes and acknowledges that such Confidential Information is a valuable and unique asset of the Company's, and that its use or disclosure (except use or disclosure as required for carrying out Executive’s duties as an employee of the Company) would cause the Company substantial loss and damages. Executive undertakes and agrees that Executive will not, in whole or in part, disclose such Confidential Information to any person or organization under any circumstances (except disclosure as required for carrying out Executive’s duties as an employee of the Company), will not make use of any such Confidential Information for Executive’s own purposes or for the benefit of any other person or organization, and will not reproduce any of the Confidential Information without the Company’s prior written consent; provided, however, that this provision shall not preclude Executive from making, upon written advice of counsel satisfactory to the Company, any disclosure required by any applicable law or from using or disclosing information lawfully known generally to the public (other than information known generally to the public as a result of any violation of this subsection</w:t>
      </w:r>
    </w:p>
    <w:p>
      <w:pPr>
        <w:ind w:left="224" w:hanging="224"/>
        <w:spacing w:after="0"/>
        <w:tabs>
          <w:tab w:leader="none" w:pos="2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by or on behalf of Executive).</w:t>
      </w:r>
    </w:p>
    <w:p>
      <w:pPr>
        <w:spacing w:after="0" w:line="187" w:lineRule="exact"/>
        <w:rPr>
          <w:rFonts w:ascii="Arial" w:cs="Arial" w:eastAsia="Arial" w:hAnsi="Arial"/>
          <w:sz w:val="16"/>
          <w:szCs w:val="16"/>
          <w:color w:val="auto"/>
        </w:rPr>
      </w:pPr>
    </w:p>
    <w:p>
      <w:pPr>
        <w:ind w:left="1164" w:hanging="587"/>
        <w:spacing w:after="0"/>
        <w:tabs>
          <w:tab w:leader="none" w:pos="1164" w:val="left"/>
        </w:tabs>
        <w:numPr>
          <w:ilvl w:val="1"/>
          <w:numId w:val="179"/>
        </w:numPr>
        <w:rPr>
          <w:rFonts w:ascii="Arial" w:cs="Arial" w:eastAsia="Arial" w:hAnsi="Arial"/>
          <w:sz w:val="14"/>
          <w:szCs w:val="14"/>
          <w:color w:val="auto"/>
        </w:rPr>
      </w:pPr>
      <w:r>
        <w:rPr>
          <w:rFonts w:ascii="Arial" w:cs="Arial" w:eastAsia="Arial" w:hAnsi="Arial"/>
          <w:sz w:val="14"/>
          <w:szCs w:val="14"/>
          <w:color w:val="auto"/>
        </w:rPr>
        <w:t>Executive will not disclose or otherwise make available to the Companies in any manner any confidential information received by Executive from third parties.</w:t>
      </w:r>
    </w:p>
    <w:p>
      <w:pPr>
        <w:spacing w:after="0" w:line="223" w:lineRule="exact"/>
        <w:rPr>
          <w:rFonts w:ascii="Arial" w:cs="Arial" w:eastAsia="Arial" w:hAnsi="Arial"/>
          <w:sz w:val="14"/>
          <w:szCs w:val="14"/>
          <w:color w:val="auto"/>
        </w:rPr>
      </w:pPr>
    </w:p>
    <w:p>
      <w:pPr>
        <w:ind w:left="1124" w:hanging="547"/>
        <w:spacing w:after="0"/>
        <w:tabs>
          <w:tab w:leader="none" w:pos="112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obligations set forth in this section are perpetual, and shall survive termination of Executive’s employment with the Company.</w:t>
      </w:r>
    </w:p>
    <w:p>
      <w:pPr>
        <w:spacing w:after="0" w:line="200" w:lineRule="exact"/>
        <w:rPr>
          <w:rFonts w:ascii="Arial" w:cs="Arial" w:eastAsia="Arial" w:hAnsi="Arial"/>
          <w:sz w:val="16"/>
          <w:szCs w:val="16"/>
          <w:color w:val="auto"/>
        </w:rPr>
      </w:pPr>
    </w:p>
    <w:p>
      <w:pPr>
        <w:jc w:val="both"/>
        <w:ind w:left="4" w:right="20" w:firstLine="573"/>
        <w:spacing w:after="0" w:line="319" w:lineRule="auto"/>
        <w:tabs>
          <w:tab w:leader="none" w:pos="1157" w:val="left"/>
        </w:tabs>
        <w:numPr>
          <w:ilvl w:val="1"/>
          <w:numId w:val="179"/>
        </w:numPr>
        <w:rPr>
          <w:rFonts w:ascii="Arial" w:cs="Arial" w:eastAsia="Arial" w:hAnsi="Arial"/>
          <w:sz w:val="14"/>
          <w:szCs w:val="14"/>
          <w:color w:val="auto"/>
        </w:rPr>
      </w:pPr>
      <w:r>
        <w:rPr>
          <w:rFonts w:ascii="Arial" w:cs="Arial" w:eastAsia="Arial" w:hAnsi="Arial"/>
          <w:sz w:val="14"/>
          <w:szCs w:val="14"/>
          <w:color w:val="auto"/>
        </w:rPr>
        <w:t>Executive further recognizes and acknowledges that the Company has received and in the future will receive from third parties their confidential or proprietary information subject to certain limited purposes. Executive agrees to hold all such confidential or proprietary information in the strictest confidence and not to disclose it to any person, firm or corporation or to use it except as necessary in carrying out Executive’s work for the Company consistent with the Company’s agreement with the third party.</w:t>
      </w:r>
    </w:p>
    <w:p>
      <w:pPr>
        <w:spacing w:after="0" w:line="127" w:lineRule="exact"/>
        <w:rPr>
          <w:sz w:val="20"/>
          <w:szCs w:val="20"/>
          <w:color w:val="auto"/>
        </w:rPr>
      </w:pPr>
    </w:p>
    <w:p>
      <w:pPr>
        <w:ind w:left="584" w:hanging="584"/>
        <w:spacing w:after="0"/>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Return of Materials</w:t>
      </w:r>
    </w:p>
    <w:p>
      <w:pPr>
        <w:spacing w:after="0" w:line="21" w:lineRule="exact"/>
        <w:rPr>
          <w:sz w:val="20"/>
          <w:szCs w:val="20"/>
          <w:color w:val="auto"/>
        </w:rPr>
      </w:pPr>
    </w:p>
    <w:p>
      <w:pPr>
        <w:jc w:val="both"/>
        <w:ind w:left="4" w:right="20"/>
        <w:spacing w:after="0" w:line="309" w:lineRule="auto"/>
        <w:rPr>
          <w:sz w:val="20"/>
          <w:szCs w:val="20"/>
          <w:color w:val="auto"/>
        </w:rPr>
      </w:pPr>
      <w:r>
        <w:rPr>
          <w:rFonts w:ascii="Arial" w:cs="Arial" w:eastAsia="Arial" w:hAnsi="Arial"/>
          <w:sz w:val="14"/>
          <w:szCs w:val="14"/>
          <w:color w:val="auto"/>
        </w:rPr>
        <w:t>Upon termination of Executive’s employment with the Company or at the request of the Company before termination, Executive will promptly deliver to the Company all copies of all written and tangible material, in Executive’s possession or under Executive’s control, incorporating the Confidential Information or otherwise relating to the Company’s business, without retaining any copies thereof. The obligations set forth in this subsection shall survive termination of Executive’s employment with the Company.</w:t>
      </w:r>
    </w:p>
    <w:p>
      <w:pPr>
        <w:spacing w:after="0" w:line="134" w:lineRule="exact"/>
        <w:rPr>
          <w:sz w:val="20"/>
          <w:szCs w:val="20"/>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Ownership of Property and Rights</w:t>
      </w:r>
    </w:p>
    <w:p>
      <w:pPr>
        <w:spacing w:after="0" w:line="200" w:lineRule="exact"/>
        <w:rPr>
          <w:rFonts w:ascii="Arial" w:cs="Arial" w:eastAsia="Arial" w:hAnsi="Arial"/>
          <w:sz w:val="16"/>
          <w:szCs w:val="16"/>
          <w:color w:val="auto"/>
        </w:rPr>
      </w:pPr>
    </w:p>
    <w:p>
      <w:pPr>
        <w:jc w:val="both"/>
        <w:ind w:left="4" w:right="20" w:firstLine="573"/>
        <w:spacing w:after="0" w:line="264" w:lineRule="auto"/>
        <w:tabs>
          <w:tab w:leader="none" w:pos="1159"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Exclusive Property</w:t>
      </w:r>
      <w:r>
        <w:rPr>
          <w:rFonts w:ascii="Arial" w:cs="Arial" w:eastAsia="Arial" w:hAnsi="Arial"/>
          <w:sz w:val="16"/>
          <w:szCs w:val="16"/>
          <w:color w:val="auto"/>
        </w:rPr>
        <w:t>. Executive confirms that all Confidential Information and Inventions (as defined below) are, will be, and shall remain the exclusive property of the Company for its sole and exclusive use and benefit. All business records, papers and documents however documented kept or made by Executive during the employment of the Executive by the Company shall be and remain the property of the Company.</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00" w:right="219" w:bottom="1440" w:gutter="0" w:footer="0" w:header="0"/>
        </w:sectPr>
      </w:pPr>
    </w:p>
    <w:bookmarkStart w:id="214" w:name="page215"/>
    <w:bookmarkEnd w:id="214"/>
    <w:p>
      <w:pPr>
        <w:jc w:val="both"/>
        <w:ind w:firstLine="573"/>
        <w:spacing w:after="0" w:line="252" w:lineRule="auto"/>
        <w:tabs>
          <w:tab w:leader="none" w:pos="1236"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Assignment &amp; Waiver</w:t>
      </w:r>
      <w:r>
        <w:rPr>
          <w:rFonts w:ascii="Arial" w:cs="Arial" w:eastAsia="Arial" w:hAnsi="Arial"/>
          <w:sz w:val="16"/>
          <w:szCs w:val="16"/>
          <w:color w:val="auto"/>
        </w:rPr>
        <w:t>. All Inventions (as defined below) designed or developed by, with the participation of, or under the supervision of Executive, shall be owned exclusively by the Company. Executive hereby assigns and waives to the Company, without any additional consideration to Executive other than his Monthly Salary, the entire right, title and interest in and to any ideas, inventions, original works of authorship, developments, improvements, modifications, enhancements, trade secrets, and in and to any documentation, software, hardware, firmware, creative works, know-how and information, conceived or reduced to practice, in whole or in part, by Executive during time he is actually associated with the Company (irrespective of the commencement date stated in Section 4.1 of the Agreement and irrespective of any Additional Engagements) which are related to the Company’s business as currently conducted and as may be conducted during the Term, whether or not such Inventions patentable, copyrightable or otherwise protectable, and Executive assigns to the Company as above stated, the entire right, title and interest in and to any proprietary rights therein or based thereon (collectively, the “</w:t>
      </w:r>
      <w:r>
        <w:rPr>
          <w:rFonts w:ascii="Arial" w:cs="Arial" w:eastAsia="Arial" w:hAnsi="Arial"/>
          <w:sz w:val="16"/>
          <w:szCs w:val="16"/>
          <w:b w:val="1"/>
          <w:bCs w:val="1"/>
          <w:color w:val="auto"/>
        </w:rPr>
        <w:t>Inventions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6"/>
          <w:szCs w:val="16"/>
          <w:color w:val="auto"/>
        </w:rPr>
        <w:t>It is hereby clarified that Executive waives any right Executive may have to royalties or any other payment from the Company with regard to the assigned Inventions, including any right to royalties pursuant to Section 134 to the Patents Law, 1967.</w:t>
      </w:r>
    </w:p>
    <w:p>
      <w:pPr>
        <w:spacing w:after="0" w:line="163" w:lineRule="exact"/>
        <w:rPr>
          <w:rFonts w:ascii="Arial" w:cs="Arial" w:eastAsia="Arial" w:hAnsi="Arial"/>
          <w:sz w:val="16"/>
          <w:szCs w:val="16"/>
          <w:color w:val="auto"/>
        </w:rPr>
      </w:pPr>
    </w:p>
    <w:p>
      <w:pPr>
        <w:jc w:val="both"/>
        <w:ind w:firstLine="573"/>
        <w:spacing w:after="0" w:line="278" w:lineRule="auto"/>
        <w:tabs>
          <w:tab w:leader="none" w:pos="1203"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Perfection of Rights</w:t>
      </w:r>
      <w:r>
        <w:rPr>
          <w:rFonts w:ascii="Arial" w:cs="Arial" w:eastAsia="Arial" w:hAnsi="Arial"/>
          <w:sz w:val="15"/>
          <w:szCs w:val="15"/>
          <w:color w:val="auto"/>
        </w:rPr>
        <w:t>. Executive shall provide all assistance the Company may request, and shall execute, verify and deliver such documents and perform such other acts (including appearing as a witness) the Company may reasonably request for use in applying for, obtaining, perfecting, evidencing, sustaining and enforcing such proprietary rights and the assignment thereof, as set forth above. Executive’s obligation to assist the Company with respect to proprietary rights in any and all countries shall continue beyond the termination of Executive’s employment with the Company, but the Company shall compensate Executive at a reasonable rate after termination of Executive’s employment for the time actually spent by Executive at the Company’s request on providing such assistance.</w:t>
      </w:r>
    </w:p>
    <w:p>
      <w:pPr>
        <w:spacing w:after="0" w:line="154" w:lineRule="exact"/>
        <w:rPr>
          <w:rFonts w:ascii="Arial" w:cs="Arial" w:eastAsia="Arial" w:hAnsi="Arial"/>
          <w:sz w:val="15"/>
          <w:szCs w:val="15"/>
          <w:color w:val="auto"/>
        </w:rPr>
      </w:pPr>
    </w:p>
    <w:p>
      <w:pPr>
        <w:ind w:left="1120" w:hanging="547"/>
        <w:spacing w:after="0"/>
        <w:tabs>
          <w:tab w:leader="none" w:pos="112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Survivability</w:t>
      </w:r>
      <w:r>
        <w:rPr>
          <w:rFonts w:ascii="Arial" w:cs="Arial" w:eastAsia="Arial" w:hAnsi="Arial"/>
          <w:sz w:val="16"/>
          <w:szCs w:val="16"/>
          <w:color w:val="auto"/>
        </w:rPr>
        <w:t>. The obligations set forth in this section are perpetual, and shall survive termination of Executive’s employment with the Company.</w:t>
      </w:r>
    </w:p>
    <w:p>
      <w:pPr>
        <w:spacing w:after="0" w:line="196" w:lineRule="exact"/>
        <w:rPr>
          <w:rFonts w:ascii="Arial" w:cs="Arial" w:eastAsia="Arial" w:hAnsi="Arial"/>
          <w:sz w:val="16"/>
          <w:szCs w:val="16"/>
          <w:color w:val="auto"/>
        </w:rPr>
      </w:pPr>
    </w:p>
    <w:p>
      <w:pPr>
        <w:jc w:val="both"/>
        <w:ind w:firstLine="573"/>
        <w:spacing w:after="0" w:line="257" w:lineRule="auto"/>
        <w:tabs>
          <w:tab w:leader="none" w:pos="1159"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Attorney-in-fact.</w:t>
      </w:r>
      <w:r>
        <w:rPr>
          <w:rFonts w:ascii="Arial" w:cs="Arial" w:eastAsia="Arial" w:hAnsi="Arial"/>
          <w:sz w:val="16"/>
          <w:szCs w:val="16"/>
          <w:b w:val="1"/>
          <w:bCs w:val="1"/>
          <w:color w:val="auto"/>
        </w:rPr>
        <w:t xml:space="preserve"> If the Company is unable because of the Executive’s mental or physical incapacity or the Executive's refusal to cooperate with the Company after receiving the Company's request pursuant Section 3(c) above to secure the Executive’s signature to application for any Israeli or foreign patent or copyright registration covering Inventions or original works of authorship assigned to the Company as set forth above, Executive hereby irrevocably designates and appoints the Company and its duly authorized officers and agents as Executive’s agent and attorney-in-fact, to act for in behalf and stead to execute and file any such application and to do all other lawfully permitted acts to further the prosecution and issuance of letter patent or copyright registration thereon with same legal force and effect as if executed by the Executive.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00" w:right="219" w:bottom="1440" w:gutter="0" w:footer="0" w:header="0"/>
        </w:sectPr>
      </w:pPr>
    </w:p>
    <w:bookmarkStart w:id="215" w:name="page216"/>
    <w:bookmarkEnd w:id="215"/>
    <w:p>
      <w:pPr>
        <w:ind w:left="4" w:right="20" w:hanging="4"/>
        <w:spacing w:after="0" w:line="277" w:lineRule="auto"/>
        <w:tabs>
          <w:tab w:leader="none" w:pos="60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No Competition</w:t>
      </w:r>
      <w:r>
        <w:rPr>
          <w:rFonts w:ascii="Arial" w:cs="Arial" w:eastAsia="Arial" w:hAnsi="Arial"/>
          <w:sz w:val="16"/>
          <w:szCs w:val="16"/>
          <w:color w:val="auto"/>
        </w:rPr>
        <w:t>. For so long as Executive is employed by the Company and continuing for 12 months after the termination or expiration of such employment, Executive shall not, directly or indirectly:</w:t>
      </w:r>
    </w:p>
    <w:p>
      <w:pPr>
        <w:spacing w:after="0" w:line="151" w:lineRule="exact"/>
        <w:rPr>
          <w:rFonts w:ascii="Arial" w:cs="Arial" w:eastAsia="Arial" w:hAnsi="Arial"/>
          <w:sz w:val="16"/>
          <w:szCs w:val="16"/>
          <w:color w:val="auto"/>
        </w:rPr>
      </w:pPr>
    </w:p>
    <w:p>
      <w:pPr>
        <w:ind w:left="4" w:right="20" w:firstLine="564"/>
        <w:spacing w:after="0" w:line="277" w:lineRule="auto"/>
        <w:tabs>
          <w:tab w:leader="none" w:pos="121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solicit, endeavor to entice away from the Companies or otherwise interfere with the relationship of the Companies with any person or organization who is, or was within the preceding two years, a customer of the Companies, or who is employed by the Companies; or</w:t>
      </w:r>
    </w:p>
    <w:p>
      <w:pPr>
        <w:spacing w:after="0" w:line="151" w:lineRule="exact"/>
        <w:rPr>
          <w:rFonts w:ascii="Arial" w:cs="Arial" w:eastAsia="Arial" w:hAnsi="Arial"/>
          <w:sz w:val="16"/>
          <w:szCs w:val="16"/>
          <w:color w:val="auto"/>
        </w:rPr>
      </w:pPr>
    </w:p>
    <w:p>
      <w:pPr>
        <w:jc w:val="both"/>
        <w:ind w:left="4" w:firstLine="564"/>
        <w:spacing w:after="0" w:line="264" w:lineRule="auto"/>
        <w:tabs>
          <w:tab w:leader="none" w:pos="116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own an interest in, manage, operate, join, control, or participate in or be connected with, as an officer, employee, partner, stockholder, consultant or otherwise, any project, at such time, directly competes with the Company anywhere in the world; provided that this shall not preclude Executive from owning a stock interest not greater than 1% in a publicly traded company.</w:t>
      </w:r>
    </w:p>
    <w:p>
      <w:pPr>
        <w:spacing w:after="0" w:line="161" w:lineRule="exact"/>
        <w:rPr>
          <w:rFonts w:ascii="Arial" w:cs="Arial" w:eastAsia="Arial" w:hAnsi="Arial"/>
          <w:sz w:val="16"/>
          <w:szCs w:val="16"/>
          <w:color w:val="auto"/>
        </w:rPr>
      </w:pPr>
    </w:p>
    <w:p>
      <w:pPr>
        <w:jc w:val="both"/>
        <w:ind w:left="4" w:firstLine="564"/>
        <w:spacing w:after="0" w:line="264" w:lineRule="auto"/>
        <w:tabs>
          <w:tab w:leader="none" w:pos="128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Provide to any competitor of the Company technological, marketing or other information connected to the Company and its products, and/or knowledge acquired during time Executive was associated with the Company (irrespective of the commencement date stated in Section 4.1 of the Agreement and irrespective of any Additional Engagements).</w:t>
      </w:r>
    </w:p>
    <w:p>
      <w:pPr>
        <w:spacing w:after="0" w:line="161" w:lineRule="exact"/>
        <w:rPr>
          <w:rFonts w:ascii="Arial" w:cs="Arial" w:eastAsia="Arial" w:hAnsi="Arial"/>
          <w:sz w:val="16"/>
          <w:szCs w:val="16"/>
          <w:color w:val="auto"/>
        </w:rPr>
      </w:pPr>
    </w:p>
    <w:p>
      <w:pPr>
        <w:jc w:val="both"/>
        <w:ind w:left="4" w:hanging="4"/>
        <w:spacing w:after="0" w:line="257" w:lineRule="auto"/>
        <w:tabs>
          <w:tab w:leader="none" w:pos="77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The Company may enforce this Agreement and any of its provisions by injunction, specific performance or other equitable relief, without bond and without prejudice to any other rights and remedies that the Company may have for the breach of this Agreement. This Agreement shall be enforced to the fullest extent permissible under the laws of the State of Israel, without regard to its conflict of law principles. If any portion of this Agreement shall be adjudicated to be invalid or unenforceable, it shall be deemed to be amended to delete such portion. Executive expressly consents to the exclusive personal jurisdiction and venue of Tel-Aviv courts for any lawsuit arising from or relating to this Agreement.</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WITNESS WHEREOF, the parties have executed this Agreement as of the date written first above.</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4700" w:type="dxa"/>
            <w:vAlign w:val="bottom"/>
            <w:gridSpan w:val="4"/>
          </w:tcPr>
          <w:p>
            <w:pPr>
              <w:ind w:left="580"/>
              <w:spacing w:after="0"/>
              <w:rPr>
                <w:sz w:val="20"/>
                <w:szCs w:val="20"/>
                <w:color w:val="auto"/>
              </w:rPr>
            </w:pPr>
            <w:r>
              <w:rPr>
                <w:rFonts w:ascii="Arial" w:cs="Arial" w:eastAsia="Arial" w:hAnsi="Arial"/>
                <w:sz w:val="16"/>
                <w:szCs w:val="16"/>
                <w:color w:val="auto"/>
              </w:rPr>
              <w:t>Alcobra Ltd.</w:t>
            </w:r>
          </w:p>
        </w:tc>
        <w:tc>
          <w:tcPr>
            <w:tcW w:w="5020" w:type="dxa"/>
            <w:vAlign w:val="bottom"/>
            <w:gridSpan w:val="2"/>
          </w:tcPr>
          <w:p>
            <w:pPr>
              <w:ind w:left="900"/>
              <w:spacing w:after="0"/>
              <w:rPr>
                <w:sz w:val="20"/>
                <w:szCs w:val="20"/>
                <w:color w:val="auto"/>
              </w:rPr>
            </w:pPr>
            <w:r>
              <w:rPr>
                <w:rFonts w:ascii="Arial" w:cs="Arial" w:eastAsia="Arial" w:hAnsi="Arial"/>
                <w:sz w:val="16"/>
                <w:szCs w:val="16"/>
                <w:color w:val="auto"/>
              </w:rPr>
              <w:t>Yaron Daniely</w:t>
            </w:r>
          </w:p>
        </w:tc>
        <w:tc>
          <w:tcPr>
            <w:tcW w:w="1720" w:type="dxa"/>
            <w:vAlign w:val="bottom"/>
          </w:tcPr>
          <w:p>
            <w:pPr>
              <w:spacing w:after="0"/>
              <w:rPr>
                <w:sz w:val="17"/>
                <w:szCs w:val="17"/>
                <w:color w:val="auto"/>
              </w:rPr>
            </w:pPr>
          </w:p>
        </w:tc>
      </w:tr>
      <w:tr>
        <w:trPr>
          <w:trHeight w:val="390"/>
        </w:trPr>
        <w:tc>
          <w:tcPr>
            <w:tcW w:w="4700" w:type="dxa"/>
            <w:vAlign w:val="bottom"/>
            <w:gridSpan w:val="4"/>
          </w:tcPr>
          <w:p>
            <w:pPr>
              <w:ind w:left="580"/>
              <w:spacing w:after="0"/>
              <w:rPr>
                <w:sz w:val="20"/>
                <w:szCs w:val="20"/>
                <w:color w:val="auto"/>
              </w:rPr>
            </w:pPr>
            <w:r>
              <w:rPr>
                <w:rFonts w:ascii="Arial" w:cs="Arial" w:eastAsia="Arial" w:hAnsi="Arial"/>
                <w:sz w:val="16"/>
                <w:szCs w:val="16"/>
                <w:color w:val="auto"/>
              </w:rPr>
              <w:t>/s/ Udi Gilboa</w:t>
            </w:r>
          </w:p>
        </w:tc>
        <w:tc>
          <w:tcPr>
            <w:tcW w:w="5020" w:type="dxa"/>
            <w:vAlign w:val="bottom"/>
            <w:gridSpan w:val="2"/>
          </w:tcPr>
          <w:p>
            <w:pPr>
              <w:ind w:left="900"/>
              <w:spacing w:after="0"/>
              <w:rPr>
                <w:sz w:val="20"/>
                <w:szCs w:val="20"/>
                <w:color w:val="auto"/>
              </w:rPr>
            </w:pPr>
            <w:r>
              <w:rPr>
                <w:rFonts w:ascii="Arial" w:cs="Arial" w:eastAsia="Arial" w:hAnsi="Arial"/>
                <w:sz w:val="16"/>
                <w:szCs w:val="16"/>
                <w:color w:val="auto"/>
              </w:rPr>
              <w:t>/s/ Yaron Daniely</w:t>
            </w:r>
          </w:p>
        </w:tc>
        <w:tc>
          <w:tcPr>
            <w:tcW w:w="17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6"/>
        </w:trPr>
        <w:tc>
          <w:tcPr>
            <w:tcW w:w="4700" w:type="dxa"/>
            <w:vAlign w:val="bottom"/>
            <w:gridSpan w:val="4"/>
          </w:tcPr>
          <w:p>
            <w:pPr>
              <w:ind w:left="580"/>
              <w:spacing w:after="0"/>
              <w:rPr>
                <w:sz w:val="20"/>
                <w:szCs w:val="20"/>
                <w:color w:val="auto"/>
              </w:rPr>
            </w:pPr>
            <w:r>
              <w:rPr>
                <w:rFonts w:ascii="Arial" w:cs="Arial" w:eastAsia="Arial" w:hAnsi="Arial"/>
                <w:sz w:val="16"/>
                <w:szCs w:val="16"/>
                <w:color w:val="auto"/>
              </w:rPr>
              <w:t>Name and Title: Udi Gilboa, CFO</w:t>
            </w:r>
          </w:p>
        </w:tc>
        <w:tc>
          <w:tcPr>
            <w:tcW w:w="9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05"/>
        </w:trPr>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jc w:val="right"/>
              <w:ind w:right="3880"/>
              <w:spacing w:after="0"/>
              <w:rPr>
                <w:sz w:val="20"/>
                <w:szCs w:val="20"/>
                <w:color w:val="auto"/>
              </w:rPr>
            </w:pPr>
            <w:r>
              <w:rPr>
                <w:rFonts w:ascii="Arial" w:cs="Arial" w:eastAsia="Arial" w:hAnsi="Arial"/>
                <w:sz w:val="16"/>
                <w:szCs w:val="16"/>
                <w:color w:val="auto"/>
              </w:rPr>
              <w:t>-13-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4"/>
          </w:cols>
          <w:pgMar w:left="236" w:top="800" w:right="2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January 14, 2013 (Except for Note 9.a and Note 13 to which the date is XX, 2013) with respect to the financial statements of Alcobra Ltd. Included in Amendment No. 5 to the Registration Statement on Form F-1 and related Prospectus of Alcobra Ltd., dated April 25, 2013.</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KOST, FORER, GABBAY &amp; KASIERER</w:t>
      </w:r>
    </w:p>
    <w:p>
      <w:pPr>
        <w:spacing w:after="0" w:line="200"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member of Ernst &amp; Young Global</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report is in the form that will be signed upon completion of the bonus shares described in Note 9(a) to the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20"/>
                <w:szCs w:val="20"/>
                <w:color w:val="auto"/>
              </w:rPr>
            </w:pPr>
            <w:r>
              <w:rPr>
                <w:rFonts w:ascii="Arial" w:cs="Arial" w:eastAsia="Arial" w:hAnsi="Arial"/>
                <w:sz w:val="16"/>
                <w:szCs w:val="16"/>
                <w:color w:val="auto"/>
              </w:rPr>
              <w:t>Tel-Aviv, Israel</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/s/ KOST FORER GABBAY &amp; KASIERER</w:t>
            </w:r>
          </w:p>
        </w:tc>
      </w:tr>
      <w:tr>
        <w:trPr>
          <w:trHeight w:val="384"/>
        </w:trPr>
        <w:tc>
          <w:tcPr>
            <w:tcW w:w="4320" w:type="dxa"/>
            <w:vAlign w:val="bottom"/>
          </w:tcPr>
          <w:p>
            <w:pPr>
              <w:spacing w:after="0"/>
              <w:rPr>
                <w:sz w:val="24"/>
                <w:szCs w:val="24"/>
                <w:color w:val="auto"/>
              </w:rPr>
            </w:pP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6"/>
              </w:rPr>
              <w:t>KOST FORER GABBAY &amp; KASIERER</w:t>
            </w:r>
          </w:p>
        </w:tc>
      </w:tr>
      <w:tr>
        <w:trPr>
          <w:trHeight w:val="384"/>
        </w:trPr>
        <w:tc>
          <w:tcPr>
            <w:tcW w:w="4320" w:type="dxa"/>
            <w:vAlign w:val="bottom"/>
          </w:tcPr>
          <w:p>
            <w:pPr>
              <w:spacing w:after="0"/>
              <w:rPr>
                <w:sz w:val="20"/>
                <w:szCs w:val="20"/>
                <w:color w:val="auto"/>
              </w:rPr>
            </w:pPr>
            <w:r>
              <w:rPr>
                <w:rFonts w:ascii="Arial" w:cs="Arial" w:eastAsia="Arial" w:hAnsi="Arial"/>
                <w:sz w:val="16"/>
                <w:szCs w:val="16"/>
                <w:color w:val="auto"/>
              </w:rPr>
              <w:t>April 25, 2013</w:t>
            </w:r>
          </w:p>
        </w:tc>
        <w:tc>
          <w:tcPr>
            <w:tcW w:w="7120" w:type="dxa"/>
            <w:vAlign w:val="bottom"/>
          </w:tcPr>
          <w:p>
            <w:pPr>
              <w:jc w:val="center"/>
              <w:ind w:left="2340"/>
              <w:spacing w:after="0"/>
              <w:rPr>
                <w:sz w:val="20"/>
                <w:szCs w:val="20"/>
                <w:color w:val="auto"/>
              </w:rPr>
            </w:pPr>
            <w:r>
              <w:rPr>
                <w:rFonts w:ascii="Arial" w:cs="Arial" w:eastAsia="Arial" w:hAnsi="Arial"/>
                <w:sz w:val="16"/>
                <w:szCs w:val="16"/>
                <w:color w:val="auto"/>
                <w:w w:val="93"/>
              </w:rPr>
              <w:t>A Member of Ernst &amp; Young Global</w:t>
            </w:r>
          </w:p>
        </w:tc>
      </w:tr>
      <w:tr>
        <w:trPr>
          <w:trHeight w:val="577"/>
        </w:trPr>
        <w:tc>
          <w:tcPr>
            <w:tcW w:w="43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316" w:right="219" w:bottom="1440" w:gutter="0" w:footer="0" w:header="0"/>
        </w:sectPr>
      </w:pPr>
    </w:p>
    <w:bookmarkStart w:id="217" w:name="page218"/>
    <w:bookmarkEnd w:id="21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1)"/>
      <w:numFmt w:val="decimal"/>
      <w:start w:val="1"/>
    </w:lvl>
  </w:abstractNum>
  <w:abstractNum w:abstractNumId="6">
    <w:nsid w:val="7F01579B"/>
    <w:multiLevelType w:val="hybridMultilevel"/>
    <w:lvl w:ilvl="0">
      <w:lvlJc w:val="left"/>
      <w:lvlText w:val="(%1)"/>
      <w:numFmt w:val="decimal"/>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1)"/>
      <w:numFmt w:val="decimal"/>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
      <w:numFmt w:val="bullet"/>
      <w:start w:val="1"/>
    </w:lvl>
    <w:lvl w:ilvl="1">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1)"/>
      <w:numFmt w:val="decimal"/>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1)"/>
      <w:numFmt w:val="lowerRoman"/>
      <w:start w:val="2"/>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1)"/>
      <w:numFmt w:val="lowerRoman"/>
      <w:start w:val="2"/>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
      <w:numFmt w:val="bullet"/>
      <w:start w:val="1"/>
    </w:lvl>
  </w:abstractNum>
  <w:abstractNum w:abstractNumId="63">
    <w:nsid w:val="4F97E3E4"/>
    <w:multiLevelType w:val="hybridMultilevel"/>
    <w:lvl w:ilvl="0">
      <w:lvlJc w:val="left"/>
      <w:lvlText w:val="·"/>
      <w:numFmt w:val="bullet"/>
      <w:start w:val="1"/>
    </w:lvl>
  </w:abstractNum>
  <w:abstractNum w:abstractNumId="64">
    <w:nsid w:val="53B0A9E"/>
    <w:multiLevelType w:val="hybridMultilevel"/>
    <w:lvl w:ilvl="0">
      <w:lvlJc w:val="left"/>
      <w:lvlText w:val="·"/>
      <w:numFmt w:val="bullet"/>
      <w:start w:val="1"/>
    </w:lvl>
  </w:abstractNum>
  <w:abstractNum w:abstractNumId="65">
    <w:nsid w:val="34FD6B4F"/>
    <w:multiLevelType w:val="hybridMultilevel"/>
    <w:lvl w:ilvl="0">
      <w:lvlJc w:val="left"/>
      <w:lvlText w:val="·"/>
      <w:numFmt w:val="bullet"/>
      <w:start w:val="1"/>
    </w:lvl>
  </w:abstractNum>
  <w:abstractNum w:abstractNumId="66">
    <w:nsid w:val="5915FF32"/>
    <w:multiLevelType w:val="hybridMultilevel"/>
    <w:lvl w:ilvl="0">
      <w:lvlJc w:val="left"/>
      <w:lvlText w:val="(%1)"/>
      <w:numFmt w:val="decimal"/>
      <w:start w:val="2"/>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1)"/>
      <w:numFmt w:val="decimal"/>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
      <w:numFmt w:val="bullet"/>
      <w:start w:val="1"/>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1)"/>
      <w:numFmt w:val="lowerRoman"/>
      <w:start w:val="1"/>
    </w:lvl>
  </w:abstractNum>
  <w:abstractNum w:abstractNumId="75">
    <w:nsid w:val="5EC6AFD4"/>
    <w:multiLevelType w:val="hybridMultilevel"/>
    <w:lvl w:ilvl="0">
      <w:lvlJc w:val="left"/>
      <w:lvlText w:val="(%1)"/>
      <w:numFmt w:val="decimal"/>
      <w:start w:val="1"/>
    </w:lvl>
  </w:abstractNum>
  <w:abstractNum w:abstractNumId="76">
    <w:nsid w:val="19E21BB2"/>
    <w:multiLevelType w:val="hybridMultilevel"/>
    <w:lvl w:ilvl="0">
      <w:lvlJc w:val="left"/>
      <w:lvlText w:val="•"/>
      <w:numFmt w:val="bullet"/>
      <w:start w:val="1"/>
    </w:lvl>
  </w:abstractNum>
  <w:abstractNum w:abstractNumId="77">
    <w:nsid w:val="75E0858A"/>
    <w:multiLevelType w:val="hybridMultilevel"/>
    <w:lvl w:ilvl="0">
      <w:lvlJc w:val="left"/>
      <w:lvlText w:val="•"/>
      <w:numFmt w:val="bullet"/>
      <w:start w:val="1"/>
    </w:lvl>
  </w:abstractNum>
  <w:abstractNum w:abstractNumId="78">
    <w:nsid w:val="57A61A29"/>
    <w:multiLevelType w:val="hybridMultilevel"/>
    <w:lvl w:ilvl="0">
      <w:lvlJc w:val="left"/>
      <w:lvlText w:val="·"/>
      <w:numFmt w:val="bullet"/>
      <w:start w:val="1"/>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1."/>
      <w:numFmt w:val="lowerLetter"/>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2"/>
    </w:lvl>
  </w:abstractNum>
  <w:abstractNum w:abstractNumId="90">
    <w:nsid w:val="4BEE5A5B"/>
    <w:multiLevelType w:val="hybridMultilevel"/>
    <w:lvl w:ilvl="0">
      <w:lvlJc w:val="left"/>
      <w:lvlText w:val="%1."/>
      <w:numFmt w:val="lowerLetter"/>
      <w:start w:val="7"/>
    </w:lvl>
  </w:abstractNum>
  <w:abstractNum w:abstractNumId="91">
    <w:nsid w:val="5551B9F3"/>
    <w:multiLevelType w:val="hybridMultilevel"/>
    <w:lvl w:ilvl="0">
      <w:lvlJc w:val="left"/>
      <w:lvlText w:val="%1."/>
      <w:numFmt w:val="lowerLetter"/>
      <w:start w:val="10"/>
    </w:lvl>
  </w:abstractNum>
  <w:abstractNum w:abstractNumId="92">
    <w:nsid w:val="24F6AB8E"/>
    <w:multiLevelType w:val="hybridMultilevel"/>
    <w:lvl w:ilvl="0">
      <w:lvlJc w:val="left"/>
      <w:lvlText w:val="%1."/>
      <w:numFmt w:val="lowerLetter"/>
      <w:start w:val="13"/>
    </w:lvl>
  </w:abstractNum>
  <w:abstractNum w:abstractNumId="93">
    <w:nsid w:val="634C574C"/>
    <w:multiLevelType w:val="hybridMultilevel"/>
    <w:lvl w:ilvl="0">
      <w:lvlJc w:val="left"/>
      <w:lvlText w:val="%1."/>
      <w:numFmt w:val="lowerLetter"/>
      <w:start w:val="14"/>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
      <w:numFmt w:val="bullet"/>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4"/>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Letter"/>
      <w:start w:val="3"/>
    </w:lvl>
  </w:abstractNum>
  <w:abstractNum w:abstractNumId="100">
    <w:nsid w:val="2A6DE806"/>
    <w:multiLevelType w:val="hybridMultilevel"/>
    <w:lvl w:ilvl="0">
      <w:lvlJc w:val="left"/>
      <w:lvlText w:val="%1."/>
      <w:numFmt w:val="lowerLetter"/>
      <w:start w:val="1"/>
    </w:lvl>
    <w:lvl w:ilvl="1">
      <w:lvlJc w:val="left"/>
      <w:lvlText w:val="%2."/>
      <w:numFmt w:val="decimal"/>
      <w:start w:val="1"/>
    </w:lvl>
  </w:abstractNum>
  <w:abstractNum w:abstractNumId="101">
    <w:nsid w:val="1816F8C4"/>
    <w:multiLevelType w:val="hybridMultilevel"/>
    <w:lvl w:ilvl="0">
      <w:lvlJc w:val="left"/>
      <w:lvlText w:val="%1."/>
      <w:numFmt w:val="decimal"/>
      <w:start w:val="3"/>
    </w:lvl>
  </w:abstractNum>
  <w:abstractNum w:abstractNumId="102">
    <w:nsid w:val="37DF2233"/>
    <w:multiLevelType w:val="hybridMultilevel"/>
    <w:lvl w:ilvl="0">
      <w:lvlJc w:val="left"/>
      <w:lvlText w:val="%1."/>
      <w:numFmt w:val="lowerLetter"/>
      <w:start w:val="3"/>
    </w:lvl>
    <w:lvl w:ilvl="1">
      <w:lvlJc w:val="left"/>
      <w:lvlText w:val="$"/>
      <w:numFmt w:val="bullet"/>
      <w:start w:val="1"/>
    </w:lvl>
  </w:abstractNum>
  <w:abstractNum w:abstractNumId="103">
    <w:nsid w:val="7AB49DAF"/>
    <w:multiLevelType w:val="hybridMultilevel"/>
    <w:lvl w:ilvl="0">
      <w:lvlJc w:val="left"/>
      <w:lvlText w:val="%1."/>
      <w:numFmt w:val="lowerLetter"/>
      <w:start w:val="5"/>
    </w:lvl>
  </w:abstractNum>
  <w:abstractNum w:abstractNumId="104">
    <w:nsid w:val="759F82CD"/>
    <w:multiLevelType w:val="hybridMultilevel"/>
    <w:lvl w:ilvl="0">
      <w:lvlJc w:val="left"/>
      <w:lvlText w:val="%1."/>
      <w:numFmt w:val="lowerLetter"/>
      <w:start w:val="6"/>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2"/>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1)"/>
      <w:numFmt w:val="lowerLetter"/>
      <w:start w:val="1"/>
    </w:lvl>
  </w:abstractNum>
  <w:abstractNum w:abstractNumId="114">
    <w:nsid w:val="1A0DDE32"/>
    <w:multiLevelType w:val="hybridMultilevel"/>
    <w:lvl w:ilvl="0">
      <w:lvlJc w:val="left"/>
      <w:lvlText w:val="(%1)"/>
      <w:numFmt w:val="decimal"/>
      <w:start w:val="1"/>
    </w:lvl>
  </w:abstractNum>
  <w:abstractNum w:abstractNumId="115">
    <w:nsid w:val="65968C1C"/>
    <w:multiLevelType w:val="hybridMultilevel"/>
    <w:lvl w:ilvl="0">
      <w:lvlJc w:val="left"/>
      <w:lvlText w:val="%1."/>
      <w:numFmt w:val="decimal"/>
      <w:start w:val="1"/>
    </w:lvl>
    <w:lvl w:ilvl="1">
      <w:lvlJc w:val="left"/>
      <w:lvlText w:val="(%2)"/>
      <w:numFmt w:val="lowerRoman"/>
      <w:start w:val="1"/>
    </w:lvl>
  </w:abstractNum>
  <w:abstractNum w:abstractNumId="116">
    <w:nsid w:val="46263DEC"/>
    <w:multiLevelType w:val="hybridMultilevel"/>
    <w:lvl w:ilvl="0">
      <w:lvlJc w:val="left"/>
      <w:lvlText w:val="(%1)"/>
      <w:numFmt w:val="lowerRoman"/>
      <w:start w:val="1"/>
    </w:lvl>
  </w:abstractNum>
  <w:abstractNum w:abstractNumId="117">
    <w:nsid w:val="260D8C4A"/>
    <w:multiLevelType w:val="hybridMultilevel"/>
    <w:lvl w:ilvl="0">
      <w:lvlJc w:val="left"/>
      <w:lvlText w:val="(%1)"/>
      <w:numFmt w:val="lowerRoman"/>
      <w:start w:val="2"/>
    </w:lvl>
  </w:abstractNum>
  <w:abstractNum w:abstractNumId="118">
    <w:nsid w:val="73D4D3C4"/>
    <w:multiLevelType w:val="hybridMultilevel"/>
    <w:lvl w:ilvl="0">
      <w:lvlJc w:val="left"/>
      <w:lvlText w:val="(%1)"/>
      <w:numFmt w:val="lowerRoman"/>
      <w:start w:val="2"/>
    </w:lvl>
  </w:abstractNum>
  <w:abstractNum w:abstractNumId="119">
    <w:nsid w:val="746F2E30"/>
    <w:multiLevelType w:val="hybridMultilevel"/>
    <w:lvl w:ilvl="0">
      <w:lvlJc w:val="left"/>
      <w:lvlText w:val="(%1)"/>
      <w:numFmt w:val="decimal"/>
      <w:start w:val="180"/>
    </w:lvl>
  </w:abstractNum>
  <w:abstractNum w:abstractNumId="120">
    <w:nsid w:val="6FDE8AF6"/>
    <w:multiLevelType w:val="hybridMultilevel"/>
    <w:lvl w:ilvl="0">
      <w:lvlJc w:val="left"/>
      <w:lvlText w:val="%1."/>
      <w:numFmt w:val="decimal"/>
      <w:start w:val="2"/>
    </w:lvl>
  </w:abstractNum>
  <w:abstractNum w:abstractNumId="121">
    <w:nsid w:val="3FC32E20"/>
    <w:multiLevelType w:val="hybridMultilevel"/>
    <w:lvl w:ilvl="0">
      <w:lvlJc w:val="left"/>
      <w:lvlText w:val="(%1)"/>
      <w:numFmt w:val="lowerRoman"/>
      <w:start w:val="1"/>
    </w:lvl>
    <w:lvl w:ilvl="1">
      <w:lvlJc w:val="left"/>
      <w:lvlText w:val="-"/>
      <w:numFmt w:val="bullet"/>
      <w:start w:val="1"/>
    </w:lvl>
  </w:abstractNum>
  <w:abstractNum w:abstractNumId="122">
    <w:nsid w:val="49C0E823"/>
    <w:multiLevelType w:val="hybridMultilevel"/>
    <w:lvl w:ilvl="0">
      <w:lvlJc w:val="left"/>
      <w:lvlText w:val="(%1)"/>
      <w:numFmt w:val="decimal"/>
      <w:start w:val="2"/>
    </w:lvl>
  </w:abstractNum>
  <w:abstractNum w:abstractNumId="123">
    <w:nsid w:val="14D53685"/>
    <w:multiLevelType w:val="hybridMultilevel"/>
    <w:lvl w:ilvl="0">
      <w:lvlJc w:val="left"/>
      <w:lvlText w:val="%1."/>
      <w:numFmt w:val="decimal"/>
      <w:start w:val="3"/>
    </w:lvl>
  </w:abstractNum>
  <w:abstractNum w:abstractNumId="124">
    <w:nsid w:val="230F856C"/>
    <w:multiLevelType w:val="hybridMultilevel"/>
    <w:lvl w:ilvl="0">
      <w:lvlJc w:val="left"/>
      <w:lvlText w:val="(%1)"/>
      <w:numFmt w:val="lowerRoman"/>
      <w:start w:val="5"/>
    </w:lvl>
  </w:abstractNum>
  <w:abstractNum w:abstractNumId="125">
    <w:nsid w:val="6EAA85FB"/>
    <w:multiLevelType w:val="hybridMultilevel"/>
    <w:lvl w:ilvl="0">
      <w:lvlJc w:val="left"/>
      <w:lvlText w:val="(%1)"/>
      <w:numFmt w:val="lowerRoman"/>
      <w:start w:val="6"/>
    </w:lvl>
  </w:abstractNum>
  <w:abstractNum w:abstractNumId="126">
    <w:nsid w:val="3F06ECB2"/>
    <w:multiLevelType w:val="hybridMultilevel"/>
    <w:lvl w:ilvl="0">
      <w:lvlJc w:val="left"/>
      <w:lvlText w:val="(%1)"/>
      <w:numFmt w:val="lowerRoman"/>
      <w:start w:val="2"/>
    </w:lvl>
    <w:lvl w:ilvl="1">
      <w:lvlJc w:val="left"/>
      <w:lvlText w:val="-"/>
      <w:numFmt w:val="bullet"/>
      <w:start w:val="1"/>
    </w:lvl>
  </w:abstractNum>
  <w:abstractNum w:abstractNumId="127">
    <w:nsid w:val="3B594807"/>
    <w:multiLevelType w:val="hybridMultilevel"/>
    <w:lvl w:ilvl="0">
      <w:lvlJc w:val="left"/>
      <w:lvlText w:val="(%1)"/>
      <w:numFmt w:val="lowerLetter"/>
      <w:start w:val="2"/>
    </w:lvl>
  </w:abstractNum>
  <w:abstractNum w:abstractNumId="128">
    <w:nsid w:val="6CAA2304"/>
    <w:multiLevelType w:val="hybridMultilevel"/>
    <w:lvl w:ilvl="0">
      <w:lvlJc w:val="left"/>
      <w:lvlText w:val="%1."/>
      <w:numFmt w:val="decimal"/>
      <w:start w:val="4"/>
    </w:lvl>
  </w:abstractNum>
  <w:abstractNum w:abstractNumId="129">
    <w:nsid w:val="3F7C2FF4"/>
    <w:multiLevelType w:val="hybridMultilevel"/>
    <w:lvl w:ilvl="0">
      <w:lvlJc w:val="left"/>
      <w:lvlText w:val="%1."/>
      <w:numFmt w:val="decimal"/>
      <w:start w:val="5"/>
    </w:lvl>
  </w:abstractNum>
  <w:abstractNum w:abstractNumId="130">
    <w:nsid w:val="25413BEC"/>
    <w:multiLevelType w:val="hybridMultilevel"/>
    <w:lvl w:ilvl="0">
      <w:lvlJc w:val="left"/>
      <w:lvlText w:val="%1."/>
      <w:numFmt w:val="decimal"/>
      <w:start w:val="6"/>
    </w:lvl>
  </w:abstractNum>
  <w:abstractNum w:abstractNumId="131">
    <w:nsid w:val="17180B0B"/>
    <w:multiLevelType w:val="hybridMultilevel"/>
    <w:lvl w:ilvl="0">
      <w:lvlJc w:val="left"/>
      <w:lvlText w:val="%1."/>
      <w:numFmt w:val="decimal"/>
      <w:start w:val="7"/>
    </w:lvl>
  </w:abstractNum>
  <w:abstractNum w:abstractNumId="132">
    <w:nsid w:val="579328B9"/>
    <w:multiLevelType w:val="hybridMultilevel"/>
    <w:lvl w:ilvl="0">
      <w:lvlJc w:val="left"/>
      <w:lvlText w:val="%1."/>
      <w:numFmt w:val="decimal"/>
      <w:start w:val="8"/>
    </w:lvl>
  </w:abstractNum>
  <w:abstractNum w:abstractNumId="133">
    <w:nsid w:val="5D205E20"/>
    <w:multiLevelType w:val="hybridMultilevel"/>
    <w:lvl w:ilvl="0">
      <w:lvlJc w:val="left"/>
      <w:lvlText w:val="(%1)"/>
      <w:numFmt w:val="lowerRoman"/>
      <w:start w:val="6"/>
    </w:lvl>
    <w:lvl w:ilvl="1">
      <w:lvlJc w:val="left"/>
      <w:lvlText w:val="-"/>
      <w:numFmt w:val="bullet"/>
      <w:start w:val="1"/>
    </w:lvl>
  </w:abstractNum>
  <w:abstractNum w:abstractNumId="134">
    <w:nsid w:val="11CCA8BA"/>
    <w:multiLevelType w:val="hybridMultilevel"/>
    <w:lvl w:ilvl="0">
      <w:lvlJc w:val="left"/>
      <w:lvlText w:val="%1."/>
      <w:numFmt w:val="decimal"/>
      <w:start w:val="9"/>
    </w:lvl>
  </w:abstractNum>
  <w:abstractNum w:abstractNumId="135">
    <w:nsid w:val="4D32AB86"/>
    <w:multiLevelType w:val="hybridMultilevel"/>
    <w:lvl w:ilvl="0">
      <w:lvlJc w:val="left"/>
      <w:lvlText w:val="%1."/>
      <w:numFmt w:val="decimal"/>
      <w:start w:val="1"/>
    </w:lvl>
  </w:abstractNum>
  <w:abstractNum w:abstractNumId="136">
    <w:nsid w:val="3F07ACC3"/>
    <w:multiLevelType w:val="hybridMultilevel"/>
    <w:lvl w:ilvl="0">
      <w:lvlJc w:val="left"/>
      <w:lvlText w:val="%1."/>
      <w:numFmt w:val="decimal"/>
      <w:start w:val="2"/>
    </w:lvl>
  </w:abstractNum>
  <w:abstractNum w:abstractNumId="137">
    <w:nsid w:val="6B47F63E"/>
    <w:multiLevelType w:val="hybridMultilevel"/>
    <w:lvl w:ilvl="0">
      <w:lvlJc w:val="left"/>
      <w:lvlText w:val="X"/>
      <w:numFmt w:val="bullet"/>
      <w:start w:val="1"/>
    </w:lvl>
  </w:abstractNum>
  <w:abstractNum w:abstractNumId="138">
    <w:nsid w:val="5CB44A05"/>
    <w:multiLevelType w:val="hybridMultilevel"/>
    <w:lvl w:ilvl="0">
      <w:lvlJc w:val="left"/>
      <w:lvlText w:val="Y"/>
      <w:numFmt w:val="bullet"/>
      <w:start w:val="1"/>
    </w:lvl>
  </w:abstractNum>
  <w:abstractNum w:abstractNumId="139">
    <w:nsid w:val="16CF80F1"/>
    <w:multiLevelType w:val="hybridMultilevel"/>
    <w:lvl w:ilvl="0">
      <w:lvlJc w:val="left"/>
      <w:lvlText w:val="A"/>
      <w:numFmt w:val="bullet"/>
      <w:start w:val="1"/>
    </w:lvl>
  </w:abstractNum>
  <w:abstractNum w:abstractNumId="140">
    <w:nsid w:val="1C695DEC"/>
    <w:multiLevelType w:val="hybridMultilevel"/>
    <w:lvl w:ilvl="0">
      <w:lvlJc w:val="left"/>
      <w:lvlText w:val="B"/>
      <w:numFmt w:val="bullet"/>
      <w:start w:val="1"/>
    </w:lvl>
  </w:abstractNum>
  <w:abstractNum w:abstractNumId="141">
    <w:nsid w:val="3FCFAED9"/>
    <w:multiLevelType w:val="hybridMultilevel"/>
    <w:lvl w:ilvl="0">
      <w:lvlJc w:val="left"/>
      <w:lvlText w:val="(%1)"/>
      <w:numFmt w:val="lowerRoman"/>
      <w:start w:val="1"/>
    </w:lvl>
  </w:abstractNum>
  <w:abstractNum w:abstractNumId="142">
    <w:nsid w:val="F856867"/>
    <w:multiLevelType w:val="hybridMultilevel"/>
    <w:lvl w:ilvl="0">
      <w:lvlJc w:val="left"/>
      <w:lvlText w:val="%1."/>
      <w:numFmt w:val="decimal"/>
      <w:start w:val="3"/>
    </w:lvl>
  </w:abstractNum>
  <w:abstractNum w:abstractNumId="143">
    <w:nsid w:val="11B1CC33"/>
    <w:multiLevelType w:val="hybridMultilevel"/>
    <w:lvl w:ilvl="0">
      <w:lvlJc w:val="left"/>
      <w:lvlText w:val="%1."/>
      <w:numFmt w:val="decimal"/>
      <w:start w:val="4"/>
    </w:lvl>
  </w:abstractNum>
  <w:abstractNum w:abstractNumId="144">
    <w:nsid w:val="2E22FBB7"/>
    <w:multiLevelType w:val="hybridMultilevel"/>
    <w:lvl w:ilvl="0">
      <w:lvlJc w:val="left"/>
      <w:lvlText w:val="(%1)"/>
      <w:numFmt w:val="lowerRoman"/>
      <w:start w:val="2"/>
    </w:lvl>
  </w:abstractNum>
  <w:abstractNum w:abstractNumId="145">
    <w:nsid w:val="29934699"/>
    <w:multiLevelType w:val="hybridMultilevel"/>
    <w:lvl w:ilvl="0">
      <w:lvlJc w:val="left"/>
      <w:lvlText w:val="%1."/>
      <w:numFmt w:val="decimal"/>
      <w:start w:val="5"/>
    </w:lvl>
  </w:abstractNum>
  <w:abstractNum w:abstractNumId="146">
    <w:nsid w:val="77485850"/>
    <w:multiLevelType w:val="hybridMultilevel"/>
    <w:lvl w:ilvl="0">
      <w:lvlJc w:val="left"/>
      <w:lvlText w:val="%1."/>
      <w:numFmt w:val="decimal"/>
      <w:start w:val="6"/>
    </w:lvl>
  </w:abstractNum>
  <w:abstractNum w:abstractNumId="147">
    <w:nsid w:val="744939A3"/>
    <w:multiLevelType w:val="hybridMultilevel"/>
    <w:lvl w:ilvl="0">
      <w:lvlJc w:val="left"/>
      <w:lvlText w:val="%1."/>
      <w:numFmt w:val="decimal"/>
      <w:start w:val="7"/>
    </w:lvl>
  </w:abstractNum>
  <w:abstractNum w:abstractNumId="148">
    <w:nsid w:val="4FA0D2E3"/>
    <w:multiLevelType w:val="hybridMultilevel"/>
    <w:lvl w:ilvl="0">
      <w:lvlJc w:val="left"/>
      <w:lvlText w:val="%1."/>
      <w:numFmt w:val="decimal"/>
      <w:start w:val="8"/>
    </w:lvl>
  </w:abstractNum>
  <w:abstractNum w:abstractNumId="149">
    <w:nsid w:val="6B1D2C14"/>
    <w:multiLevelType w:val="hybridMultilevel"/>
    <w:lvl w:ilvl="0">
      <w:lvlJc w:val="left"/>
      <w:lvlText w:val="%1."/>
      <w:numFmt w:val="decimal"/>
      <w:start w:val="9"/>
    </w:lvl>
  </w:abstractNum>
  <w:abstractNum w:abstractNumId="150">
    <w:nsid w:val="68B867D3"/>
    <w:multiLevelType w:val="hybridMultilevel"/>
    <w:lvl w:ilvl="0">
      <w:lvlJc w:val="left"/>
      <w:lvlText w:val="="/>
      <w:numFmt w:val="bullet"/>
      <w:start w:val="1"/>
    </w:lvl>
  </w:abstractNum>
  <w:abstractNum w:abstractNumId="151">
    <w:nsid w:val="3F7F5DD9"/>
    <w:multiLevelType w:val="hybridMultilevel"/>
    <w:lvl w:ilvl="0">
      <w:lvlJc w:val="left"/>
      <w:lvlText w:val="(%1)"/>
      <w:numFmt w:val="lowerRoman"/>
      <w:start w:val="1"/>
    </w:lvl>
  </w:abstractNum>
  <w:abstractNum w:abstractNumId="152">
    <w:nsid w:val="2AE05A34"/>
    <w:multiLevelType w:val="hybridMultilevel"/>
    <w:lvl w:ilvl="0">
      <w:lvlJc w:val="left"/>
      <w:lvlText w:val="(%1)"/>
      <w:numFmt w:val="lowerRoman"/>
      <w:start w:val="1"/>
    </w:lvl>
  </w:abstractNum>
  <w:abstractNum w:abstractNumId="153">
    <w:nsid w:val="32794FF7"/>
    <w:multiLevelType w:val="hybridMultilevel"/>
    <w:lvl w:ilvl="0">
      <w:lvlJc w:val="left"/>
      <w:lvlText w:val="%1."/>
      <w:numFmt w:val="decimal"/>
      <w:start w:val="1"/>
    </w:lvl>
  </w:abstractNum>
  <w:abstractNum w:abstractNumId="154">
    <w:nsid w:val="5454945E"/>
    <w:multiLevelType w:val="hybridMultilevel"/>
    <w:lvl w:ilvl="0">
      <w:lvlJc w:val="left"/>
      <w:lvlText w:val="%1."/>
      <w:numFmt w:val="decimal"/>
      <w:start w:val="2"/>
    </w:lvl>
  </w:abstractNum>
  <w:abstractNum w:abstractNumId="155">
    <w:nsid w:val="4DEFDFA0"/>
    <w:multiLevelType w:val="hybridMultilevel"/>
    <w:lvl w:ilvl="0">
      <w:lvlJc w:val="left"/>
      <w:lvlText w:val="X"/>
      <w:numFmt w:val="bullet"/>
      <w:start w:val="1"/>
    </w:lvl>
  </w:abstractNum>
  <w:abstractNum w:abstractNumId="156">
    <w:nsid w:val="2123D5F2"/>
    <w:multiLevelType w:val="hybridMultilevel"/>
    <w:lvl w:ilvl="0">
      <w:lvlJc w:val="left"/>
      <w:lvlText w:val="X"/>
      <w:numFmt w:val="bullet"/>
      <w:start w:val="1"/>
    </w:lvl>
  </w:abstractNum>
  <w:abstractNum w:abstractNumId="157">
    <w:nsid w:val="135B8110"/>
    <w:multiLevelType w:val="hybridMultilevel"/>
    <w:lvl w:ilvl="0">
      <w:lvlJc w:val="left"/>
      <w:lvlText w:val="Y"/>
      <w:numFmt w:val="bullet"/>
      <w:start w:val="1"/>
    </w:lvl>
  </w:abstractNum>
  <w:abstractNum w:abstractNumId="158">
    <w:nsid w:val="94927A8"/>
    <w:multiLevelType w:val="hybridMultilevel"/>
    <w:lvl w:ilvl="0">
      <w:lvlJc w:val="left"/>
      <w:lvlText w:val="A"/>
      <w:numFmt w:val="bullet"/>
      <w:start w:val="1"/>
    </w:lvl>
  </w:abstractNum>
  <w:abstractNum w:abstractNumId="159">
    <w:nsid w:val="DCDF8F6"/>
    <w:multiLevelType w:val="hybridMultilevel"/>
    <w:lvl w:ilvl="0">
      <w:lvlJc w:val="left"/>
      <w:lvlText w:val="B"/>
      <w:numFmt w:val="bullet"/>
      <w:start w:val="1"/>
    </w:lvl>
  </w:abstractNum>
  <w:abstractNum w:abstractNumId="160">
    <w:nsid w:val="52D7B105"/>
    <w:multiLevelType w:val="hybridMultilevel"/>
    <w:lvl w:ilvl="0">
      <w:lvlJc w:val="left"/>
      <w:lvlText w:val="(%1)"/>
      <w:numFmt w:val="lowerRoman"/>
      <w:start w:val="1"/>
    </w:lvl>
  </w:abstractNum>
  <w:abstractNum w:abstractNumId="161">
    <w:nsid w:val="2E8A6394"/>
    <w:multiLevelType w:val="hybridMultilevel"/>
    <w:lvl w:ilvl="0">
      <w:lvlJc w:val="left"/>
      <w:lvlText w:val="%1."/>
      <w:numFmt w:val="decimal"/>
      <w:start w:val="3"/>
    </w:lvl>
  </w:abstractNum>
  <w:abstractNum w:abstractNumId="162">
    <w:nsid w:val="24E60401"/>
    <w:multiLevelType w:val="hybridMultilevel"/>
    <w:lvl w:ilvl="0">
      <w:lvlJc w:val="left"/>
      <w:lvlText w:val="%1."/>
      <w:numFmt w:val="decimal"/>
      <w:start w:val="4"/>
    </w:lvl>
  </w:abstractNum>
  <w:abstractNum w:abstractNumId="163">
    <w:nsid w:val="2A6AD9BE"/>
    <w:multiLevelType w:val="hybridMultilevel"/>
    <w:lvl w:ilvl="0">
      <w:lvlJc w:val="left"/>
      <w:lvlText w:val="(%1)"/>
      <w:numFmt w:val="lowerRoman"/>
      <w:start w:val="2"/>
    </w:lvl>
    <w:lvl w:ilvl="1">
      <w:lvlJc w:val="left"/>
      <w:lvlText w:val="-"/>
      <w:numFmt w:val="bullet"/>
      <w:start w:val="1"/>
    </w:lvl>
  </w:abstractNum>
  <w:abstractNum w:abstractNumId="164">
    <w:nsid w:val="BAAC1B4"/>
    <w:multiLevelType w:val="hybridMultilevel"/>
    <w:lvl w:ilvl="0">
      <w:lvlJc w:val="left"/>
      <w:lvlText w:val="%1."/>
      <w:numFmt w:val="decimal"/>
      <w:start w:val="5"/>
    </w:lvl>
  </w:abstractNum>
  <w:abstractNum w:abstractNumId="165">
    <w:nsid w:val="36B2ACBC"/>
    <w:multiLevelType w:val="hybridMultilevel"/>
    <w:lvl w:ilvl="0">
      <w:lvlJc w:val="left"/>
      <w:lvlText w:val="%1."/>
      <w:numFmt w:val="decimal"/>
      <w:start w:val="6"/>
    </w:lvl>
  </w:abstractNum>
  <w:abstractNum w:abstractNumId="166">
    <w:nsid w:val="779D8544"/>
    <w:multiLevelType w:val="hybridMultilevel"/>
    <w:lvl w:ilvl="0">
      <w:lvlJc w:val="left"/>
      <w:lvlText w:val="%1."/>
      <w:numFmt w:val="decimal"/>
      <w:start w:val="7"/>
    </w:lvl>
    <w:lvl w:ilvl="1">
      <w:lvlJc w:val="left"/>
      <w:lvlText w:val="-"/>
      <w:numFmt w:val="bullet"/>
      <w:start w:val="1"/>
    </w:lvl>
  </w:abstractNum>
  <w:abstractNum w:abstractNumId="167">
    <w:nsid w:val="4AB26E78"/>
    <w:multiLevelType w:val="hybridMultilevel"/>
    <w:lvl w:ilvl="0">
      <w:lvlJc w:val="left"/>
      <w:lvlText w:val="%1."/>
      <w:numFmt w:val="decimal"/>
      <w:start w:val="8"/>
    </w:lvl>
  </w:abstractNum>
  <w:abstractNum w:abstractNumId="168">
    <w:nsid w:val="21FAA2FA"/>
    <w:multiLevelType w:val="hybridMultilevel"/>
    <w:lvl w:ilvl="0">
      <w:lvlJc w:val="left"/>
      <w:lvlText w:val="%1."/>
      <w:numFmt w:val="decimal"/>
      <w:start w:val="9"/>
    </w:lvl>
  </w:abstractNum>
  <w:abstractNum w:abstractNumId="169">
    <w:nsid w:val="5451CF49"/>
    <w:multiLevelType w:val="hybridMultilevel"/>
    <w:lvl w:ilvl="0">
      <w:lvlJc w:val="left"/>
      <w:lvlText w:val="="/>
      <w:numFmt w:val="bullet"/>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4"/>
    </w:lvl>
  </w:abstractNum>
  <w:abstractNum w:abstractNumId="172">
    <w:nsid w:val="14217E23"/>
    <w:multiLevelType w:val="hybridMultilevel"/>
    <w:lvl w:ilvl="0">
      <w:lvlJc w:val="left"/>
      <w:lvlText w:val="%1."/>
      <w:numFmt w:val="decimal"/>
      <w:start w:val="6"/>
    </w:lvl>
    <w:lvl w:ilvl="1">
      <w:lvlJc w:val="left"/>
      <w:lvlText w:val="(%2)"/>
      <w:numFmt w:val="lowerRoman"/>
      <w:start w:val="2"/>
    </w:lvl>
  </w:abstractNum>
  <w:abstractNum w:abstractNumId="173">
    <w:nsid w:val="710757D0"/>
    <w:multiLevelType w:val="hybridMultilevel"/>
    <w:lvl w:ilvl="0">
      <w:lvlJc w:val="left"/>
      <w:lvlText w:val="%1."/>
      <w:numFmt w:val="decimal"/>
      <w:start w:val="1"/>
    </w:lvl>
  </w:abstractNum>
  <w:abstractNum w:abstractNumId="174">
    <w:nsid w:val="5015CD1A"/>
    <w:multiLevelType w:val="hybridMultilevel"/>
    <w:lvl w:ilvl="0">
      <w:lvlJc w:val="left"/>
      <w:lvlText w:val="%1."/>
      <w:numFmt w:val="decimal"/>
      <w:start w:val="6"/>
    </w:lvl>
  </w:abstractNum>
  <w:abstractNum w:abstractNumId="175">
    <w:nsid w:val="424479DA"/>
    <w:multiLevelType w:val="hybridMultilevel"/>
    <w:lvl w:ilvl="0">
      <w:lvlJc w:val="left"/>
      <w:lvlText w:val="%1."/>
      <w:numFmt w:val="decimal"/>
      <w:start w:val="10"/>
    </w:lvl>
  </w:abstractNum>
  <w:abstractNum w:abstractNumId="176">
    <w:nsid w:val="1A9A9E69"/>
    <w:multiLevelType w:val="hybridMultilevel"/>
    <w:lvl w:ilvl="0">
      <w:lvlJc w:val="left"/>
      <w:lvlText w:val="%1."/>
      <w:numFmt w:val="decimal"/>
      <w:start w:val="1"/>
    </w:lvl>
    <w:lvl w:ilvl="1">
      <w:lvlJc w:val="left"/>
      <w:lvlText w:val="(%2)"/>
      <w:numFmt w:val="lowerLetter"/>
      <w:start w:val="1"/>
    </w:lvl>
  </w:abstractNum>
  <w:abstractNum w:abstractNumId="177">
    <w:nsid w:val="475E256A"/>
    <w:multiLevelType w:val="hybridMultilevel"/>
    <w:lvl w:ilvl="0">
      <w:lvlJc w:val="left"/>
      <w:lvlText w:val="%1"/>
      <w:numFmt w:val="lowerLetter"/>
      <w:start w:val="1"/>
    </w:lvl>
    <w:lvl w:ilvl="1">
      <w:lvlJc w:val="left"/>
      <w:lvlText w:val="(%2)"/>
      <w:numFmt w:val="lowerLetter"/>
      <w:start w:val="2"/>
    </w:lvl>
  </w:abstractNum>
  <w:abstractNum w:abstractNumId="178">
    <w:nsid w:val="368DB37E"/>
    <w:multiLevelType w:val="hybridMultilevel"/>
    <w:lvl w:ilvl="0">
      <w:lvlJc w:val="left"/>
      <w:lvlText w:val="(%1)"/>
      <w:numFmt w:val="lowerLetter"/>
      <w:start w:val="2"/>
    </w:lvl>
    <w:lvl w:ilvl="1">
      <w:lvlJc w:val="left"/>
      <w:lvlText w:val="(%2)"/>
      <w:numFmt w:val="lowerLetter"/>
      <w:start w:val="3"/>
    </w:lvl>
  </w:abstractNum>
  <w:abstractNum w:abstractNumId="179">
    <w:nsid w:val="6A3B714C"/>
    <w:multiLevelType w:val="hybridMultilevel"/>
    <w:lvl w:ilvl="0">
      <w:lvlJc w:val="left"/>
      <w:lvlText w:val="%1."/>
      <w:numFmt w:val="decimal"/>
      <w:start w:val="2"/>
    </w:lvl>
  </w:abstractNum>
  <w:abstractNum w:abstractNumId="180">
    <w:nsid w:val="327B517E"/>
    <w:multiLevelType w:val="hybridMultilevel"/>
    <w:lvl w:ilvl="0">
      <w:lvlJc w:val="left"/>
      <w:lvlText w:val="%1."/>
      <w:numFmt w:val="decimal"/>
      <w:start w:val="3"/>
    </w:lvl>
    <w:lvl w:ilvl="1">
      <w:lvlJc w:val="left"/>
      <w:lvlText w:val="(%2)"/>
      <w:numFmt w:val="lowerLetter"/>
      <w:start w:val="1"/>
    </w:lvl>
  </w:abstractNum>
  <w:abstractNum w:abstractNumId="181">
    <w:nsid w:val="1F461B51"/>
    <w:multiLevelType w:val="hybridMultilevel"/>
    <w:lvl w:ilvl="0">
      <w:lvlJc w:val="left"/>
      <w:lvlText w:val="(%1)"/>
      <w:numFmt w:val="lowerLetter"/>
      <w:start w:val="2"/>
    </w:lvl>
  </w:abstractNum>
  <w:abstractNum w:abstractNumId="182">
    <w:nsid w:val="29BACF25"/>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2019-12-08T04:46:41Z</dcterms:created>
  <dcterms:modified xsi:type="dcterms:W3CDTF">2019-12-08T04:46:41Z</dcterms:modified>
</cp:coreProperties>
</file>