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25, 2019</w:t>
      </w:r>
    </w:p>
    <w:p>
      <w:pPr>
        <w:spacing w:after="0" w:line="7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333-232281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S-3/A</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67310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ARCTURUS THERAPEUTICS HOLDINGS INC.</w:t>
      </w:r>
    </w:p>
    <w:p>
      <w:pPr>
        <w:spacing w:after="0" w:line="40" w:lineRule="exact"/>
        <w:rPr>
          <w:sz w:val="24"/>
          <w:szCs w:val="24"/>
          <w:color w:val="auto"/>
        </w:rPr>
      </w:pPr>
    </w:p>
    <w:tbl>
      <w:tblPr>
        <w:tblLayout w:type="fixed"/>
        <w:tblInd w:w="208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57"/>
        </w:trPr>
        <w:tc>
          <w:tcPr>
            <w:tcW w:w="1680" w:type="dxa"/>
            <w:vAlign w:val="bottom"/>
          </w:tcPr>
          <w:p>
            <w:pPr>
              <w:jc w:val="center"/>
              <w:ind w:right="111"/>
              <w:spacing w:after="0"/>
              <w:rPr>
                <w:sz w:val="20"/>
                <w:szCs w:val="20"/>
                <w:color w:val="auto"/>
              </w:rPr>
            </w:pPr>
            <w:r>
              <w:rPr>
                <w:rFonts w:ascii="Arial" w:cs="Arial" w:eastAsia="Arial" w:hAnsi="Arial"/>
                <w:sz w:val="16"/>
                <w:szCs w:val="16"/>
                <w:b w:val="1"/>
                <w:bCs w:val="1"/>
                <w:color w:val="auto"/>
                <w:w w:val="93"/>
              </w:rPr>
              <w:t>Delaware</w:t>
            </w:r>
          </w:p>
        </w:tc>
        <w:tc>
          <w:tcPr>
            <w:tcW w:w="5300" w:type="dxa"/>
            <w:vAlign w:val="bottom"/>
          </w:tcPr>
          <w:p>
            <w:pPr>
              <w:jc w:val="center"/>
              <w:ind w:left="4288"/>
              <w:spacing w:after="0"/>
              <w:rPr>
                <w:sz w:val="20"/>
                <w:szCs w:val="20"/>
                <w:color w:val="auto"/>
              </w:rPr>
            </w:pPr>
            <w:r>
              <w:rPr>
                <w:rFonts w:ascii="Arial" w:cs="Arial" w:eastAsia="Arial" w:hAnsi="Arial"/>
                <w:sz w:val="16"/>
                <w:szCs w:val="16"/>
                <w:b w:val="1"/>
                <w:bCs w:val="1"/>
                <w:color w:val="auto"/>
                <w:w w:val="91"/>
              </w:rPr>
              <w:t>32-0595345</w:t>
            </w:r>
          </w:p>
        </w:tc>
      </w:tr>
      <w:tr>
        <w:trPr>
          <w:trHeight w:val="135"/>
        </w:trPr>
        <w:tc>
          <w:tcPr>
            <w:tcW w:w="1680" w:type="dxa"/>
            <w:vAlign w:val="bottom"/>
          </w:tcPr>
          <w:p>
            <w:pPr>
              <w:jc w:val="center"/>
              <w:ind w:right="111"/>
              <w:spacing w:after="0" w:line="135" w:lineRule="exact"/>
              <w:rPr>
                <w:sz w:val="20"/>
                <w:szCs w:val="20"/>
                <w:color w:val="auto"/>
              </w:rPr>
            </w:pPr>
            <w:r>
              <w:rPr>
                <w:rFonts w:ascii="Arial" w:cs="Arial" w:eastAsia="Arial" w:hAnsi="Arial"/>
                <w:sz w:val="13"/>
                <w:szCs w:val="13"/>
                <w:color w:val="auto"/>
                <w:w w:val="89"/>
              </w:rPr>
              <w:t>(State or other jurisdiction of</w:t>
            </w:r>
          </w:p>
        </w:tc>
        <w:tc>
          <w:tcPr>
            <w:tcW w:w="5300" w:type="dxa"/>
            <w:vAlign w:val="bottom"/>
          </w:tcPr>
          <w:p>
            <w:pPr>
              <w:jc w:val="center"/>
              <w:ind w:left="4288"/>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1680" w:type="dxa"/>
            <w:vAlign w:val="bottom"/>
          </w:tcPr>
          <w:p>
            <w:pPr>
              <w:jc w:val="center"/>
              <w:ind w:right="111"/>
              <w:spacing w:after="0"/>
              <w:rPr>
                <w:sz w:val="20"/>
                <w:szCs w:val="20"/>
                <w:color w:val="auto"/>
              </w:rPr>
            </w:pPr>
            <w:r>
              <w:rPr>
                <w:rFonts w:ascii="Arial" w:cs="Arial" w:eastAsia="Arial" w:hAnsi="Arial"/>
                <w:sz w:val="13"/>
                <w:szCs w:val="13"/>
                <w:color w:val="auto"/>
                <w:w w:val="88"/>
              </w:rPr>
              <w:t>incorporation or organization)</w:t>
            </w:r>
          </w:p>
        </w:tc>
        <w:tc>
          <w:tcPr>
            <w:tcW w:w="5300" w:type="dxa"/>
            <w:vAlign w:val="bottom"/>
          </w:tcPr>
          <w:p>
            <w:pPr>
              <w:jc w:val="center"/>
              <w:ind w:left="4288"/>
              <w:spacing w:after="0"/>
              <w:rPr>
                <w:sz w:val="20"/>
                <w:szCs w:val="20"/>
                <w:color w:val="auto"/>
              </w:rPr>
            </w:pPr>
            <w:r>
              <w:rPr>
                <w:rFonts w:ascii="Arial" w:cs="Arial" w:eastAsia="Arial" w:hAnsi="Arial"/>
                <w:sz w:val="13"/>
                <w:szCs w:val="13"/>
                <w:color w:val="auto"/>
                <w:w w:val="92"/>
              </w:rPr>
              <w:t>Identification No.)</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10628 Science Center Drive, Suite 250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California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900-2660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67310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Joseph E. Payne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Arcturus Therapeutics Holdings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10628 Science Center Drive, Suite 250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California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900-2660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With a copy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Jeffrey A. Baumel,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Ilan Katz,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Dentons US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1221 Avenue of the Americas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10020-1089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(212) 768-6700</w:t>
      </w:r>
    </w:p>
    <w:p>
      <w:pPr>
        <w:spacing w:after="0" w:line="65" w:lineRule="exact"/>
        <w:rPr>
          <w:sz w:val="24"/>
          <w:szCs w:val="24"/>
          <w:color w:val="auto"/>
        </w:rPr>
      </w:pPr>
    </w:p>
    <w:p>
      <w:pPr>
        <w:ind w:right="460"/>
        <w:spacing w:after="0" w:line="282" w:lineRule="auto"/>
        <w:rPr>
          <w:sz w:val="20"/>
          <w:szCs w:val="20"/>
          <w:color w:val="auto"/>
        </w:rPr>
      </w:pPr>
      <w:r>
        <w:rPr>
          <w:rFonts w:ascii="Arial" w:cs="Arial" w:eastAsia="Arial" w:hAnsi="Arial"/>
          <w:sz w:val="16"/>
          <w:szCs w:val="16"/>
          <w:color w:val="auto"/>
        </w:rPr>
        <w:t xml:space="preserve">Approximate date of commencement of proposed sale to the public: </w:t>
      </w:r>
      <w:r>
        <w:rPr>
          <w:rFonts w:ascii="Arial" w:cs="Arial" w:eastAsia="Arial" w:hAnsi="Arial"/>
          <w:sz w:val="16"/>
          <w:szCs w:val="16"/>
          <w:b w:val="1"/>
          <w:bCs w:val="1"/>
          <w:color w:val="auto"/>
        </w:rPr>
        <w:t>From time to time after the effective date of this Registration Statement, as the registrant shall</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determine.</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3" w:lineRule="exact"/>
        <w:rPr>
          <w:sz w:val="24"/>
          <w:szCs w:val="24"/>
          <w:color w:val="auto"/>
        </w:rPr>
      </w:pPr>
    </w:p>
    <w:p>
      <w:pPr>
        <w:ind w:right="4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p>
      <w:pPr>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400" w:type="dxa"/>
            <w:vAlign w:val="bottom"/>
          </w:tcPr>
          <w:p>
            <w:pPr>
              <w:ind w:left="32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0"/>
          <w:szCs w:val="20"/>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44450</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Proposed</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Proposed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Maximum</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Maximum</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Aggregate</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 to be Registered</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Registered(1)</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Per Unit(2)</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Offering Price(3)</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Stock(5)</w:t>
            </w: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Preferred Stock(6)</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Debt Securities(7)</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Warrants(8)</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3"/>
          </w:tcPr>
          <w:p>
            <w:pPr>
              <w:spacing w:after="0"/>
              <w:rPr>
                <w:sz w:val="20"/>
                <w:szCs w:val="20"/>
                <w:color w:val="auto"/>
              </w:rPr>
            </w:pPr>
            <w:r>
              <w:rPr>
                <w:rFonts w:ascii="Arial" w:cs="Arial" w:eastAsia="Arial" w:hAnsi="Arial"/>
                <w:sz w:val="16"/>
                <w:szCs w:val="16"/>
                <w:color w:val="auto"/>
              </w:rPr>
              <w:t>Units(9)</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20" w:type="dxa"/>
            <w:vAlign w:val="bottom"/>
            <w:tcBorders>
              <w:top w:val="single" w:sz="8" w:color="auto"/>
            </w:tcBorders>
          </w:tcPr>
          <w:p>
            <w:pPr>
              <w:jc w:val="right"/>
              <w:ind w:right="326"/>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$100,000,000</w:t>
            </w:r>
          </w:p>
        </w:tc>
        <w:tc>
          <w:tcPr>
            <w:tcW w:w="10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00" w:hanging="592"/>
        <w:spacing w:after="0" w:line="271"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$100,000,000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28" w:lineRule="exact"/>
        <w:rPr>
          <w:rFonts w:ascii="Arial" w:cs="Arial" w:eastAsia="Arial" w:hAnsi="Arial"/>
          <w:sz w:val="16"/>
          <w:szCs w:val="16"/>
          <w:color w:val="auto"/>
        </w:rPr>
      </w:pPr>
    </w:p>
    <w:p>
      <w:pPr>
        <w:ind w:left="600" w:right="220" w:hanging="592"/>
        <w:spacing w:after="0" w:line="319" w:lineRule="auto"/>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ind w:left="600" w:right="60" w:hanging="592"/>
        <w:spacing w:after="0" w:line="305" w:lineRule="auto"/>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4" w:lineRule="exact"/>
        <w:rPr>
          <w:rFonts w:ascii="Arial" w:cs="Arial" w:eastAsia="Arial" w:hAnsi="Arial"/>
          <w:sz w:val="15"/>
          <w:szCs w:val="15"/>
          <w:color w:val="auto"/>
        </w:rPr>
      </w:pPr>
    </w:p>
    <w:p>
      <w:pPr>
        <w:ind w:left="600" w:hanging="592"/>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in accordance with Rule 457(o) under the Securities Act.</w:t>
      </w:r>
    </w:p>
    <w:p>
      <w:pPr>
        <w:spacing w:after="0" w:line="72" w:lineRule="exact"/>
        <w:rPr>
          <w:rFonts w:ascii="Arial" w:cs="Arial" w:eastAsia="Arial" w:hAnsi="Arial"/>
          <w:sz w:val="16"/>
          <w:szCs w:val="16"/>
          <w:color w:val="auto"/>
        </w:rPr>
      </w:pPr>
    </w:p>
    <w:p>
      <w:pPr>
        <w:ind w:left="600" w:right="50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9" w:lineRule="exact"/>
        <w:rPr>
          <w:rFonts w:ascii="Arial" w:cs="Arial" w:eastAsia="Arial" w:hAnsi="Arial"/>
          <w:sz w:val="16"/>
          <w:szCs w:val="16"/>
          <w:color w:val="auto"/>
        </w:rPr>
      </w:pPr>
    </w:p>
    <w:p>
      <w:pPr>
        <w:ind w:left="600" w:right="48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9" w:lineRule="exact"/>
        <w:rPr>
          <w:rFonts w:ascii="Arial" w:cs="Arial" w:eastAsia="Arial" w:hAnsi="Arial"/>
          <w:sz w:val="16"/>
          <w:szCs w:val="16"/>
          <w:color w:val="auto"/>
        </w:rPr>
      </w:pPr>
    </w:p>
    <w:p>
      <w:pPr>
        <w:ind w:left="600" w:right="24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principal amount of debt securities as may be issued from time to time at indeterminate prices or upon exercise of warrants registered hereby, as the case may be.</w:t>
      </w:r>
    </w:p>
    <w:p>
      <w:pPr>
        <w:spacing w:after="0" w:line="9" w:lineRule="exact"/>
        <w:rPr>
          <w:rFonts w:ascii="Arial" w:cs="Arial" w:eastAsia="Arial" w:hAnsi="Arial"/>
          <w:sz w:val="16"/>
          <w:szCs w:val="16"/>
          <w:color w:val="auto"/>
        </w:rPr>
      </w:pPr>
    </w:p>
    <w:p>
      <w:pPr>
        <w:ind w:left="600" w:right="32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number of warrants or other rights, including without limitation share purchase or subscription rights, as may be issued from time to time at indeterminate prices.</w:t>
      </w:r>
    </w:p>
    <w:p>
      <w:pPr>
        <w:spacing w:after="0" w:line="9" w:lineRule="exact"/>
        <w:rPr>
          <w:rFonts w:ascii="Arial" w:cs="Arial" w:eastAsia="Arial" w:hAnsi="Arial"/>
          <w:sz w:val="16"/>
          <w:szCs w:val="16"/>
          <w:color w:val="auto"/>
        </w:rPr>
      </w:pPr>
    </w:p>
    <w:p>
      <w:pPr>
        <w:ind w:left="600" w:hanging="592"/>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unit will be issued under a unit agreement and will represent an interest in two or more securities, which may or may not be separable from one another.</w:t>
      </w:r>
    </w:p>
    <w:p>
      <w:pPr>
        <w:spacing w:after="0" w:line="84" w:lineRule="exact"/>
        <w:rPr>
          <w:rFonts w:ascii="Arial" w:cs="Arial" w:eastAsia="Arial" w:hAnsi="Arial"/>
          <w:sz w:val="15"/>
          <w:szCs w:val="15"/>
          <w:color w:val="auto"/>
        </w:rPr>
      </w:pPr>
    </w:p>
    <w:p>
      <w:pPr>
        <w:ind w:left="600" w:right="74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of the Securities Act, the offering price and registration fee are computed based on the average high and low prices reported for the registrant’s common stock traded on The Nasdaq Global Market on June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540" w:right="2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Registration shall file a further amendment which specifically states that this Registration Statement shall thereafter become effective in accordance with section 8(a) of the Securities Act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 w:name="page3"/>
    <w:bookmarkEnd w:id="2"/>
    <w:p>
      <w:pPr>
        <w:ind w:right="12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0000"/>
        </w:rPr>
        <w:t>SUBJECT TO COMPLETION, DATED JUNE [</w:t>
      </w:r>
      <w:r>
        <w:rPr>
          <w:rFonts w:ascii="Arial" w:cs="Arial" w:eastAsia="Arial" w:hAnsi="Arial"/>
          <w:sz w:val="18"/>
          <w:szCs w:val="18"/>
          <w:color w:val="FF0000"/>
        </w:rPr>
        <w:t>●]</w:t>
      </w:r>
      <w:r>
        <w:rPr>
          <w:rFonts w:ascii="Arial" w:cs="Arial" w:eastAsia="Arial" w:hAnsi="Arial"/>
          <w:sz w:val="18"/>
          <w:szCs w:val="18"/>
          <w:b w:val="1"/>
          <w:bCs w:val="1"/>
          <w:color w:val="FF0000"/>
        </w:rPr>
        <w:t>,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94615</wp:posOffset>
            </wp:positionV>
            <wp:extent cx="203263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102870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109220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6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r>
        <w:rPr>
          <w:rFonts w:ascii="Arial" w:cs="Arial" w:eastAsia="Arial" w:hAnsi="Arial"/>
          <w:sz w:val="18"/>
          <w:szCs w:val="18"/>
          <w:b w:val="1"/>
          <w:bCs w:val="1"/>
          <w:u w:val="single" w:color="auto"/>
          <w:color w:val="auto"/>
        </w:rPr>
        <w:t>Risk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Factors</w:t>
      </w:r>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7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66"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71755</wp:posOffset>
            </wp:positionV>
            <wp:extent cx="259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June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0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82"/>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140" w:type="dxa"/>
            <w:vAlign w:val="bottom"/>
            <w:gridSpan w:val="8"/>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6280" w:type="dxa"/>
            <w:vAlign w:val="bottom"/>
            <w:gridSpan w:val="9"/>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7120" w:type="dxa"/>
            <w:vAlign w:val="bottom"/>
            <w:gridSpan w:val="13"/>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8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580" w:type="dxa"/>
            <w:vAlign w:val="bottom"/>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DESCRIPTION OF CAPITAL STOCK WE MAY OFFER</w:t>
              </w:r>
            </w:hyperlink>
          </w:p>
        </w:tc>
        <w:tc>
          <w:tcPr>
            <w:tcW w:w="4120" w:type="dxa"/>
            <w:vAlign w:val="bottom"/>
            <w:gridSpan w:val="4"/>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DEBT SECURITIES WE MAY OFFER</w:t>
              </w:r>
            </w:hyperlink>
          </w:p>
        </w:tc>
        <w:tc>
          <w:tcPr>
            <w:tcW w:w="3960" w:type="dxa"/>
            <w:vAlign w:val="bottom"/>
            <w:gridSpan w:val="3"/>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WARRANTS WE MAY OFFER</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UNITS WE MAY OFFER</w:t>
              </w:r>
            </w:hyperlink>
          </w:p>
        </w:tc>
        <w:tc>
          <w:tcPr>
            <w:tcW w:w="4520" w:type="dxa"/>
            <w:vAlign w:val="bottom"/>
            <w:gridSpan w:val="5"/>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3"/>
          </w:tcPr>
          <w:p>
            <w:pPr>
              <w:spacing w:after="0"/>
              <w:rPr>
                <w:sz w:val="17"/>
                <w:szCs w:val="17"/>
                <w:color w:val="auto"/>
              </w:rPr>
            </w:pPr>
          </w:p>
        </w:tc>
        <w:tc>
          <w:tcPr>
            <w:tcW w:w="4980" w:type="dxa"/>
            <w:vAlign w:val="bottom"/>
            <w:gridSpan w:val="7"/>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6920" w:type="dxa"/>
            <w:vAlign w:val="bottom"/>
            <w:gridSpan w:val="12"/>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INCORPORATION OF CERTAIN DOCUMENTS BY REFERENCE</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229"/>
        </w:trPr>
        <w:tc>
          <w:tcPr>
            <w:tcW w:w="78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7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 enables multiple nucleic acid medicines. We have deep expertise in the discovery and development of RNA medicines, including key experience in the production of RNA drug substance and nanoparticle-formulated drug product.</w:t>
      </w:r>
    </w:p>
    <w:p>
      <w:pPr>
        <w:spacing w:after="0" w:line="79"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pipeline of seven drugs in late-stage discovery and early-stage development: two wholly-owned and five pharma partnered programs.</w:t>
      </w:r>
    </w:p>
    <w:p>
      <w:pPr>
        <w:spacing w:after="0" w:line="140" w:lineRule="exact"/>
        <w:rPr>
          <w:rFonts w:ascii="Arial" w:cs="Arial" w:eastAsia="Arial" w:hAnsi="Arial"/>
          <w:sz w:val="16"/>
          <w:szCs w:val="16"/>
          <w:color w:val="auto"/>
        </w:rPr>
      </w:pPr>
    </w:p>
    <w:p>
      <w:pPr>
        <w:ind w:left="880" w:right="5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 which draws from a growing library of over 150 proprietary lipids intended to enable safer and more efficient delivery of RNA medicines.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152 patents and patent applications, issued in the United States, China, Europe, Japan and other countries.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7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17" w:lineRule="exact"/>
        <w:rPr>
          <w:sz w:val="20"/>
          <w:szCs w:val="20"/>
          <w:color w:val="auto"/>
        </w:rPr>
      </w:pPr>
    </w:p>
    <w:p>
      <w:pPr>
        <w:ind w:left="880" w:right="4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authorized to issue a total of 10,000,000 shares of preferred stock. As of June 21, 2019, there were no shares of preferred stock issued and outstanding.</w:t>
      </w:r>
    </w:p>
    <w:p>
      <w:pPr>
        <w:spacing w:after="0" w:line="14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of preferred stock offered, the liquidation preference per share and the offering price of the shares of preferred stock;</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the shares of preferred stock;</w:t>
      </w:r>
    </w:p>
    <w:p>
      <w:pPr>
        <w:spacing w:after="0" w:line="117"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left="880" w:right="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117"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The transfer agent and registrar for any series or class of preferred stock will be set forth in the applicable prospectus supplement. </w:t>
      </w:r>
      <w:r>
        <w:rPr>
          <w:rFonts w:ascii="Arial" w:cs="Arial" w:eastAsia="Arial" w:hAnsi="Arial"/>
          <w:sz w:val="18"/>
          <w:szCs w:val="18"/>
          <w:b w:val="1"/>
          <w:bCs w:val="1"/>
          <w:color w:val="auto"/>
        </w:rPr>
        <w:t>Possible Anti-Takeover Effects of Delaware Law and our Charter Documents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ind w:right="100"/>
        <w:spacing w:after="0" w:line="276"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79"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62" w:lineRule="exact"/>
        <w:rPr>
          <w:rFonts w:ascii="Arial" w:cs="Arial" w:eastAsia="Arial" w:hAnsi="Arial"/>
          <w:sz w:val="18"/>
          <w:szCs w:val="18"/>
          <w:color w:val="auto"/>
        </w:rPr>
      </w:pPr>
    </w:p>
    <w:p>
      <w:pPr>
        <w:ind w:left="880" w:right="60" w:hanging="440"/>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880" w:right="66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jc w:val="both"/>
        <w:ind w:left="880" w:right="640" w:hanging="440"/>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140" w:lineRule="exact"/>
        <w:rPr>
          <w:rFonts w:ascii="Arial" w:cs="Arial" w:eastAsia="Arial" w:hAnsi="Arial"/>
          <w:sz w:val="16"/>
          <w:szCs w:val="16"/>
          <w:color w:val="auto"/>
        </w:rPr>
      </w:pPr>
    </w:p>
    <w:p>
      <w:pPr>
        <w:ind w:left="880" w:hanging="440"/>
        <w:spacing w:after="0" w:line="34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62"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140" w:lineRule="exact"/>
        <w:rPr>
          <w:rFonts w:ascii="Arial" w:cs="Arial" w:eastAsia="Arial" w:hAnsi="Arial"/>
          <w:sz w:val="16"/>
          <w:szCs w:val="16"/>
          <w:color w:val="auto"/>
        </w:rPr>
      </w:pPr>
    </w:p>
    <w:p>
      <w:pPr>
        <w:jc w:val="both"/>
        <w:ind w:left="880" w:right="20" w:hanging="440"/>
        <w:spacing w:after="0" w:line="31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38"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50"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117"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4" w:name="page15"/>
    <w:bookmarkEnd w:id="14"/>
    <w:p>
      <w:pPr>
        <w:ind w:right="10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62"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880" w:right="300" w:hanging="440"/>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73"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2"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62" w:lineRule="exact"/>
        <w:rPr>
          <w:rFonts w:ascii="Arial" w:cs="Arial" w:eastAsia="Arial" w:hAnsi="Arial"/>
          <w:sz w:val="18"/>
          <w:szCs w:val="18"/>
          <w:color w:val="auto"/>
        </w:rPr>
      </w:pPr>
    </w:p>
    <w:p>
      <w:pPr>
        <w:jc w:val="both"/>
        <w:ind w:left="880" w:right="12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spacing w:after="0" w:line="62" w:lineRule="exact"/>
        <w:rPr>
          <w:rFonts w:ascii="Arial" w:cs="Arial" w:eastAsia="Arial" w:hAnsi="Arial"/>
          <w:sz w:val="18"/>
          <w:szCs w:val="18"/>
          <w:color w:val="auto"/>
        </w:rPr>
      </w:pPr>
    </w:p>
    <w:p>
      <w:pPr>
        <w:ind w:left="880" w:right="16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left="880" w:right="40" w:hanging="440"/>
        <w:spacing w:after="0" w:line="276"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79"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reducing the amount of principal of an original issue discount security or any other note payable upon acceleration of the maturity thereof;</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62"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62"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any of our obligations to maintain an office or agency in the places and for the purposes required by the indentures;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73"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17" w:lineRule="exact"/>
        <w:rPr>
          <w:sz w:val="20"/>
          <w:szCs w:val="20"/>
          <w:color w:val="auto"/>
        </w:rPr>
      </w:pPr>
    </w:p>
    <w:p>
      <w:pPr>
        <w:ind w:left="880" w:right="120" w:hanging="440"/>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 WE MAY OFFER</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3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73"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38"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117"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9" w:name="page20"/>
    <w:bookmarkEnd w:id="19"/>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 WE MAY OFFER</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117" w:lineRule="exact"/>
        <w:rPr>
          <w:sz w:val="20"/>
          <w:szCs w:val="20"/>
          <w:color w:val="auto"/>
        </w:rPr>
      </w:pPr>
    </w:p>
    <w:p>
      <w:pPr>
        <w:ind w:left="880" w:right="6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62" w:lineRule="exact"/>
        <w:rPr>
          <w:sz w:val="20"/>
          <w:szCs w:val="20"/>
          <w:color w:val="auto"/>
        </w:rPr>
      </w:pPr>
    </w:p>
    <w:p>
      <w:pPr>
        <w:ind w:left="880" w:right="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5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39" w:lineRule="exact"/>
        <w:rPr>
          <w:sz w:val="20"/>
          <w:szCs w:val="20"/>
          <w:color w:val="auto"/>
        </w:rPr>
      </w:pPr>
    </w:p>
    <w:p>
      <w:pPr>
        <w:ind w:left="880" w:right="340" w:hanging="440"/>
        <w:spacing w:after="0" w:line="277" w:lineRule="auto"/>
        <w:tabs>
          <w:tab w:leader="none" w:pos="88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2018, as filed with the SEC on </w:t>
      </w:r>
      <w:hyperlink r:id="rId43">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amended on </w:t>
      </w:r>
      <w:hyperlink r:id="rId44">
        <w:r>
          <w:rPr>
            <w:rFonts w:ascii="Arial" w:cs="Arial" w:eastAsia="Arial" w:hAnsi="Arial"/>
            <w:sz w:val="18"/>
            <w:szCs w:val="18"/>
            <w:u w:val="single" w:color="auto"/>
            <w:color w:val="0000EE"/>
          </w:rPr>
          <w:t>April 10, 2019</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as filed with the SEC on </w:t>
      </w:r>
      <w:hyperlink r:id="rId45">
        <w:r>
          <w:rPr>
            <w:rFonts w:ascii="Arial" w:cs="Arial" w:eastAsia="Arial" w:hAnsi="Arial"/>
            <w:sz w:val="18"/>
            <w:szCs w:val="18"/>
            <w:u w:val="single" w:color="auto"/>
            <w:color w:val="0000EE"/>
          </w:rPr>
          <w:t>May 13, 2019</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as filed with the SEC on </w:t>
      </w:r>
      <w:hyperlink r:id="rId46">
        <w:r>
          <w:rPr>
            <w:rFonts w:ascii="Arial" w:cs="Arial" w:eastAsia="Arial" w:hAnsi="Arial"/>
            <w:sz w:val="18"/>
            <w:szCs w:val="18"/>
            <w:u w:val="single" w:color="auto"/>
            <w:color w:val="0000EE"/>
          </w:rPr>
          <w:t>March 19,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May 20, 2019</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June 19, 2019 and</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June 20, 2019 (in each case, except for information contained therein which is furnished rather than filed); and</w:t>
        </w:r>
      </w:hyperlink>
    </w:p>
    <w:p>
      <w:pPr>
        <w:spacing w:after="0" w:line="62" w:lineRule="exact"/>
        <w:rPr>
          <w:rFonts w:ascii="Arial" w:cs="Arial" w:eastAsia="Arial" w:hAnsi="Arial"/>
          <w:sz w:val="18"/>
          <w:szCs w:val="18"/>
          <w:u w:val="single" w:color="auto"/>
          <w:color w:val="0000EE"/>
        </w:rPr>
      </w:pPr>
    </w:p>
    <w:p>
      <w:pPr>
        <w:ind w:left="880" w:right="260" w:hanging="440"/>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52">
        <w:r>
          <w:rPr>
            <w:rFonts w:ascii="Arial" w:cs="Arial" w:eastAsia="Arial" w:hAnsi="Arial"/>
            <w:sz w:val="18"/>
            <w:szCs w:val="18"/>
            <w:u w:val="single" w:color="auto"/>
            <w:color w:val="0000EE"/>
          </w:rPr>
          <w:t>May 17, 2013</w:t>
        </w:r>
      </w:hyperlink>
      <w:r>
        <w:rPr>
          <w:rFonts w:ascii="Arial" w:cs="Arial" w:eastAsia="Arial" w:hAnsi="Arial"/>
          <w:sz w:val="18"/>
          <w:szCs w:val="18"/>
          <w:color w:val="auto"/>
        </w:rPr>
        <w:t xml:space="preserve">, including any amendments or reports filed for purposes of updating such description, including the Form 8-K12B filed on </w:t>
      </w:r>
      <w:hyperlink r:id="rId53">
        <w:r>
          <w:rPr>
            <w:rFonts w:ascii="Arial" w:cs="Arial" w:eastAsia="Arial" w:hAnsi="Arial"/>
            <w:sz w:val="18"/>
            <w:szCs w:val="18"/>
            <w:u w:val="single" w:color="auto"/>
            <w:color w:val="0000EE"/>
          </w:rPr>
          <w:t>June 14, 2019.</w:t>
        </w:r>
      </w:hyperlink>
    </w:p>
    <w:p>
      <w:pPr>
        <w:spacing w:after="0" w:line="18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5" w:name="page26"/>
    <w:bookmarkEnd w:id="25"/>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2764790</wp:posOffset>
            </wp:positionH>
            <wp:positionV relativeFrom="page">
              <wp:posOffset>252095</wp:posOffset>
            </wp:positionV>
            <wp:extent cx="20326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7754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102870</wp:posOffset>
            </wp:positionV>
            <wp:extent cx="2598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111760</wp:posOffset>
            </wp:positionV>
            <wp:extent cx="2598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21, 2019</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26" w:name="page27"/>
    <w:bookmarkEnd w:id="26"/>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hereunder. All of the amounts shown shall be paid by us and are estimates except for the SEC registration fee, which was previously paid.</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 Registration Fee</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FINRA Filing Fee</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Legal Fees and Expenses</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Printing and Related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Transfer Agent and Trustee Fees</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Borders>
              <w:bottom w:val="single" w:sz="8" w:color="BDD6EE"/>
            </w:tcBorders>
          </w:tcPr>
          <w:p>
            <w:pPr>
              <w:spacing w:after="0"/>
              <w:rPr>
                <w:sz w:val="20"/>
                <w:szCs w:val="20"/>
                <w:color w:val="auto"/>
              </w:rPr>
            </w:pPr>
            <w:r>
              <w:rPr>
                <w:rFonts w:ascii="Arial" w:cs="Arial" w:eastAsia="Arial" w:hAnsi="Arial"/>
                <w:sz w:val="18"/>
                <w:szCs w:val="18"/>
                <w:color w:val="auto"/>
              </w:rPr>
              <w:t>Miscellaneous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Borders>
              <w:bottom w:val="single" w:sz="8" w:color="BDD6EE"/>
            </w:tcBorders>
            <w:shd w:val="clear" w:color="auto" w:fill="BDD6EE"/>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8"/>
        <w:spacing w:after="0" w:line="277" w:lineRule="auto"/>
        <w:tabs>
          <w:tab w:leader="none" w:pos="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all applicable registration fees for the securities offered under this registration statement.</w:t>
      </w:r>
    </w:p>
    <w:p>
      <w:pPr>
        <w:spacing w:after="0" w:line="62" w:lineRule="exact"/>
        <w:rPr>
          <w:rFonts w:ascii="Arial" w:cs="Arial" w:eastAsia="Arial" w:hAnsi="Arial"/>
          <w:sz w:val="18"/>
          <w:szCs w:val="18"/>
          <w:color w:val="auto"/>
        </w:rPr>
      </w:pPr>
    </w:p>
    <w:p>
      <w:pPr>
        <w:ind w:left="280" w:hanging="223"/>
        <w:spacing w:after="0"/>
        <w:tabs>
          <w:tab w:leader="none" w:pos="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Further subsections of DGCL Section 145 provide that:</w:t>
      </w:r>
    </w:p>
    <w:p>
      <w:pPr>
        <w:spacing w:after="0" w:line="11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(1)to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firstLine="8"/>
        <w:spacing w:after="0" w:line="26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73" w:lineRule="exact"/>
        <w:rPr>
          <w:rFonts w:ascii="Arial" w:cs="Arial" w:eastAsia="Arial" w:hAnsi="Arial"/>
          <w:sz w:val="18"/>
          <w:szCs w:val="18"/>
          <w:color w:val="auto"/>
        </w:rPr>
      </w:pPr>
    </w:p>
    <w:p>
      <w:pPr>
        <w:ind w:firstLine="8"/>
        <w:spacing w:after="0" w:line="302"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indemnification agreements with our officers and directors.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to this registration statement and incorporated herein by this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hanging="25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40" w:hanging="215"/>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20" w:firstLine="1325"/>
        <w:spacing w:after="0" w:line="293" w:lineRule="auto"/>
        <w:tabs>
          <w:tab w:leader="none" w:pos="1582" w:val="left"/>
        </w:tabs>
        <w:numPr>
          <w:ilvl w:val="2"/>
          <w:numId w:val="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40" w:firstLine="1325"/>
        <w:spacing w:after="0" w:line="277" w:lineRule="auto"/>
        <w:tabs>
          <w:tab w:leader="none" w:pos="1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9" w:lineRule="exact"/>
        <w:rPr>
          <w:sz w:val="20"/>
          <w:szCs w:val="20"/>
          <w:color w:val="auto"/>
        </w:rPr>
      </w:pPr>
    </w:p>
    <w:p>
      <w:pPr>
        <w:jc w:val="both"/>
        <w:ind w:right="60" w:firstLine="885"/>
        <w:spacing w:after="0" w:line="264"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600" w:firstLine="885"/>
        <w:spacing w:after="0" w:line="277"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160" w:firstLine="1325"/>
        <w:spacing w:after="0" w:line="277" w:lineRule="auto"/>
        <w:tabs>
          <w:tab w:leader="none" w:pos="15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right="40" w:firstLine="1325"/>
        <w:spacing w:after="0" w:line="288" w:lineRule="auto"/>
        <w:tabs>
          <w:tab w:leader="none" w:pos="1582"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6"/>
          <w:szCs w:val="16"/>
          <w:color w:val="auto"/>
        </w:rPr>
      </w:pPr>
    </w:p>
    <w:p>
      <w:pPr>
        <w:ind w:firstLine="885"/>
        <w:spacing w:after="0" w:line="279" w:lineRule="auto"/>
        <w:tabs>
          <w:tab w:leader="none" w:pos="11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rFonts w:ascii="Arial" w:cs="Arial" w:eastAsia="Arial" w:hAnsi="Arial"/>
          <w:sz w:val="17"/>
          <w:szCs w:val="17"/>
          <w:color w:val="auto"/>
        </w:rPr>
      </w:pPr>
    </w:p>
    <w:p>
      <w:pPr>
        <w:ind w:left="1540" w:hanging="215"/>
        <w:spacing w:after="0"/>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right="180" w:firstLine="1325"/>
        <w:spacing w:after="0" w:line="277" w:lineRule="auto"/>
        <w:tabs>
          <w:tab w:leader="none" w:pos="15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right="680" w:firstLine="1325"/>
        <w:spacing w:after="0" w:line="277" w:lineRule="auto"/>
        <w:tabs>
          <w:tab w:leader="none" w:pos="16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20" w:hanging="295"/>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left="-40" w:right="140" w:firstLine="447"/>
        <w:spacing w:after="0" w:line="257"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40" w:right="20" w:firstLine="447"/>
        <w:spacing w:after="0" w:line="271" w:lineRule="auto"/>
        <w:tabs>
          <w:tab w:leader="none" w:pos="6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40" w:firstLine="447"/>
        <w:spacing w:after="0" w:line="264"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449"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940" w:type="dxa"/>
            <w:vAlign w:val="bottom"/>
            <w:gridSpan w:val="5"/>
          </w:tcPr>
          <w:p>
            <w:pPr>
              <w:ind w:left="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8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6"/>
                <w:szCs w:val="16"/>
                <w:color w:val="auto"/>
              </w:rPr>
            </w:pPr>
          </w:p>
        </w:tc>
        <w:tc>
          <w:tcPr>
            <w:tcW w:w="10340" w:type="dxa"/>
            <w:vAlign w:val="bottom"/>
            <w:tcBorders>
              <w:top w:val="single" w:sz="8" w:color="auto"/>
            </w:tcBorders>
            <w:gridSpan w:val="9"/>
          </w:tcPr>
          <w:p>
            <w:pPr>
              <w:spacing w:after="0" w:line="195" w:lineRule="exact"/>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90"/>
        </w:trPr>
        <w:tc>
          <w:tcPr>
            <w:tcW w:w="880" w:type="dxa"/>
            <w:vAlign w:val="bottom"/>
          </w:tcPr>
          <w:p>
            <w:pPr>
              <w:ind w:left="280"/>
              <w:spacing w:after="0" w:line="190"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10340" w:type="dxa"/>
            <w:vAlign w:val="bottom"/>
            <w:gridSpan w:val="9"/>
          </w:tcPr>
          <w:p>
            <w:pPr>
              <w:spacing w:after="0" w:line="190" w:lineRule="exact"/>
              <w:rPr>
                <w:rFonts w:ascii="Arial" w:cs="Arial" w:eastAsia="Arial" w:hAnsi="Arial"/>
                <w:sz w:val="18"/>
                <w:szCs w:val="18"/>
                <w:color w:val="0000EE"/>
              </w:rPr>
            </w:pPr>
            <w:hyperlink r:id="rId64">
              <w:r>
                <w:rPr>
                  <w:rFonts w:ascii="Arial" w:cs="Arial" w:eastAsia="Arial" w:hAnsi="Arial"/>
                  <w:sz w:val="18"/>
                  <w:szCs w:val="18"/>
                  <w:color w:val="0000EE"/>
                </w:rPr>
                <w:t>Certificate of Incorporation of Arcturus Therapeutics Holdings Inc.</w:t>
              </w:r>
            </w:hyperlink>
          </w:p>
        </w:tc>
        <w:tc>
          <w:tcPr>
            <w:tcW w:w="0" w:type="dxa"/>
            <w:vAlign w:val="bottom"/>
          </w:tcPr>
          <w:p>
            <w:pPr>
              <w:spacing w:after="0"/>
              <w:rPr>
                <w:sz w:val="1"/>
                <w:szCs w:val="1"/>
                <w:color w:val="auto"/>
              </w:rPr>
            </w:pPr>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4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Bylaws of Arcturus Therapeutics Holdings Inc.</w:t>
              </w:r>
            </w:hyperlink>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ind w:left="2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Form of Subordinated Debt Securities Indenture</w:t>
            </w:r>
          </w:p>
        </w:tc>
        <w:tc>
          <w:tcPr>
            <w:tcW w:w="0" w:type="dxa"/>
            <w:vAlign w:val="bottom"/>
          </w:tcPr>
          <w:p>
            <w:pPr>
              <w:spacing w:after="0"/>
              <w:rPr>
                <w:sz w:val="1"/>
                <w:szCs w:val="1"/>
                <w:color w:val="auto"/>
              </w:rPr>
            </w:pPr>
          </w:p>
        </w:tc>
      </w:tr>
      <w:tr>
        <w:trPr>
          <w:trHeight w:val="216"/>
        </w:trPr>
        <w:tc>
          <w:tcPr>
            <w:tcW w:w="880" w:type="dxa"/>
            <w:vAlign w:val="bottom"/>
          </w:tcPr>
          <w:p>
            <w:pPr>
              <w:ind w:left="2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Form of Senior Debt Securities Indenture</w:t>
            </w:r>
          </w:p>
        </w:tc>
        <w:tc>
          <w:tcPr>
            <w:tcW w:w="0" w:type="dxa"/>
            <w:vAlign w:val="bottom"/>
          </w:tcPr>
          <w:p>
            <w:pPr>
              <w:spacing w:after="0"/>
              <w:rPr>
                <w:sz w:val="1"/>
                <w:szCs w:val="1"/>
                <w:color w:val="auto"/>
              </w:rPr>
            </w:pPr>
          </w:p>
        </w:tc>
      </w:tr>
      <w:tr>
        <w:trPr>
          <w:trHeight w:val="216"/>
        </w:trPr>
        <w:tc>
          <w:tcPr>
            <w:tcW w:w="880" w:type="dxa"/>
            <w:vAlign w:val="bottom"/>
          </w:tcPr>
          <w:p>
            <w:pPr>
              <w:ind w:left="2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216"/>
        </w:trPr>
        <w:tc>
          <w:tcPr>
            <w:tcW w:w="880" w:type="dxa"/>
            <w:vAlign w:val="bottom"/>
          </w:tcPr>
          <w:p>
            <w:pPr>
              <w:ind w:left="2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6"/>
        </w:trPr>
        <w:tc>
          <w:tcPr>
            <w:tcW w:w="880" w:type="dxa"/>
            <w:vAlign w:val="bottom"/>
          </w:tcPr>
          <w:p>
            <w:pPr>
              <w:ind w:left="2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190"/>
        </w:trPr>
        <w:tc>
          <w:tcPr>
            <w:tcW w:w="880" w:type="dxa"/>
            <w:vAlign w:val="bottom"/>
          </w:tcPr>
          <w:p>
            <w:pPr>
              <w:ind w:left="280"/>
              <w:spacing w:after="0" w:line="190"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6"/>
                <w:szCs w:val="16"/>
                <w:color w:val="auto"/>
              </w:rPr>
            </w:pPr>
          </w:p>
        </w:tc>
        <w:tc>
          <w:tcPr>
            <w:tcW w:w="132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90"/>
              </w:rPr>
              <w:t>Form of Indenture</w:t>
            </w:r>
          </w:p>
        </w:tc>
        <w:tc>
          <w:tcPr>
            <w:tcW w:w="90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80"/>
              <w:spacing w:after="0" w:line="196"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0340" w:type="dxa"/>
            <w:vAlign w:val="bottom"/>
            <w:gridSpan w:val="9"/>
          </w:tcPr>
          <w:p>
            <w:pPr>
              <w:spacing w:after="0" w:line="196" w:lineRule="exact"/>
              <w:rPr>
                <w:sz w:val="20"/>
                <w:szCs w:val="20"/>
                <w:color w:val="auto"/>
              </w:rPr>
            </w:pPr>
            <w:r>
              <w:rPr>
                <w:rFonts w:ascii="Arial" w:cs="Arial" w:eastAsia="Arial" w:hAnsi="Arial"/>
                <w:sz w:val="18"/>
                <w:szCs w:val="18"/>
                <w:color w:val="0000EE"/>
              </w:rPr>
              <w:t>Opinion of Dentons US LLP</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180"/>
              <w:spacing w:after="0" w:line="196" w:lineRule="exact"/>
              <w:rPr>
                <w:sz w:val="20"/>
                <w:szCs w:val="20"/>
                <w:color w:val="auto"/>
              </w:rPr>
            </w:pPr>
            <w:r>
              <w:rPr>
                <w:rFonts w:ascii="Arial" w:cs="Arial" w:eastAsia="Arial" w:hAnsi="Arial"/>
                <w:sz w:val="18"/>
                <w:szCs w:val="18"/>
                <w:color w:val="auto"/>
              </w:rPr>
              <w:t>23.1+</w:t>
            </w:r>
          </w:p>
        </w:tc>
        <w:tc>
          <w:tcPr>
            <w:tcW w:w="200" w:type="dxa"/>
            <w:vAlign w:val="bottom"/>
          </w:tcPr>
          <w:p>
            <w:pPr>
              <w:spacing w:after="0"/>
              <w:rPr>
                <w:sz w:val="17"/>
                <w:szCs w:val="17"/>
                <w:color w:val="auto"/>
              </w:rPr>
            </w:pPr>
          </w:p>
        </w:tc>
        <w:tc>
          <w:tcPr>
            <w:tcW w:w="4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Consent of Independent Registered Public Accounting Firm</w:t>
            </w:r>
          </w:p>
        </w:tc>
        <w:tc>
          <w:tcPr>
            <w:tcW w:w="6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80"/>
              <w:spacing w:after="0" w:line="196"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Consent of Independent Registered Public Accounting Firm</w:t>
            </w:r>
          </w:p>
        </w:tc>
        <w:tc>
          <w:tcPr>
            <w:tcW w:w="6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80"/>
              <w:spacing w:after="0" w:line="196"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10340" w:type="dxa"/>
            <w:vAlign w:val="bottom"/>
            <w:gridSpan w:val="9"/>
          </w:tcPr>
          <w:p>
            <w:pPr>
              <w:spacing w:after="0" w:line="196" w:lineRule="exact"/>
              <w:rPr>
                <w:sz w:val="20"/>
                <w:szCs w:val="20"/>
                <w:color w:val="auto"/>
              </w:rPr>
            </w:pPr>
            <w:r>
              <w:rPr>
                <w:rFonts w:ascii="Arial" w:cs="Arial" w:eastAsia="Arial" w:hAnsi="Arial"/>
                <w:sz w:val="18"/>
                <w:szCs w:val="18"/>
                <w:color w:val="0000EE"/>
              </w:rPr>
              <w:t>Consent of Dentons US LLP (contained in Exhibit 5.1.)</w:t>
            </w:r>
          </w:p>
        </w:tc>
        <w:tc>
          <w:tcPr>
            <w:tcW w:w="0" w:type="dxa"/>
            <w:vAlign w:val="bottom"/>
          </w:tcPr>
          <w:p>
            <w:pPr>
              <w:spacing w:after="0"/>
              <w:rPr>
                <w:sz w:val="1"/>
                <w:szCs w:val="1"/>
                <w:color w:val="auto"/>
              </w:rPr>
            </w:pPr>
          </w:p>
        </w:tc>
      </w:tr>
      <w:tr>
        <w:trPr>
          <w:trHeight w:val="196"/>
        </w:trPr>
        <w:tc>
          <w:tcPr>
            <w:tcW w:w="880" w:type="dxa"/>
            <w:vAlign w:val="bottom"/>
          </w:tcPr>
          <w:p>
            <w:pPr>
              <w:ind w:left="180"/>
              <w:spacing w:after="0" w:line="196" w:lineRule="exact"/>
              <w:rPr>
                <w:sz w:val="20"/>
                <w:szCs w:val="20"/>
                <w:color w:val="auto"/>
              </w:rPr>
            </w:pPr>
            <w:r>
              <w:rPr>
                <w:rFonts w:ascii="Arial" w:cs="Arial" w:eastAsia="Arial" w:hAnsi="Arial"/>
                <w:sz w:val="18"/>
                <w:szCs w:val="18"/>
                <w:color w:val="auto"/>
              </w:rPr>
              <w:t>24.1+</w:t>
            </w:r>
          </w:p>
        </w:tc>
        <w:tc>
          <w:tcPr>
            <w:tcW w:w="2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Power of Attorney</w:t>
              </w:r>
            </w:hyperlink>
          </w:p>
        </w:tc>
        <w:tc>
          <w:tcPr>
            <w:tcW w:w="2660" w:type="dxa"/>
            <w:vAlign w:val="bottom"/>
            <w:tcBorders>
              <w:top w:val="single" w:sz="8" w:color="0000EE"/>
            </w:tcBorders>
            <w:gridSpan w:val="3"/>
          </w:tcPr>
          <w:p>
            <w:pPr>
              <w:spacing w:after="0"/>
              <w:rPr>
                <w:sz w:val="17"/>
                <w:szCs w:val="17"/>
                <w:color w:val="auto"/>
              </w:rPr>
            </w:pPr>
          </w:p>
        </w:tc>
        <w:tc>
          <w:tcPr>
            <w:tcW w:w="6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ind w:left="180"/>
              <w:spacing w:after="0"/>
              <w:rPr>
                <w:sz w:val="20"/>
                <w:szCs w:val="20"/>
                <w:color w:val="auto"/>
              </w:rPr>
            </w:pPr>
            <w:r>
              <w:rPr>
                <w:rFonts w:ascii="Arial" w:cs="Arial" w:eastAsia="Arial" w:hAnsi="Arial"/>
                <w:sz w:val="18"/>
                <w:szCs w:val="18"/>
                <w:color w:val="auto"/>
              </w:rPr>
              <w:t>25.l†</w:t>
            </w:r>
          </w:p>
        </w:tc>
        <w:tc>
          <w:tcPr>
            <w:tcW w:w="10340" w:type="dxa"/>
            <w:vAlign w:val="bottom"/>
            <w:gridSpan w:val="9"/>
          </w:tcPr>
          <w:p>
            <w:pPr>
              <w:spacing w:after="0"/>
              <w:rPr>
                <w:sz w:val="20"/>
                <w:szCs w:val="20"/>
                <w:color w:val="auto"/>
              </w:rPr>
            </w:pPr>
            <w:r>
              <w:rPr>
                <w:rFonts w:ascii="Arial" w:cs="Arial" w:eastAsia="Arial" w:hAnsi="Arial"/>
                <w:sz w:val="18"/>
                <w:szCs w:val="18"/>
                <w:color w:val="auto"/>
              </w:rPr>
              <w:t>Form T-l Statement of Eligibility and Qualification of the Trustee under the Indenture with respect to the debt securities.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hereto or pursuant to a Current Report on Form 8-K to be incorporated herein by reference.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 or pursuant to Trust Indenture Act Section 305(b)(2),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June 21, 2019.</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ARCTURUS THERAPEUTICS LTD.</w:t>
      </w:r>
    </w:p>
    <w:p>
      <w:pPr>
        <w:spacing w:after="0" w:line="225"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tab/>
        <w:t>/s/ Joseph E. Payne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Joseph E. Payne and Dr.</w:t>
      </w:r>
      <w:r>
        <w:rPr>
          <w:rFonts w:ascii="Arial" w:cs="Arial" w:eastAsia="Arial" w:hAnsi="Arial"/>
          <w:sz w:val="16"/>
          <w:szCs w:val="16"/>
          <w:b w:val="1"/>
          <w:bCs w:val="1"/>
          <w:color w:val="auto"/>
        </w:rPr>
        <w:t xml:space="preserve"> </w:t>
      </w:r>
      <w:r>
        <w:rPr>
          <w:rFonts w:ascii="Arial" w:cs="Arial" w:eastAsia="Arial" w:hAnsi="Arial"/>
          <w:sz w:val="16"/>
          <w:szCs w:val="16"/>
          <w:color w:val="auto"/>
        </w:rPr>
        <w:t>Padmanabh Chivukula, and each of them acting individually, as his or her true and lawful attorneys-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900" w:type="dxa"/>
            <w:vAlign w:val="bottom"/>
          </w:tcPr>
          <w:p>
            <w:pPr>
              <w:jc w:val="center"/>
              <w:ind w:left="410"/>
              <w:spacing w:after="0"/>
              <w:rPr>
                <w:sz w:val="20"/>
                <w:szCs w:val="20"/>
                <w:color w:val="auto"/>
              </w:rPr>
            </w:pPr>
            <w:r>
              <w:rPr>
                <w:rFonts w:ascii="Arial" w:cs="Arial" w:eastAsia="Arial" w:hAnsi="Arial"/>
                <w:sz w:val="18"/>
                <w:szCs w:val="18"/>
                <w:b w:val="1"/>
                <w:bCs w:val="1"/>
                <w:color w:val="auto"/>
                <w:w w:val="97"/>
              </w:rPr>
              <w:t>Title</w:t>
            </w:r>
          </w:p>
        </w:tc>
        <w:tc>
          <w:tcPr>
            <w:tcW w:w="188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5900" w:type="dxa"/>
            <w:vAlign w:val="bottom"/>
          </w:tcPr>
          <w:p>
            <w:pPr>
              <w:jc w:val="center"/>
              <w:ind w:left="330"/>
              <w:spacing w:after="0"/>
              <w:rPr>
                <w:sz w:val="20"/>
                <w:szCs w:val="20"/>
                <w:color w:val="auto"/>
              </w:rPr>
            </w:pPr>
            <w:r>
              <w:rPr>
                <w:rFonts w:ascii="Arial" w:cs="Arial" w:eastAsia="Arial" w:hAnsi="Arial"/>
                <w:sz w:val="18"/>
                <w:szCs w:val="18"/>
                <w:color w:val="auto"/>
                <w:w w:val="92"/>
              </w:rPr>
              <w:t>President, Chief Executive Officer</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85"/>
              </w:rPr>
              <w:t>Joseph E. Payne</w:t>
            </w:r>
          </w:p>
        </w:tc>
        <w:tc>
          <w:tcPr>
            <w:tcW w:w="5900" w:type="dxa"/>
            <w:vAlign w:val="bottom"/>
            <w:vMerge w:val="restart"/>
          </w:tcPr>
          <w:p>
            <w:pPr>
              <w:jc w:val="center"/>
              <w:ind w:left="33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Padmanabh Chivukula*</w:t>
            </w:r>
          </w:p>
        </w:tc>
        <w:tc>
          <w:tcPr>
            <w:tcW w:w="5900" w:type="dxa"/>
            <w:vAlign w:val="bottom"/>
          </w:tcPr>
          <w:p>
            <w:pPr>
              <w:jc w:val="center"/>
              <w:ind w:left="350"/>
              <w:spacing w:after="0"/>
              <w:rPr>
                <w:sz w:val="20"/>
                <w:szCs w:val="20"/>
                <w:color w:val="auto"/>
              </w:rPr>
            </w:pPr>
            <w:r>
              <w:rPr>
                <w:rFonts w:ascii="Arial" w:cs="Arial" w:eastAsia="Arial" w:hAnsi="Arial"/>
                <w:sz w:val="18"/>
                <w:szCs w:val="18"/>
                <w:color w:val="auto"/>
                <w:w w:val="95"/>
              </w:rPr>
              <w:t>Chief Scientific Officer,</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1"/>
              </w:rPr>
              <w:t>Dr. Padmanabh Chivukula</w:t>
            </w:r>
          </w:p>
        </w:tc>
        <w:tc>
          <w:tcPr>
            <w:tcW w:w="590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Chief Operating Officer and Secretary</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Peter Ferrell*</w:t>
            </w:r>
          </w:p>
        </w:tc>
        <w:tc>
          <w:tcPr>
            <w:tcW w:w="5900" w:type="dxa"/>
            <w:vAlign w:val="bottom"/>
            <w:vMerge w:val="restart"/>
          </w:tcPr>
          <w:p>
            <w:pPr>
              <w:jc w:val="center"/>
              <w:ind w:left="350"/>
              <w:spacing w:after="0"/>
              <w:rPr>
                <w:sz w:val="20"/>
                <w:szCs w:val="20"/>
                <w:color w:val="auto"/>
              </w:rPr>
            </w:pPr>
            <w:r>
              <w:rPr>
                <w:rFonts w:ascii="Arial" w:cs="Arial" w:eastAsia="Arial" w:hAnsi="Arial"/>
                <w:sz w:val="18"/>
                <w:szCs w:val="18"/>
                <w:color w:val="auto"/>
                <w:w w:val="91"/>
              </w:rPr>
              <w:t>Chairman of the Board</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0"/>
              </w:rPr>
              <w:t>Dr. Peter Farrell</w:t>
            </w:r>
          </w:p>
        </w:tc>
        <w:tc>
          <w:tcPr>
            <w:tcW w:w="59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Andrew Sassine*</w:t>
            </w:r>
          </w:p>
        </w:tc>
        <w:tc>
          <w:tcPr>
            <w:tcW w:w="5900" w:type="dxa"/>
            <w:vAlign w:val="bottom"/>
          </w:tcPr>
          <w:p>
            <w:pPr>
              <w:jc w:val="center"/>
              <w:ind w:left="330"/>
              <w:spacing w:after="0"/>
              <w:rPr>
                <w:sz w:val="20"/>
                <w:szCs w:val="20"/>
                <w:color w:val="auto"/>
              </w:rPr>
            </w:pPr>
            <w:r>
              <w:rPr>
                <w:rFonts w:ascii="Arial" w:cs="Arial" w:eastAsia="Arial" w:hAnsi="Arial"/>
                <w:sz w:val="18"/>
                <w:szCs w:val="18"/>
                <w:color w:val="auto"/>
                <w:w w:val="94"/>
              </w:rPr>
              <w:t>Chief Financial Officer</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89"/>
              </w:rPr>
              <w:t>Andrew Sassine</w:t>
            </w:r>
          </w:p>
        </w:tc>
        <w:tc>
          <w:tcPr>
            <w:tcW w:w="5900" w:type="dxa"/>
            <w:vAlign w:val="bottom"/>
            <w:vMerge w:val="restart"/>
          </w:tcPr>
          <w:p>
            <w:pPr>
              <w:jc w:val="center"/>
              <w:ind w:left="35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Magda Marquet*</w:t>
            </w:r>
          </w:p>
        </w:tc>
        <w:tc>
          <w:tcPr>
            <w:tcW w:w="5900" w:type="dxa"/>
            <w:vAlign w:val="bottom"/>
            <w:vMerge w:val="restart"/>
          </w:tcPr>
          <w:p>
            <w:pPr>
              <w:jc w:val="center"/>
              <w:ind w:left="330"/>
              <w:spacing w:after="0"/>
              <w:rPr>
                <w:sz w:val="20"/>
                <w:szCs w:val="20"/>
                <w:color w:val="auto"/>
              </w:rPr>
            </w:pPr>
            <w:r>
              <w:rPr>
                <w:rFonts w:ascii="Arial" w:cs="Arial" w:eastAsia="Arial" w:hAnsi="Arial"/>
                <w:sz w:val="18"/>
                <w:szCs w:val="18"/>
                <w:color w:val="auto"/>
                <w:w w:val="95"/>
              </w:rPr>
              <w:t>Director</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Dr. Magda Marquet</w:t>
            </w:r>
          </w:p>
        </w:tc>
        <w:tc>
          <w:tcPr>
            <w:tcW w:w="59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Barlow*</w:t>
            </w:r>
          </w:p>
        </w:tc>
        <w:tc>
          <w:tcPr>
            <w:tcW w:w="5900" w:type="dxa"/>
            <w:vAlign w:val="bottom"/>
            <w:vMerge w:val="restart"/>
          </w:tcPr>
          <w:p>
            <w:pPr>
              <w:jc w:val="center"/>
              <w:ind w:left="330"/>
              <w:spacing w:after="0"/>
              <w:rPr>
                <w:sz w:val="20"/>
                <w:szCs w:val="20"/>
                <w:color w:val="auto"/>
              </w:rPr>
            </w:pPr>
            <w:r>
              <w:rPr>
                <w:rFonts w:ascii="Arial" w:cs="Arial" w:eastAsia="Arial" w:hAnsi="Arial"/>
                <w:sz w:val="18"/>
                <w:szCs w:val="18"/>
                <w:color w:val="auto"/>
                <w:w w:val="95"/>
              </w:rPr>
              <w:t>Director</w:t>
            </w:r>
          </w:p>
        </w:tc>
        <w:tc>
          <w:tcPr>
            <w:tcW w:w="1880" w:type="dxa"/>
            <w:vAlign w:val="bottom"/>
            <w:vMerge w:val="restart"/>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88"/>
              </w:rPr>
              <w:t>James Barlow</w:t>
            </w:r>
          </w:p>
        </w:tc>
        <w:tc>
          <w:tcPr>
            <w:tcW w:w="59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Karah Parschauer*</w:t>
            </w:r>
          </w:p>
        </w:tc>
        <w:tc>
          <w:tcPr>
            <w:tcW w:w="5900" w:type="dxa"/>
            <w:vAlign w:val="bottom"/>
            <w:vMerge w:val="restart"/>
          </w:tcPr>
          <w:p>
            <w:pPr>
              <w:jc w:val="center"/>
              <w:ind w:left="330"/>
              <w:spacing w:after="0"/>
              <w:rPr>
                <w:sz w:val="20"/>
                <w:szCs w:val="20"/>
                <w:color w:val="auto"/>
              </w:rPr>
            </w:pPr>
            <w:r>
              <w:rPr>
                <w:rFonts w:ascii="Arial" w:cs="Arial" w:eastAsia="Arial" w:hAnsi="Arial"/>
                <w:sz w:val="18"/>
                <w:szCs w:val="18"/>
                <w:color w:val="auto"/>
                <w:w w:val="95"/>
              </w:rPr>
              <w:t>Director</w:t>
            </w:r>
          </w:p>
        </w:tc>
        <w:tc>
          <w:tcPr>
            <w:tcW w:w="1880" w:type="dxa"/>
            <w:vAlign w:val="bottom"/>
            <w:vMerge w:val="restart"/>
          </w:tcPr>
          <w:p>
            <w:pPr>
              <w:ind w:left="840"/>
              <w:spacing w:after="0"/>
              <w:rPr>
                <w:sz w:val="20"/>
                <w:szCs w:val="20"/>
                <w:color w:val="auto"/>
              </w:rPr>
            </w:pPr>
            <w:r>
              <w:rPr>
                <w:rFonts w:ascii="Arial" w:cs="Arial" w:eastAsia="Arial" w:hAnsi="Arial"/>
                <w:sz w:val="18"/>
                <w:szCs w:val="18"/>
                <w:color w:val="auto"/>
                <w:w w:val="89"/>
              </w:rPr>
              <w:t>June 25, 2019</w:t>
            </w: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88"/>
              </w:rPr>
              <w:t>Karah Parschauer</w:t>
            </w:r>
          </w:p>
        </w:tc>
        <w:tc>
          <w:tcPr>
            <w:tcW w:w="59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80" w:type="dxa"/>
            <w:vAlign w:val="bottom"/>
            <w:vMerge w:val="continue"/>
          </w:tcPr>
          <w:p>
            <w:pPr>
              <w:spacing w:after="0"/>
              <w:rPr>
                <w:sz w:val="11"/>
                <w:szCs w:val="11"/>
                <w:color w:val="auto"/>
              </w:rPr>
            </w:pPr>
          </w:p>
        </w:tc>
        <w:tc>
          <w:tcPr>
            <w:tcW w:w="5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Keith Kummerfeld*</w:t>
            </w:r>
          </w:p>
        </w:tc>
        <w:tc>
          <w:tcPr>
            <w:tcW w:w="5900" w:type="dxa"/>
            <w:vAlign w:val="bottom"/>
          </w:tcPr>
          <w:p>
            <w:pPr>
              <w:jc w:val="center"/>
              <w:ind w:left="410"/>
              <w:spacing w:after="0"/>
              <w:rPr>
                <w:sz w:val="20"/>
                <w:szCs w:val="20"/>
                <w:color w:val="auto"/>
              </w:rPr>
            </w:pPr>
            <w:r>
              <w:rPr>
                <w:rFonts w:ascii="Arial" w:cs="Arial" w:eastAsia="Arial" w:hAnsi="Arial"/>
                <w:sz w:val="18"/>
                <w:szCs w:val="18"/>
                <w:color w:val="auto"/>
                <w:w w:val="91"/>
              </w:rPr>
              <w:t>Vice President of Finance and Corporate Controller</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3"/>
              </w:rPr>
              <w:t>Keith C. Kummerfeld</w:t>
            </w:r>
          </w:p>
        </w:tc>
        <w:tc>
          <w:tcPr>
            <w:tcW w:w="5900" w:type="dxa"/>
            <w:vAlign w:val="bottom"/>
          </w:tcPr>
          <w:p>
            <w:pPr>
              <w:jc w:val="center"/>
              <w:ind w:left="430"/>
              <w:spacing w:after="0"/>
              <w:rPr>
                <w:sz w:val="20"/>
                <w:szCs w:val="20"/>
                <w:color w:val="auto"/>
              </w:rPr>
            </w:pPr>
            <w:r>
              <w:rPr>
                <w:rFonts w:ascii="Arial" w:cs="Arial" w:eastAsia="Arial" w:hAnsi="Arial"/>
                <w:sz w:val="18"/>
                <w:szCs w:val="18"/>
                <w:i w:val="1"/>
                <w:iCs w:val="1"/>
                <w:color w:val="auto"/>
                <w:w w:val="95"/>
              </w:rPr>
              <w:t>(principal accounting officer)</w:t>
            </w:r>
          </w:p>
        </w:tc>
        <w:tc>
          <w:tcPr>
            <w:tcW w:w="1880" w:type="dxa"/>
            <w:vAlign w:val="bottom"/>
          </w:tcPr>
          <w:p>
            <w:pPr>
              <w:jc w:val="center"/>
              <w:ind w:left="790"/>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 Pursuant to Power of Attorney</w:t>
            </w:r>
          </w:p>
        </w:tc>
        <w:tc>
          <w:tcPr>
            <w:tcW w:w="5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By: /s/ Joseph E. Payne</w:t>
            </w:r>
          </w:p>
        </w:tc>
        <w:tc>
          <w:tcPr>
            <w:tcW w:w="5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Joseph E. Payne</w:t>
            </w:r>
          </w:p>
        </w:tc>
        <w:tc>
          <w:tcPr>
            <w:tcW w:w="5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380"/>
          </w:cols>
          <w:pgMar w:left="240" w:top="337" w:right="2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4.9</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ARCTURUS THERAPEUTICS HOLDINGS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Trustee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 20</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561975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140" w:type="dxa"/>
            <w:vAlign w:val="bottom"/>
            <w:gridSpan w:val="3"/>
          </w:tcPr>
          <w:p>
            <w:pPr>
              <w:ind w:left="140"/>
              <w:spacing w:after="0"/>
              <w:rPr>
                <w:sz w:val="20"/>
                <w:szCs w:val="20"/>
                <w:color w:val="auto"/>
              </w:rPr>
            </w:pPr>
            <w:r>
              <w:rPr>
                <w:rFonts w:ascii="Arial" w:cs="Arial" w:eastAsia="Arial" w:hAnsi="Arial"/>
                <w:sz w:val="18"/>
                <w:szCs w:val="18"/>
                <w:b w:val="1"/>
                <w:bCs w:val="1"/>
                <w:color w:val="auto"/>
              </w:rPr>
              <w:t>CROSS-REFERENCE TABLE(1)</w:t>
            </w:r>
          </w:p>
        </w:tc>
        <w:tc>
          <w:tcPr>
            <w:tcW w:w="0" w:type="dxa"/>
            <w:vAlign w:val="bottom"/>
          </w:tcPr>
          <w:p>
            <w:pPr>
              <w:spacing w:after="0"/>
              <w:rPr>
                <w:sz w:val="1"/>
                <w:szCs w:val="1"/>
                <w:color w:val="auto"/>
              </w:rPr>
            </w:pPr>
          </w:p>
        </w:tc>
      </w:tr>
      <w:tr>
        <w:trPr>
          <w:trHeight w:val="324"/>
        </w:trPr>
        <w:tc>
          <w:tcPr>
            <w:tcW w:w="4180" w:type="dxa"/>
            <w:vAlign w:val="bottom"/>
          </w:tcPr>
          <w:p>
            <w:pPr>
              <w:jc w:val="center"/>
              <w:ind w:left="1410"/>
              <w:spacing w:after="0"/>
              <w:rPr>
                <w:sz w:val="20"/>
                <w:szCs w:val="20"/>
                <w:color w:val="auto"/>
              </w:rPr>
            </w:pPr>
            <w:r>
              <w:rPr>
                <w:rFonts w:ascii="Arial" w:cs="Arial" w:eastAsia="Arial" w:hAnsi="Arial"/>
                <w:sz w:val="18"/>
                <w:szCs w:val="18"/>
                <w:b w:val="1"/>
                <w:bCs w:val="1"/>
                <w:color w:val="auto"/>
              </w:rPr>
              <w:t>SECTION OF</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tcPr>
          <w:p>
            <w:pPr>
              <w:jc w:val="center"/>
              <w:ind w:left="1410"/>
              <w:spacing w:after="0"/>
              <w:rPr>
                <w:sz w:val="20"/>
                <w:szCs w:val="20"/>
                <w:color w:val="auto"/>
              </w:rPr>
            </w:pPr>
            <w:r>
              <w:rPr>
                <w:rFonts w:ascii="Arial" w:cs="Arial" w:eastAsia="Arial" w:hAnsi="Arial"/>
                <w:sz w:val="18"/>
                <w:szCs w:val="18"/>
                <w:b w:val="1"/>
                <w:bCs w:val="1"/>
                <w:color w:val="auto"/>
              </w:rPr>
              <w:t>TRUST INDENTURE</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8"/>
              </w:rPr>
              <w:t>SECTION(S) OF</w:t>
            </w:r>
          </w:p>
        </w:tc>
        <w:tc>
          <w:tcPr>
            <w:tcW w:w="0" w:type="dxa"/>
            <w:vAlign w:val="bottom"/>
          </w:tcPr>
          <w:p>
            <w:pPr>
              <w:spacing w:after="0"/>
              <w:rPr>
                <w:sz w:val="1"/>
                <w:szCs w:val="1"/>
                <w:color w:val="auto"/>
              </w:rPr>
            </w:pPr>
          </w:p>
        </w:tc>
      </w:tr>
      <w:tr>
        <w:trPr>
          <w:trHeight w:val="324"/>
        </w:trPr>
        <w:tc>
          <w:tcPr>
            <w:tcW w:w="4180" w:type="dxa"/>
            <w:vAlign w:val="bottom"/>
          </w:tcPr>
          <w:p>
            <w:pPr>
              <w:jc w:val="center"/>
              <w:ind w:left="1410"/>
              <w:spacing w:after="0"/>
              <w:rPr>
                <w:sz w:val="20"/>
                <w:szCs w:val="20"/>
                <w:color w:val="auto"/>
              </w:rPr>
            </w:pPr>
            <w:r>
              <w:rPr>
                <w:rFonts w:ascii="Arial" w:cs="Arial" w:eastAsia="Arial" w:hAnsi="Arial"/>
                <w:sz w:val="18"/>
                <w:szCs w:val="18"/>
                <w:b w:val="1"/>
                <w:bCs w:val="1"/>
                <w:color w:val="auto"/>
                <w:w w:val="97"/>
              </w:rPr>
              <w:t>ACT OF 1939, AS AMENDED</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rPr>
              <w:t>INDENTURE</w:t>
            </w:r>
          </w:p>
        </w:tc>
        <w:tc>
          <w:tcPr>
            <w:tcW w:w="0" w:type="dxa"/>
            <w:vAlign w:val="bottom"/>
          </w:tcPr>
          <w:p>
            <w:pPr>
              <w:spacing w:after="0"/>
              <w:rPr>
                <w:sz w:val="1"/>
                <w:szCs w:val="1"/>
                <w:color w:val="auto"/>
              </w:rPr>
            </w:pPr>
          </w:p>
        </w:tc>
      </w:tr>
      <w:tr>
        <w:trPr>
          <w:trHeight w:val="108"/>
        </w:trPr>
        <w:tc>
          <w:tcPr>
            <w:tcW w:w="4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5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310(a)</w:t>
            </w:r>
          </w:p>
        </w:tc>
        <w:tc>
          <w:tcPr>
            <w:tcW w:w="15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0" w:type="dxa"/>
            <w:vAlign w:val="bottom"/>
          </w:tcPr>
          <w:p>
            <w:pPr>
              <w:spacing w:after="0"/>
              <w:rPr>
                <w:sz w:val="1"/>
                <w:szCs w:val="1"/>
                <w:color w:val="auto"/>
              </w:rPr>
            </w:pPr>
          </w:p>
        </w:tc>
      </w:tr>
      <w:tr>
        <w:trPr>
          <w:trHeight w:val="310"/>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310(b)</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311(a)</w:t>
            </w:r>
          </w:p>
        </w:tc>
        <w:tc>
          <w:tcPr>
            <w:tcW w:w="7140" w:type="dxa"/>
            <w:vAlign w:val="bottom"/>
            <w:gridSpan w:val="3"/>
          </w:tcPr>
          <w:p>
            <w:pPr>
              <w:jc w:val="center"/>
              <w:ind w:left="1650"/>
              <w:spacing w:after="0"/>
              <w:rPr>
                <w:sz w:val="20"/>
                <w:szCs w:val="20"/>
                <w:color w:val="auto"/>
              </w:rPr>
            </w:pPr>
            <w:r>
              <w:rPr>
                <w:rFonts w:ascii="Arial" w:cs="Arial" w:eastAsia="Arial" w:hAnsi="Arial"/>
                <w:sz w:val="18"/>
                <w:szCs w:val="18"/>
                <w:color w:val="auto"/>
                <w:w w:val="91"/>
              </w:rPr>
              <w:t>7.13</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311(b)</w:t>
            </w:r>
          </w:p>
        </w:tc>
        <w:tc>
          <w:tcPr>
            <w:tcW w:w="7140" w:type="dxa"/>
            <w:vAlign w:val="bottom"/>
            <w:gridSpan w:val="3"/>
          </w:tcPr>
          <w:p>
            <w:pPr>
              <w:jc w:val="center"/>
              <w:ind w:left="1650"/>
              <w:spacing w:after="0"/>
              <w:rPr>
                <w:sz w:val="20"/>
                <w:szCs w:val="20"/>
                <w:color w:val="auto"/>
              </w:rPr>
            </w:pPr>
            <w:r>
              <w:rPr>
                <w:rFonts w:ascii="Arial" w:cs="Arial" w:eastAsia="Arial" w:hAnsi="Arial"/>
                <w:sz w:val="18"/>
                <w:szCs w:val="18"/>
                <w:color w:val="auto"/>
                <w:w w:val="91"/>
              </w:rPr>
              <w:t>7.13</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312(a)</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5.1, 5.2(a)</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312(b)</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5.2(b)</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312(c)</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5.2(c)</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313(a)</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313(b)</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313(c)</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313(d)</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314(a)</w:t>
            </w:r>
          </w:p>
        </w:tc>
        <w:tc>
          <w:tcPr>
            <w:tcW w:w="7140" w:type="dxa"/>
            <w:vAlign w:val="bottom"/>
            <w:gridSpan w:val="3"/>
          </w:tcPr>
          <w:p>
            <w:pPr>
              <w:jc w:val="center"/>
              <w:ind w:left="1650"/>
              <w:spacing w:after="0"/>
              <w:rPr>
                <w:sz w:val="20"/>
                <w:szCs w:val="20"/>
                <w:color w:val="auto"/>
              </w:rPr>
            </w:pPr>
            <w:r>
              <w:rPr>
                <w:rFonts w:ascii="Arial" w:cs="Arial" w:eastAsia="Arial" w:hAnsi="Arial"/>
                <w:sz w:val="18"/>
                <w:szCs w:val="18"/>
                <w:color w:val="auto"/>
                <w:w w:val="89"/>
              </w:rPr>
              <w:t>5.3, 14.12</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314(c)</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14.7(a)</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314(e)</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14.7(b)</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315(a)</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7.1</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315(b)</w:t>
            </w:r>
          </w:p>
        </w:tc>
        <w:tc>
          <w:tcPr>
            <w:tcW w:w="7140" w:type="dxa"/>
            <w:vAlign w:val="bottom"/>
            <w:gridSpan w:val="3"/>
          </w:tcPr>
          <w:p>
            <w:pPr>
              <w:jc w:val="center"/>
              <w:ind w:left="1650"/>
              <w:spacing w:after="0"/>
              <w:rPr>
                <w:sz w:val="20"/>
                <w:szCs w:val="20"/>
                <w:color w:val="auto"/>
              </w:rPr>
            </w:pPr>
            <w:r>
              <w:rPr>
                <w:rFonts w:ascii="Arial" w:cs="Arial" w:eastAsia="Arial" w:hAnsi="Arial"/>
                <w:sz w:val="18"/>
                <w:szCs w:val="18"/>
                <w:color w:val="auto"/>
                <w:w w:val="91"/>
              </w:rPr>
              <w:t>7.14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315(c)</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7.1</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315(d)</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7.1</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315(e)</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316(a)</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6.6, 8.4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316(b)</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316(c)</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317(a)</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317(b)</w:t>
            </w:r>
          </w:p>
        </w:tc>
        <w:tc>
          <w:tcPr>
            <w:tcW w:w="7140" w:type="dxa"/>
            <w:vAlign w:val="bottom"/>
            <w:gridSpan w:val="3"/>
          </w:tcPr>
          <w:p>
            <w:pPr>
              <w:jc w:val="center"/>
              <w:ind w:left="1630"/>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324"/>
        </w:trPr>
        <w:tc>
          <w:tcPr>
            <w:tcW w:w="4180" w:type="dxa"/>
            <w:vAlign w:val="bottom"/>
          </w:tcPr>
          <w:p>
            <w:pPr>
              <w:jc w:val="right"/>
              <w:ind w:right="1010"/>
              <w:spacing w:after="0"/>
              <w:rPr>
                <w:sz w:val="20"/>
                <w:szCs w:val="20"/>
                <w:color w:val="auto"/>
              </w:rPr>
            </w:pPr>
            <w:r>
              <w:rPr>
                <w:rFonts w:ascii="Arial" w:cs="Arial" w:eastAsia="Arial" w:hAnsi="Arial"/>
                <w:sz w:val="18"/>
                <w:szCs w:val="18"/>
                <w:color w:val="auto"/>
              </w:rPr>
              <w:t>318(a)</w:t>
            </w:r>
          </w:p>
        </w:tc>
        <w:tc>
          <w:tcPr>
            <w:tcW w:w="7140" w:type="dxa"/>
            <w:vAlign w:val="bottom"/>
            <w:gridSpan w:val="3"/>
          </w:tcPr>
          <w:p>
            <w:pPr>
              <w:jc w:val="center"/>
              <w:ind w:left="1650"/>
              <w:spacing w:after="0"/>
              <w:rPr>
                <w:sz w:val="20"/>
                <w:szCs w:val="20"/>
                <w:color w:val="auto"/>
              </w:rPr>
            </w:pPr>
            <w:r>
              <w:rPr>
                <w:rFonts w:ascii="Arial" w:cs="Arial" w:eastAsia="Arial" w:hAnsi="Arial"/>
                <w:sz w:val="18"/>
                <w:szCs w:val="18"/>
                <w:color w:val="auto"/>
                <w:w w:val="91"/>
              </w:rPr>
              <w:t>14.9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40" w:hanging="795"/>
        <w:spacing w:after="0" w:line="277"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730885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20" w:top="351" w:right="259" w:bottom="1440" w:gutter="0" w:footer="0" w:header="0"/>
        </w:sectPr>
      </w:pPr>
    </w:p>
    <w:bookmarkStart w:id="34" w:name="page35"/>
    <w:bookmarkEnd w:id="34"/>
    <w:p>
      <w:pPr>
        <w:jc w:val="center"/>
        <w:ind w:right="14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spacing w:after="0"/>
              <w:rPr>
                <w:sz w:val="18"/>
                <w:szCs w:val="18"/>
                <w:color w:val="auto"/>
              </w:rPr>
            </w:pPr>
          </w:p>
        </w:tc>
        <w:tc>
          <w:tcPr>
            <w:tcW w:w="8560" w:type="dxa"/>
            <w:vAlign w:val="bottom"/>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1.1</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 of Terms.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1.2</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Incorporation by Reference of Trust Indenture Act.</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II ISSUE, DESCRIPTION, TERMS, EXECUTION, REGISTRATION AND EXCHANGE OF SECURITIES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2.1</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Designation and Terms of Securities.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2.2</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Form of Securities and Trustee’s Certificate.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2.3</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Denominations; Provisions for Payment.</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2.4</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Execution and Authentication.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2.5</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Registration of Transfer and Exchange.</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2.6</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Temporary Securities.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2.7</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Mutilated, Destroyed, Lost or Stolen Securities.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2.8</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Cancellation.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2.9</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Benefits of Indenture.</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2.10</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Authenticating Agent.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2.11</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Global Securities.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2.12</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Cusip and Isin Numbers.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REDEMPTION OF SECURITIES AND SINKING FUND PROVISIONS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spacing w:after="0"/>
              <w:rPr>
                <w:sz w:val="18"/>
                <w:szCs w:val="18"/>
                <w:color w:val="auto"/>
              </w:rPr>
            </w:pPr>
          </w:p>
        </w:tc>
        <w:tc>
          <w:tcPr>
            <w:tcW w:w="8560" w:type="dxa"/>
            <w:vAlign w:val="bottom"/>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3.1</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Redemption.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3.2</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Notice of Redemption.</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3.3</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upon Redemption.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3.4</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Sinking Fund.</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3.5</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3.6</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IV COVENANTS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4.1</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Payment of Principal, Premium and Interest.</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4.2</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Paying Agent and Security Registrar.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4.3</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Appointment to Fill Vacancy in Office of Trustee.</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4.4</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Compliance with Consolidation Provisions.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SECURITYHOLDERS’ LISTS AND REPORTS BY THE COMPANY AND THE TRUSTEE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spacing w:after="0"/>
              <w:rPr>
                <w:sz w:val="18"/>
                <w:szCs w:val="18"/>
                <w:color w:val="auto"/>
              </w:rPr>
            </w:pPr>
          </w:p>
        </w:tc>
        <w:tc>
          <w:tcPr>
            <w:tcW w:w="8560" w:type="dxa"/>
            <w:vAlign w:val="bottom"/>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5.1</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5.2</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Preservation of Information; Communications with Securityholders.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5.3</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Reports by the Company.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5.4</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Reports by the Trustee.</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REMEDIES OF THE TRUSTEE AND SECURITYHOLDERS ON EVENT OF DEFAULT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spacing w:after="0"/>
              <w:rPr>
                <w:sz w:val="18"/>
                <w:szCs w:val="18"/>
                <w:color w:val="auto"/>
              </w:rPr>
            </w:pPr>
          </w:p>
        </w:tc>
        <w:tc>
          <w:tcPr>
            <w:tcW w:w="8560" w:type="dxa"/>
            <w:vAlign w:val="bottom"/>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6.1</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Events of Default.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6.2</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Collection of Indebtedness and Suits for Enforcement by Trustee.</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6.3</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Application of Moneys Collected.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6.4</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Limitation on Suits.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6.5</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Rights and Remedies Cumulative; Delay or Omission not Waiver.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6.6</w:t>
            </w:r>
          </w:p>
        </w:tc>
        <w:tc>
          <w:tcPr>
            <w:tcW w:w="856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Control by Securityholders.</w:t>
            </w:r>
          </w:p>
        </w:tc>
        <w:tc>
          <w:tcPr>
            <w:tcW w:w="15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6.7</w:t>
            </w: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Undertaking to Pay Costs.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FEFEFE"/>
          </w:tcPr>
          <w:p>
            <w:pPr>
              <w:spacing w:after="0"/>
              <w:rPr>
                <w:sz w:val="18"/>
                <w:szCs w:val="18"/>
                <w:color w:val="auto"/>
              </w:rPr>
            </w:pPr>
          </w:p>
        </w:tc>
        <w:tc>
          <w:tcPr>
            <w:tcW w:w="8560" w:type="dxa"/>
            <w:vAlign w:val="bottom"/>
            <w:shd w:val="clear" w:color="auto" w:fill="FEFEFE"/>
          </w:tcPr>
          <w:p>
            <w:pPr>
              <w:spacing w:after="0"/>
              <w:rPr>
                <w:sz w:val="18"/>
                <w:szCs w:val="18"/>
                <w:color w:val="auto"/>
              </w:rPr>
            </w:pPr>
          </w:p>
        </w:tc>
        <w:tc>
          <w:tcPr>
            <w:tcW w:w="1520" w:type="dxa"/>
            <w:vAlign w:val="bottom"/>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320" w:top="364" w:right="1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CONCERNING THE TRUSTEE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8700" w:type="dxa"/>
            <w:vAlign w:val="bottom"/>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Certain Duties and Responsibilities of Trustee.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Certain Rights of Trustee.</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Trustee not Responsible for Recitals or Issuance or Securities.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7.4</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May Hold Securities and Otherwise Deal with the Company.</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7.5</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Moneys Held in Trust.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7.6</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Compensation and Reimbursement.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7.7</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Reliance on Officer’s Certificate.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7.8</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Disqualification; Conflicting Interests.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7.9</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Trustee Required; Eligibility.</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7.10</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Resignation and Removal; Appointment of Successor.</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7.11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Acceptance of Appointment by Successor.</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7.12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Merger, Conversion, Consolidation or Succession to Business.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7.13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Collection of Claims Against the Company.</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7.14</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Notice of Default.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7.15</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Limitation of Liability</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CONCERNING THE SECURITYHOLDERS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8700" w:type="dxa"/>
            <w:vAlign w:val="bottom"/>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8.1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Evidence of Action by Securityholders.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8.2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Proof of Execution by Securityholders.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8.3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Who may be Deemed Owners.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8.4</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Certain Securities Owned by Company Disregarded.</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8.5</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Actions Binding on Future Securityholders.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SUPPLEMENTAL INDENTURES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8700" w:type="dxa"/>
            <w:vAlign w:val="bottom"/>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9.1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Supplemental Indentures without the Consent of Securityholders.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9.2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Supplemental Indentures with the Consent of Securityholders.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9.3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Supplemental Indentures.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9.4</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Securities Affected by Supplemental Indentures.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9.5</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Execution of Supplemental Indentures.</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SUCCESSOR ENTITY</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8700" w:type="dxa"/>
            <w:vAlign w:val="bottom"/>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10.1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Company may Consolidate, etc.</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10.2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Successor Entity Substituted.</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10.3</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Evidence of Consolidation, etc. To Trustee.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spacing w:after="0"/>
              <w:rPr>
                <w:sz w:val="18"/>
                <w:szCs w:val="18"/>
                <w:color w:val="auto"/>
              </w:rPr>
            </w:pPr>
          </w:p>
        </w:tc>
        <w:tc>
          <w:tcPr>
            <w:tcW w:w="8700" w:type="dxa"/>
            <w:vAlign w:val="bottom"/>
            <w:shd w:val="clear" w:color="auto" w:fill="FEFEFE"/>
          </w:tcPr>
          <w:p>
            <w:pPr>
              <w:spacing w:after="0"/>
              <w:rPr>
                <w:sz w:val="18"/>
                <w:szCs w:val="18"/>
                <w:color w:val="auto"/>
              </w:rPr>
            </w:pPr>
          </w:p>
        </w:tc>
        <w:tc>
          <w:tcPr>
            <w:tcW w:w="1380" w:type="dxa"/>
            <w:vAlign w:val="bottom"/>
            <w:tcBorders>
              <w:right w:val="single" w:sz="8" w:color="FEFEFE"/>
            </w:tcBorders>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11.1</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and Discharge of Indenture.</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11.2</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Application of Trust Money.</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XII LEGAL DEFEASANCE AND COVENANT DEFEASANCE</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12.1</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Option to Effect Legal Defeasance or Covenant Defeasance</w:t>
            </w:r>
            <w:r>
              <w:rPr>
                <w:rFonts w:ascii="Arial" w:cs="Arial" w:eastAsia="Arial" w:hAnsi="Arial"/>
                <w:sz w:val="18"/>
                <w:szCs w:val="18"/>
                <w:i w:val="1"/>
                <w:iCs w:val="1"/>
                <w:color w:val="auto"/>
              </w:rPr>
              <w: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12.2</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Legal Defeasance and Discharge</w:t>
            </w:r>
            <w:r>
              <w:rPr>
                <w:rFonts w:ascii="Arial" w:cs="Arial" w:eastAsia="Arial" w:hAnsi="Arial"/>
                <w:sz w:val="18"/>
                <w:szCs w:val="18"/>
                <w:i w:val="1"/>
                <w:iCs w:val="1"/>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12.3</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Covenant Defeasance</w:t>
            </w:r>
            <w:r>
              <w:rPr>
                <w:rFonts w:ascii="Arial" w:cs="Arial" w:eastAsia="Arial" w:hAnsi="Arial"/>
                <w:sz w:val="18"/>
                <w:szCs w:val="18"/>
                <w:i w:val="1"/>
                <w:iCs w:val="1"/>
                <w:color w:val="auto"/>
              </w:rPr>
              <w: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12.4</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Conditions to Legal or Covenant Defeasance</w:t>
            </w:r>
            <w:r>
              <w:rPr>
                <w:rFonts w:ascii="Arial" w:cs="Arial" w:eastAsia="Arial" w:hAnsi="Arial"/>
                <w:sz w:val="18"/>
                <w:szCs w:val="18"/>
                <w:i w:val="1"/>
                <w:iCs w:val="1"/>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12.5</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r>
              <w:rPr>
                <w:rFonts w:ascii="Arial" w:cs="Arial" w:eastAsia="Arial" w:hAnsi="Arial"/>
                <w:sz w:val="18"/>
                <w:szCs w:val="18"/>
                <w:i w:val="1"/>
                <w:iCs w:val="1"/>
                <w:color w:val="auto"/>
              </w:rPr>
              <w: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12.6</w:t>
            </w: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to Company</w:t>
            </w:r>
            <w:r>
              <w:rPr>
                <w:rFonts w:ascii="Arial" w:cs="Arial" w:eastAsia="Arial" w:hAnsi="Arial"/>
                <w:sz w:val="18"/>
                <w:szCs w:val="18"/>
                <w:i w:val="1"/>
                <w:iCs w:val="1"/>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12.7</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Reinstatement.</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002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XIII IMMUNITY OF INCORPORATORS, STOCKHOLDERS, OFFICERS AND DIRECTORS</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32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13.1</w:t>
            </w:r>
          </w:p>
        </w:tc>
        <w:tc>
          <w:tcPr>
            <w:tcW w:w="8700" w:type="dxa"/>
            <w:vAlign w:val="bottom"/>
            <w:shd w:val="clear" w:color="auto" w:fill="FEFEFE"/>
          </w:tcPr>
          <w:p>
            <w:pPr>
              <w:ind w:left="400"/>
              <w:spacing w:after="0"/>
              <w:rPr>
                <w:sz w:val="20"/>
                <w:szCs w:val="20"/>
                <w:color w:val="auto"/>
              </w:rPr>
            </w:pPr>
            <w:r>
              <w:rPr>
                <w:rFonts w:ascii="Arial" w:cs="Arial" w:eastAsia="Arial" w:hAnsi="Arial"/>
                <w:sz w:val="18"/>
                <w:szCs w:val="18"/>
                <w:color w:val="auto"/>
              </w:rPr>
              <w:t>No Recourse.</w:t>
            </w:r>
          </w:p>
        </w:tc>
        <w:tc>
          <w:tcPr>
            <w:tcW w:w="1380" w:type="dxa"/>
            <w:vAlign w:val="bottom"/>
            <w:tcBorders>
              <w:right w:val="single" w:sz="8" w:color="FEFEFE"/>
            </w:tcBorders>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700" w:type="dxa"/>
            <w:vAlign w:val="bottom"/>
          </w:tcPr>
          <w:p>
            <w:pPr>
              <w:ind w:left="4240"/>
              <w:spacing w:after="0"/>
              <w:rPr>
                <w:sz w:val="20"/>
                <w:szCs w:val="20"/>
                <w:color w:val="auto"/>
              </w:rPr>
            </w:pPr>
            <w:r>
              <w:rPr>
                <w:rFonts w:ascii="Arial" w:cs="Arial" w:eastAsia="Arial" w:hAnsi="Arial"/>
                <w:sz w:val="18"/>
                <w:szCs w:val="18"/>
                <w:color w:val="auto"/>
              </w:rPr>
              <w:t>iv</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7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383" w:right="1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FEFEFE"/>
          </w:tcPr>
          <w:p>
            <w:pPr>
              <w:spacing w:after="0"/>
              <w:rPr>
                <w:sz w:val="20"/>
                <w:szCs w:val="20"/>
                <w:color w:val="auto"/>
              </w:rPr>
            </w:pPr>
            <w:r>
              <w:rPr>
                <w:rFonts w:ascii="Arial" w:cs="Arial" w:eastAsia="Arial" w:hAnsi="Arial"/>
                <w:sz w:val="18"/>
                <w:szCs w:val="18"/>
                <w:color w:val="auto"/>
              </w:rPr>
              <w:t>ARTICLE XIV MISCELLANEOUS PROVISIONS</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14.1</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Effect on Successors and Assigns.</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14.2</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Actions by Successor.</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14.3</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Surrender of Company Powers.</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14.4</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Notices.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14.5</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Governing Law/Waiver of Jury Trial.</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14.6</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Treatment of Securities as Debt.</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14.7</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Compliance Certificates and Opinions.</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14.8</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Business Days.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14.9</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Conflict with Trust Indenture Act.</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14.10</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Counterparts.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14.11</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Severability.</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14.12</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Compliance Certificates.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14.13</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Usa Patriot Act</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Section 14.14</w:t>
            </w:r>
          </w:p>
        </w:tc>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Consent to Jurisdiction and Service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FEFEFE"/>
          </w:tcPr>
          <w:p>
            <w:pPr>
              <w:ind w:left="40"/>
              <w:spacing w:after="0"/>
              <w:rPr>
                <w:sz w:val="20"/>
                <w:szCs w:val="20"/>
                <w:color w:val="auto"/>
              </w:rPr>
            </w:pPr>
            <w:r>
              <w:rPr>
                <w:rFonts w:ascii="Arial" w:cs="Arial" w:eastAsia="Arial" w:hAnsi="Arial"/>
                <w:sz w:val="18"/>
                <w:szCs w:val="18"/>
                <w:color w:val="auto"/>
              </w:rPr>
              <w:t>Section 14.15</w:t>
            </w:r>
          </w:p>
        </w:tc>
        <w:tc>
          <w:tcPr>
            <w:tcW w:w="6500" w:type="dxa"/>
            <w:vAlign w:val="bottom"/>
            <w:shd w:val="clear" w:color="auto" w:fill="FEFEFE"/>
          </w:tcPr>
          <w:p>
            <w:pPr>
              <w:ind w:left="360"/>
              <w:spacing w:after="0"/>
              <w:rPr>
                <w:sz w:val="20"/>
                <w:szCs w:val="20"/>
                <w:color w:val="auto"/>
              </w:rPr>
            </w:pPr>
            <w:r>
              <w:rPr>
                <w:rFonts w:ascii="Arial" w:cs="Arial" w:eastAsia="Arial" w:hAnsi="Arial"/>
                <w:sz w:val="18"/>
                <w:szCs w:val="18"/>
                <w:color w:val="auto"/>
              </w:rPr>
              <w:t>Force Majeure</w:t>
            </w:r>
          </w:p>
        </w:tc>
        <w:tc>
          <w:tcPr>
            <w:tcW w:w="35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320" w:top="383" w:right="179" w:bottom="1440" w:gutter="0" w:footer="0" w:header="0"/>
        </w:sectPr>
      </w:pPr>
    </w:p>
    <w:bookmarkStart w:id="37" w:name="page38"/>
    <w:bookmarkEnd w:id="37"/>
    <w:p>
      <w:pPr>
        <w:ind w:left="5180"/>
        <w:spacing w:after="0"/>
        <w:rPr>
          <w:sz w:val="20"/>
          <w:szCs w:val="20"/>
          <w:color w:val="auto"/>
        </w:rPr>
      </w:pPr>
      <w:r>
        <w:rPr>
          <w:rFonts w:ascii="Arial" w:cs="Arial" w:eastAsia="Arial" w:hAnsi="Arial"/>
          <w:sz w:val="18"/>
          <w:szCs w:val="18"/>
          <w:b w:val="1"/>
          <w:bCs w:val="1"/>
          <w:color w:val="auto"/>
        </w:rPr>
        <w:t>INDENTURE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INDENTURE, dated as of , 20 , among ARCTURUS THERAPEUTICS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 a national banking association organized under the laws of the United States,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14"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in an unlimited aggregate principal amount to be issued from time to time in one or more series as in this Indenture provided, as registered Securities without coupons, to be authenticated by the Trustee;</w:t>
      </w:r>
    </w:p>
    <w:p>
      <w:pPr>
        <w:spacing w:after="0" w:line="57"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12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color w:val="auto"/>
        </w:rPr>
        <w:t>DEFINITIONS OF TERMS.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Authenticating Agent</w:t>
      </w:r>
      <w:r>
        <w:rPr>
          <w:rFonts w:ascii="Arial" w:cs="Arial" w:eastAsia="Arial" w:hAnsi="Arial"/>
          <w:sz w:val="16"/>
          <w:szCs w:val="16"/>
          <w:color w:val="auto"/>
        </w:rPr>
        <w:t>” means an authenticating agent with respect to all or any of the series of Securities appointed by the Trustee pursuant to Section 2.10.</w:t>
      </w:r>
    </w:p>
    <w:p>
      <w:pPr>
        <w:spacing w:after="0" w:line="14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when used with respect to the Company, means the Chairman of the Board of Directors, the Co-Chief Executive Officers, the President, the Chief Operating Officer, the Chief Financial Officer, the Treasurer, any Assistant Treasurer, the Controller, the Secretary or any Executive Vice President or Senior Vice President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of such Board.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5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Arcturus Therapeutics Holdings Inc., a corporation duly organized and existing under the laws of the State of Delaware, and, subject to the provisions of Article X, shall also include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and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one or more Authorized Officers of the Company, and delivered to the Trustee.</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shall have the meaning set forth in Section 12.3.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act or condition that with notice or lapse of time, or both, would constitute an Event of Default.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with respect to Securities of a particular series, any event specified in Section 6.1, continued for the period of time, if any, therein designated.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Global Security</w:t>
      </w:r>
      <w:r>
        <w:rPr>
          <w:rFonts w:ascii="Arial" w:cs="Arial" w:eastAsia="Arial" w:hAnsi="Arial"/>
          <w:sz w:val="17"/>
          <w:szCs w:val="17"/>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Defeasance</w:t>
      </w:r>
      <w:r>
        <w:rPr>
          <w:rFonts w:ascii="Arial" w:cs="Arial" w:eastAsia="Arial" w:hAnsi="Arial"/>
          <w:sz w:val="18"/>
          <w:szCs w:val="18"/>
          <w:color w:val="auto"/>
        </w:rPr>
        <w:t>” shall have the meaning set forth in Section 12.2.</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set forth in Section 4.2(a).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when used with respect to any Security to be redeemed, means the date fixed for such redemption by or pursuant to this Indenture.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the recitals to this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registered holder</w:t>
      </w:r>
      <w:r>
        <w:rPr>
          <w:rFonts w:ascii="Arial" w:cs="Arial" w:eastAsia="Arial" w:hAnsi="Arial"/>
          <w:sz w:val="18"/>
          <w:szCs w:val="18"/>
          <w:color w:val="auto"/>
        </w:rPr>
        <w:t>,” or other similar term, means the Person or Persons in whose name or names a particular Security shall be registered on the Security Register in accordance with the terms of this Indenture.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shall have the meaning set forth in Section 4.2(a).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Registrar</w:t>
      </w:r>
      <w:r>
        <w:rPr>
          <w:rFonts w:ascii="Arial" w:cs="Arial" w:eastAsia="Arial" w:hAnsi="Arial"/>
          <w:sz w:val="18"/>
          <w:szCs w:val="18"/>
          <w:color w:val="auto"/>
        </w:rPr>
        <w:t>” shall have the meaning set forth in Section 4.2(a).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Officer</w:t>
      </w:r>
      <w:r>
        <w:rPr>
          <w:rFonts w:ascii="Arial" w:cs="Arial" w:eastAsia="Arial" w:hAnsi="Arial"/>
          <w:sz w:val="18"/>
          <w:szCs w:val="18"/>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New York Uniform Commercial Code as in effect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have the meaning set forth in Section 14.13.</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68"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color w:val="auto"/>
        </w:rPr>
        <w:t>INCORPORATION BY REFERENCE OF TRUST INDENTURE ACT.</w:t>
      </w:r>
    </w:p>
    <w:p>
      <w:pPr>
        <w:spacing w:after="0" w:line="12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Whenever this Indenture refers to a provision of the Trust Indenture Act, the provision is incorporated by reference in and made a part of this Indenture.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EXCHANGE OF SECURITIES</w:t>
      </w:r>
    </w:p>
    <w:p>
      <w:pPr>
        <w:sectPr>
          <w:pgSz w:w="11900" w:h="16838" w:orient="portrait"/>
          <w:cols w:equalWidth="0" w:num="1">
            <w:col w:w="11420"/>
          </w:cols>
          <w:pgMar w:left="240" w:top="368" w:right="239" w:bottom="1440" w:gutter="0" w:footer="0" w:header="0"/>
        </w:sectPr>
      </w:pP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SECTION 2.1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27" w:lineRule="exact"/>
        <w:rPr>
          <w:sz w:val="20"/>
          <w:szCs w:val="20"/>
          <w:color w:val="auto"/>
        </w:rPr>
      </w:pPr>
    </w:p>
    <w:p>
      <w:pPr>
        <w:sectPr>
          <w:pgSz w:w="11900" w:h="16838" w:orient="portrait"/>
          <w:cols w:equalWidth="0" w:num="5">
            <w:col w:w="1300" w:space="540"/>
            <w:col w:w="1260" w:space="400"/>
            <w:col w:w="400" w:space="400"/>
            <w:col w:w="640" w:space="400"/>
            <w:col w:w="6080"/>
          </w:cols>
          <w:pgMar w:left="240" w:top="368" w:right="239" w:bottom="1440" w:gutter="0" w:footer="0" w:header="0"/>
          <w:type w:val="continuous"/>
        </w:sectPr>
      </w:pPr>
    </w:p>
    <w:p>
      <w:pPr>
        <w:ind w:left="1840"/>
        <w:spacing w:after="0"/>
        <w:rPr>
          <w:sz w:val="20"/>
          <w:szCs w:val="20"/>
          <w:color w:val="auto"/>
        </w:rPr>
      </w:pPr>
      <w:r>
        <w:rPr>
          <w:rFonts w:ascii="Arial" w:cs="Arial" w:eastAsia="Arial" w:hAnsi="Arial"/>
          <w:sz w:val="17"/>
          <w:szCs w:val="17"/>
          <w:b w:val="1"/>
          <w:bCs w:val="1"/>
          <w:color w:val="auto"/>
        </w:rPr>
        <w:t>SECURITIES.</w:t>
      </w:r>
    </w:p>
    <w:p>
      <w:pPr>
        <w:sectPr>
          <w:pgSz w:w="11900" w:h="16838" w:orient="portrait"/>
          <w:cols w:equalWidth="0" w:num="1">
            <w:col w:w="11420"/>
          </w:cols>
          <w:pgMar w:left="240" w:top="368" w:right="239" w:bottom="1440" w:gutter="0" w:footer="0" w:header="0"/>
          <w:type w:val="continuous"/>
        </w:sectPr>
      </w:pP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63" w:lineRule="exact"/>
        <w:rPr>
          <w:sz w:val="20"/>
          <w:szCs w:val="20"/>
          <w:color w:val="auto"/>
        </w:rPr>
      </w:pPr>
    </w:p>
    <w:p>
      <w:pPr>
        <w:ind w:left="1080" w:hanging="25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jc w:val="both"/>
        <w:ind w:firstLine="823"/>
        <w:spacing w:after="0" w:line="264" w:lineRule="auto"/>
        <w:tabs>
          <w:tab w:leader="none" w:pos="10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right="20" w:firstLine="823"/>
        <w:spacing w:after="0" w:line="277" w:lineRule="auto"/>
        <w:tabs>
          <w:tab w:leader="none" w:pos="10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62" w:lineRule="exact"/>
        <w:rPr>
          <w:rFonts w:ascii="Arial" w:cs="Arial" w:eastAsia="Arial" w:hAnsi="Arial"/>
          <w:sz w:val="18"/>
          <w:szCs w:val="18"/>
          <w:color w:val="auto"/>
        </w:rPr>
      </w:pPr>
    </w:p>
    <w:p>
      <w:pPr>
        <w:ind w:firstLine="823"/>
        <w:spacing w:after="0" w:line="277" w:lineRule="auto"/>
        <w:tabs>
          <w:tab w:leader="none" w:pos="10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 and whether the rate(s) are fixed or variable;</w:t>
      </w:r>
    </w:p>
    <w:p>
      <w:pPr>
        <w:spacing w:after="0" w:line="62" w:lineRule="exact"/>
        <w:rPr>
          <w:rFonts w:ascii="Arial" w:cs="Arial" w:eastAsia="Arial" w:hAnsi="Arial"/>
          <w:sz w:val="18"/>
          <w:szCs w:val="18"/>
          <w:color w:val="auto"/>
        </w:rPr>
      </w:pPr>
    </w:p>
    <w:p>
      <w:pPr>
        <w:jc w:val="both"/>
        <w:ind w:firstLine="823"/>
        <w:spacing w:after="0" w:line="264" w:lineRule="auto"/>
        <w:tabs>
          <w:tab w:leader="none" w:pos="10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73" w:lineRule="exact"/>
        <w:rPr>
          <w:rFonts w:ascii="Arial" w:cs="Arial" w:eastAsia="Arial" w:hAnsi="Arial"/>
          <w:sz w:val="18"/>
          <w:szCs w:val="18"/>
          <w:color w:val="auto"/>
        </w:rPr>
      </w:pPr>
    </w:p>
    <w:p>
      <w:pPr>
        <w:ind w:left="1080" w:hanging="25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firstLine="823"/>
        <w:spacing w:after="0" w:line="277" w:lineRule="auto"/>
        <w:tabs>
          <w:tab w:leader="none" w:pos="10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62" w:lineRule="exact"/>
        <w:rPr>
          <w:rFonts w:ascii="Arial" w:cs="Arial" w:eastAsia="Arial" w:hAnsi="Arial"/>
          <w:sz w:val="18"/>
          <w:szCs w:val="18"/>
          <w:color w:val="auto"/>
        </w:rPr>
      </w:pPr>
    </w:p>
    <w:p>
      <w:pPr>
        <w:jc w:val="both"/>
        <w:ind w:firstLine="823"/>
        <w:spacing w:after="0" w:line="259" w:lineRule="auto"/>
        <w:tabs>
          <w:tab w:leader="none" w:pos="10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1080" w:hanging="25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17" w:lineRule="exact"/>
        <w:rPr>
          <w:rFonts w:ascii="Arial" w:cs="Arial" w:eastAsia="Arial" w:hAnsi="Arial"/>
          <w:sz w:val="18"/>
          <w:szCs w:val="18"/>
          <w:color w:val="auto"/>
        </w:rPr>
      </w:pPr>
    </w:p>
    <w:p>
      <w:pPr>
        <w:ind w:left="1160" w:hanging="33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firstLine="823"/>
        <w:spacing w:after="0" w:line="277" w:lineRule="auto"/>
        <w:tabs>
          <w:tab w:leader="none" w:pos="1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62" w:lineRule="exact"/>
        <w:rPr>
          <w:rFonts w:ascii="Arial" w:cs="Arial" w:eastAsia="Arial" w:hAnsi="Arial"/>
          <w:sz w:val="18"/>
          <w:szCs w:val="18"/>
          <w:color w:val="auto"/>
        </w:rPr>
      </w:pPr>
    </w:p>
    <w:p>
      <w:pPr>
        <w:ind w:left="1160" w:hanging="337"/>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terms and the identity of the Depositary for such series;</w:t>
      </w:r>
    </w:p>
    <w:p>
      <w:pPr>
        <w:spacing w:after="0" w:line="128" w:lineRule="exact"/>
        <w:rPr>
          <w:rFonts w:ascii="Arial" w:cs="Arial" w:eastAsia="Arial" w:hAnsi="Arial"/>
          <w:sz w:val="17"/>
          <w:szCs w:val="17"/>
          <w:color w:val="auto"/>
        </w:rPr>
      </w:pPr>
    </w:p>
    <w:p>
      <w:pPr>
        <w:jc w:val="both"/>
        <w:ind w:firstLine="823"/>
        <w:spacing w:after="0" w:line="259"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8" w:lineRule="exact"/>
        <w:rPr>
          <w:rFonts w:ascii="Arial" w:cs="Arial" w:eastAsia="Arial" w:hAnsi="Arial"/>
          <w:sz w:val="18"/>
          <w:szCs w:val="18"/>
          <w:color w:val="auto"/>
        </w:rPr>
      </w:pPr>
    </w:p>
    <w:p>
      <w:pPr>
        <w:ind w:firstLine="823"/>
        <w:spacing w:after="0" w:line="277" w:lineRule="auto"/>
        <w:tabs>
          <w:tab w:leader="none" w:pos="11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6.1;</w:t>
      </w:r>
    </w:p>
    <w:p>
      <w:pPr>
        <w:spacing w:after="0" w:line="62" w:lineRule="exact"/>
        <w:rPr>
          <w:rFonts w:ascii="Arial" w:cs="Arial" w:eastAsia="Arial" w:hAnsi="Arial"/>
          <w:sz w:val="18"/>
          <w:szCs w:val="18"/>
          <w:color w:val="auto"/>
        </w:rPr>
      </w:pPr>
    </w:p>
    <w:p>
      <w:pPr>
        <w:jc w:val="both"/>
        <w:ind w:firstLine="823"/>
        <w:spacing w:after="0" w:line="264" w:lineRule="auto"/>
        <w:tabs>
          <w:tab w:leader="none" w:pos="12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(16) if other than U.S. dollars, the coin or currency in which the Securities of the series are denominated (including, but not limited to, foreign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currency);</w:t>
      </w:r>
    </w:p>
    <w:p>
      <w:pPr>
        <w:spacing w:after="0" w:line="103" w:lineRule="exact"/>
        <w:rPr>
          <w:sz w:val="20"/>
          <w:szCs w:val="20"/>
          <w:color w:val="auto"/>
        </w:rPr>
      </w:pPr>
    </w:p>
    <w:p>
      <w:pPr>
        <w:jc w:val="both"/>
        <w:ind w:firstLine="823"/>
        <w:spacing w:after="0" w:line="286" w:lineRule="auto"/>
        <w:tabs>
          <w:tab w:leader="none" w:pos="11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57" w:lineRule="exact"/>
        <w:rPr>
          <w:rFonts w:ascii="Arial" w:cs="Arial" w:eastAsia="Arial" w:hAnsi="Arial"/>
          <w:sz w:val="17"/>
          <w:szCs w:val="17"/>
          <w:color w:val="auto"/>
        </w:rPr>
      </w:pPr>
    </w:p>
    <w:p>
      <w:pPr>
        <w:ind w:left="1160" w:hanging="33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Securities of the series;</w:t>
      </w:r>
    </w:p>
    <w:p>
      <w:pPr>
        <w:spacing w:after="0" w:line="117" w:lineRule="exact"/>
        <w:rPr>
          <w:rFonts w:ascii="Arial" w:cs="Arial" w:eastAsia="Arial" w:hAnsi="Arial"/>
          <w:sz w:val="18"/>
          <w:szCs w:val="18"/>
          <w:color w:val="auto"/>
        </w:rPr>
      </w:pPr>
    </w:p>
    <w:p>
      <w:pPr>
        <w:ind w:left="1160" w:hanging="33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117" w:lineRule="exact"/>
        <w:rPr>
          <w:rFonts w:ascii="Arial" w:cs="Arial" w:eastAsia="Arial" w:hAnsi="Arial"/>
          <w:sz w:val="18"/>
          <w:szCs w:val="18"/>
          <w:color w:val="auto"/>
        </w:rPr>
      </w:pPr>
    </w:p>
    <w:p>
      <w:pPr>
        <w:ind w:firstLine="823"/>
        <w:spacing w:after="0" w:line="277" w:lineRule="auto"/>
        <w:tabs>
          <w:tab w:leader="none" w:pos="11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if any, relating to any auction or remarketing of the Securities of the series and any security for the obligations of the Company with respect to such Securities;</w:t>
      </w:r>
    </w:p>
    <w:p>
      <w:pPr>
        <w:spacing w:after="0" w:line="62" w:lineRule="exact"/>
        <w:rPr>
          <w:rFonts w:ascii="Arial" w:cs="Arial" w:eastAsia="Arial" w:hAnsi="Arial"/>
          <w:sz w:val="18"/>
          <w:szCs w:val="18"/>
          <w:color w:val="auto"/>
        </w:rPr>
      </w:pPr>
    </w:p>
    <w:p>
      <w:pPr>
        <w:ind w:left="1160" w:hanging="337"/>
        <w:spacing w:after="0"/>
        <w:tabs>
          <w:tab w:leader="none" w:pos="1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the Securities of the series are secured or unsecured, and if the Securities are secured, the terms of the secured Securities;</w:t>
      </w:r>
    </w:p>
    <w:p>
      <w:pPr>
        <w:spacing w:after="0" w:line="128" w:lineRule="exact"/>
        <w:rPr>
          <w:rFonts w:ascii="Arial" w:cs="Arial" w:eastAsia="Arial" w:hAnsi="Arial"/>
          <w:sz w:val="17"/>
          <w:szCs w:val="17"/>
          <w:color w:val="auto"/>
        </w:rPr>
      </w:pPr>
    </w:p>
    <w:p>
      <w:pPr>
        <w:ind w:left="1160" w:hanging="33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17" w:lineRule="exact"/>
        <w:rPr>
          <w:rFonts w:ascii="Arial" w:cs="Arial" w:eastAsia="Arial" w:hAnsi="Arial"/>
          <w:sz w:val="18"/>
          <w:szCs w:val="18"/>
          <w:color w:val="auto"/>
        </w:rPr>
      </w:pPr>
    </w:p>
    <w:p>
      <w:pPr>
        <w:ind w:left="1160" w:hanging="33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identity of any guarantors and the terms of the guarantees; and</w:t>
      </w:r>
    </w:p>
    <w:p>
      <w:pPr>
        <w:spacing w:after="0" w:line="117" w:lineRule="exact"/>
        <w:rPr>
          <w:rFonts w:ascii="Arial" w:cs="Arial" w:eastAsia="Arial" w:hAnsi="Arial"/>
          <w:sz w:val="18"/>
          <w:szCs w:val="18"/>
          <w:color w:val="auto"/>
        </w:rPr>
      </w:pPr>
    </w:p>
    <w:p>
      <w:pPr>
        <w:jc w:val="both"/>
        <w:ind w:firstLine="823"/>
        <w:spacing w:after="0" w:line="259" w:lineRule="auto"/>
        <w:tabs>
          <w:tab w:leader="none" w:pos="11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ectPr>
          <w:pgSz w:w="11900" w:h="16838" w:orient="portrait"/>
          <w:cols w:equalWidth="0" w:num="1">
            <w:col w:w="11420"/>
          </w:cols>
          <w:pgMar w:left="240" w:top="368" w:right="239" w:bottom="1440" w:gutter="0" w:footer="0" w:header="0"/>
        </w:sect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SECTION 2.2</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OF</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TRUSTEE’S</w:t>
      </w:r>
    </w:p>
    <w:p>
      <w:pPr>
        <w:spacing w:after="0" w:line="38" w:lineRule="exact"/>
        <w:rPr>
          <w:sz w:val="20"/>
          <w:szCs w:val="20"/>
          <w:color w:val="auto"/>
        </w:rPr>
      </w:pPr>
    </w:p>
    <w:p>
      <w:pPr>
        <w:sectPr>
          <w:pgSz w:w="11900" w:h="16838" w:orient="portrait"/>
          <w:cols w:equalWidth="0" w:num="5">
            <w:col w:w="1280" w:space="520"/>
            <w:col w:w="1140" w:space="340"/>
            <w:col w:w="1100" w:space="340"/>
            <w:col w:w="380" w:space="360"/>
            <w:col w:w="5960"/>
          </w:cols>
          <w:pgMar w:left="240" w:top="368" w:right="239" w:bottom="1440" w:gutter="0" w:footer="0" w:header="0"/>
          <w:type w:val="continuous"/>
        </w:sectPr>
      </w:pPr>
    </w:p>
    <w:p>
      <w:pPr>
        <w:ind w:left="1800"/>
        <w:spacing w:after="0"/>
        <w:rPr>
          <w:sz w:val="20"/>
          <w:szCs w:val="20"/>
          <w:color w:val="auto"/>
        </w:rPr>
      </w:pPr>
      <w:r>
        <w:rPr>
          <w:rFonts w:ascii="Arial" w:cs="Arial" w:eastAsia="Arial" w:hAnsi="Arial"/>
          <w:sz w:val="18"/>
          <w:szCs w:val="18"/>
          <w:b w:val="1"/>
          <w:bCs w:val="1"/>
          <w:color w:val="auto"/>
        </w:rPr>
        <w:t>CERTIFICATE.</w:t>
      </w:r>
    </w:p>
    <w:p>
      <w:pPr>
        <w:sectPr>
          <w:pgSz w:w="11900" w:h="16838" w:orient="portrait"/>
          <w:cols w:equalWidth="0" w:num="1">
            <w:col w:w="11420"/>
          </w:cols>
          <w:pgMar w:left="240" w:top="368" w:right="239" w:bottom="1440" w:gutter="0" w:footer="0" w:header="0"/>
          <w:type w:val="continuous"/>
        </w:sectPr>
      </w:pP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ectPr>
          <w:pgSz w:w="11900" w:h="16838" w:orient="portrait"/>
          <w:cols w:equalWidth="0" w:num="1">
            <w:col w:w="11420"/>
          </w:cols>
          <w:pgMar w:left="240" w:top="368" w:right="239" w:bottom="1440" w:gutter="0" w:footer="0" w:header="0"/>
          <w:type w:val="continuous"/>
        </w:sectPr>
      </w:pPr>
    </w:p>
    <w:p>
      <w:pPr>
        <w:spacing w:after="0" w:line="8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SECTION 2.3</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DENOMINATIONS;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sectPr>
          <w:pgSz w:w="11900" w:h="16838" w:orient="portrait"/>
          <w:cols w:equalWidth="0" w:num="4">
            <w:col w:w="1300" w:space="500"/>
            <w:col w:w="1640" w:space="500"/>
            <w:col w:w="1120" w:space="520"/>
            <w:col w:w="5840"/>
          </w:cols>
          <w:pgMar w:left="240" w:top="368" w:right="239" w:bottom="1440" w:gutter="0" w:footer="0" w:header="0"/>
          <w:type w:val="continuous"/>
        </w:sectPr>
      </w:pPr>
    </w:p>
    <w:p>
      <w:pPr>
        <w:ind w:left="1800"/>
        <w:spacing w:after="0"/>
        <w:rPr>
          <w:sz w:val="20"/>
          <w:szCs w:val="20"/>
          <w:color w:val="auto"/>
        </w:rPr>
      </w:pPr>
      <w:r>
        <w:rPr>
          <w:rFonts w:ascii="Arial" w:cs="Arial" w:eastAsia="Arial" w:hAnsi="Arial"/>
          <w:sz w:val="17"/>
          <w:szCs w:val="17"/>
          <w:b w:val="1"/>
          <w:bCs w:val="1"/>
          <w:color w:val="auto"/>
        </w:rPr>
        <w:t>PAYMENT.</w:t>
      </w:r>
    </w:p>
    <w:p>
      <w:pPr>
        <w:sectPr>
          <w:pgSz w:w="11900" w:h="16838" w:orient="portrait"/>
          <w:cols w:equalWidth="0" w:num="1">
            <w:col w:w="11420"/>
          </w:cols>
          <w:pgMar w:left="240" w:top="368" w:right="239" w:bottom="1440" w:gutter="0" w:footer="0" w:header="0"/>
          <w:type w:val="continuous"/>
        </w:sectPr>
      </w:pP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7" w:lineRule="exact"/>
        <w:rPr>
          <w:sz w:val="20"/>
          <w:szCs w:val="20"/>
          <w:color w:val="auto"/>
        </w:rPr>
      </w:pPr>
    </w:p>
    <w:p>
      <w:pPr>
        <w:jc w:val="both"/>
        <w:ind w:firstLine="823"/>
        <w:spacing w:after="0" w:line="268" w:lineRule="auto"/>
        <w:tabs>
          <w:tab w:leader="none" w:pos="10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77" w:lineRule="exact"/>
        <w:rPr>
          <w:rFonts w:ascii="Arial" w:cs="Arial" w:eastAsia="Arial" w:hAnsi="Arial"/>
          <w:sz w:val="17"/>
          <w:szCs w:val="17"/>
          <w:color w:val="auto"/>
        </w:rPr>
      </w:pPr>
    </w:p>
    <w:p>
      <w:pPr>
        <w:jc w:val="both"/>
        <w:ind w:firstLine="823"/>
        <w:spacing w:after="0" w:line="312" w:lineRule="auto"/>
        <w:tabs>
          <w:tab w:leader="none" w:pos="11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otherwise set forth in a Board Resolution or one or more indentures supplemental hereto establishing the terms of any series of Securities pursuant to Section 2.1 hereof, the term “</w:t>
      </w:r>
      <w:r>
        <w:rPr>
          <w:rFonts w:ascii="Arial" w:cs="Arial" w:eastAsia="Arial" w:hAnsi="Arial"/>
          <w:sz w:val="18"/>
          <w:szCs w:val="18"/>
          <w:b w:val="1"/>
          <w:bCs w:val="1"/>
          <w:color w:val="auto"/>
        </w:rPr>
        <w:t>regular record date</w:t>
      </w:r>
      <w:r>
        <w:rPr>
          <w:rFonts w:ascii="Arial" w:cs="Arial" w:eastAsia="Arial" w:hAnsi="Arial"/>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6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8"/>
          <w:szCs w:val="18"/>
          <w:b w:val="1"/>
          <w:bCs w:val="1"/>
          <w:color w:val="auto"/>
        </w:rPr>
        <w:t>EXECUTION AND AUTHENTICATION.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Securities shall be signed on behalf of the Company by an Authorized Officer and, to the extent necessary, under its corporate seal. Signatures may be in the form of a manual or facsimile signature.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276"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34"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8"/>
          <w:szCs w:val="18"/>
          <w:b w:val="1"/>
          <w:bCs w:val="1"/>
          <w:color w:val="auto"/>
        </w:rPr>
        <w:t>REGISTRATION OF TRANSFER AND EXCHANGE.</w:t>
      </w:r>
    </w:p>
    <w:p>
      <w:pPr>
        <w:spacing w:after="0" w:line="121" w:lineRule="exact"/>
        <w:rPr>
          <w:sz w:val="20"/>
          <w:szCs w:val="20"/>
          <w:color w:val="auto"/>
        </w:rPr>
      </w:pPr>
    </w:p>
    <w:p>
      <w:pPr>
        <w:jc w:val="both"/>
        <w:ind w:firstLine="823"/>
        <w:spacing w:after="0" w:line="25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80" w:lineRule="exact"/>
        <w:rPr>
          <w:rFonts w:ascii="Arial" w:cs="Arial" w:eastAsia="Arial" w:hAnsi="Arial"/>
          <w:sz w:val="18"/>
          <w:szCs w:val="18"/>
          <w:color w:val="auto"/>
        </w:rPr>
      </w:pPr>
    </w:p>
    <w:p>
      <w:pPr>
        <w:jc w:val="both"/>
        <w:ind w:firstLine="823"/>
        <w:spacing w:after="0" w:line="264" w:lineRule="auto"/>
        <w:tabs>
          <w:tab w:leader="none" w:pos="10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jc w:val="both"/>
        <w:ind w:firstLine="823"/>
        <w:spacing w:after="0" w:line="302" w:lineRule="auto"/>
        <w:tabs>
          <w:tab w:leader="none" w:pos="10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46" w:lineRule="exact"/>
        <w:rPr>
          <w:rFonts w:ascii="Arial" w:cs="Arial" w:eastAsia="Arial" w:hAnsi="Arial"/>
          <w:sz w:val="16"/>
          <w:szCs w:val="16"/>
          <w:color w:val="auto"/>
        </w:rPr>
      </w:pPr>
    </w:p>
    <w:p>
      <w:pPr>
        <w:jc w:val="both"/>
        <w:ind w:firstLine="823"/>
        <w:spacing w:after="0" w:line="259" w:lineRule="auto"/>
        <w:tabs>
          <w:tab w:leader="none" w:pos="10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78" w:lineRule="exact"/>
        <w:rPr>
          <w:rFonts w:ascii="Arial" w:cs="Arial" w:eastAsia="Arial" w:hAnsi="Arial"/>
          <w:sz w:val="18"/>
          <w:szCs w:val="18"/>
          <w:color w:val="auto"/>
        </w:rPr>
      </w:pPr>
    </w:p>
    <w:p>
      <w:pPr>
        <w:ind w:firstLine="823"/>
        <w:spacing w:after="0" w:line="277" w:lineRule="auto"/>
        <w:tabs>
          <w:tab w:leader="none" w:pos="10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Successive registrations and registrations of transfers and exchanges as aforesaid may be made from time to time as desired, and each such registration shall be noted on the register for the Securities.</w:t>
      </w:r>
    </w:p>
    <w:p>
      <w:pPr>
        <w:spacing w:after="0" w:line="62" w:lineRule="exact"/>
        <w:rPr>
          <w:rFonts w:ascii="Arial" w:cs="Arial" w:eastAsia="Arial" w:hAnsi="Arial"/>
          <w:sz w:val="18"/>
          <w:szCs w:val="18"/>
          <w:color w:val="auto"/>
        </w:rPr>
      </w:pPr>
    </w:p>
    <w:p>
      <w:pPr>
        <w:ind w:firstLine="823"/>
        <w:spacing w:after="0" w:line="277" w:lineRule="auto"/>
        <w:tabs>
          <w:tab w:leader="none" w:pos="10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Security Registrar shall provide to the Trustee such information as the Trustee may reasonably require in connection with the delivery by such Security Registrar of Securities upon transfer or exchange of Securities.</w:t>
      </w:r>
    </w:p>
    <w:p>
      <w:pPr>
        <w:spacing w:after="0" w:line="62" w:lineRule="exact"/>
        <w:rPr>
          <w:rFonts w:ascii="Arial" w:cs="Arial" w:eastAsia="Arial" w:hAnsi="Arial"/>
          <w:sz w:val="18"/>
          <w:szCs w:val="18"/>
          <w:color w:val="auto"/>
        </w:rPr>
      </w:pPr>
    </w:p>
    <w:p>
      <w:pPr>
        <w:ind w:left="1080" w:hanging="25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of this Section 2.5 are, with respect to any Global Security, subject to Section 2.11 hereof.</w:t>
      </w:r>
    </w:p>
    <w:p>
      <w:pPr>
        <w:spacing w:after="0" w:line="117" w:lineRule="exact"/>
        <w:rPr>
          <w:rFonts w:ascii="Arial" w:cs="Arial" w:eastAsia="Arial" w:hAnsi="Arial"/>
          <w:sz w:val="18"/>
          <w:szCs w:val="18"/>
          <w:color w:val="auto"/>
        </w:rPr>
      </w:pPr>
    </w:p>
    <w:p>
      <w:pPr>
        <w:jc w:val="both"/>
        <w:ind w:firstLine="823"/>
        <w:spacing w:after="0" w:line="257" w:lineRule="auto"/>
        <w:tabs>
          <w:tab w:leader="none" w:pos="10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80" w:lineRule="exact"/>
        <w:rPr>
          <w:rFonts w:ascii="Arial" w:cs="Arial" w:eastAsia="Arial" w:hAnsi="Arial"/>
          <w:sz w:val="18"/>
          <w:szCs w:val="18"/>
          <w:color w:val="auto"/>
        </w:rPr>
      </w:pPr>
    </w:p>
    <w:p>
      <w:pPr>
        <w:ind w:left="1040" w:hanging="21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113"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8"/>
          <w:szCs w:val="18"/>
          <w:b w:val="1"/>
          <w:bCs w:val="1"/>
          <w:color w:val="auto"/>
        </w:rPr>
        <w:t>TEMPORARY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Pending the preparation of definitive Securities of any series, the Company may execute, and the Trustee shall authenticate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90"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8"/>
          <w:szCs w:val="18"/>
          <w:b w:val="1"/>
          <w:bCs w:val="1"/>
          <w:color w:val="auto"/>
        </w:rPr>
        <w:t>MUTILATED, DESTROYED, LOST OR STOLEN SECURITIES.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377"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8"/>
          <w:szCs w:val="18"/>
          <w:b w:val="1"/>
          <w:bCs w:val="1"/>
          <w:color w:val="auto"/>
        </w:rPr>
        <w:t>CANCELLATION.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80"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8"/>
          <w:szCs w:val="18"/>
          <w:b w:val="1"/>
          <w:bCs w:val="1"/>
          <w:color w:val="auto"/>
        </w:rPr>
        <w:t>BENEFITS OF INDENTURE.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or under any covenant, condition or provision herein contained; all such covenants, conditions and provisions being for the sole benefit of the parties hereto and of the holders of the Securities.</w:t>
      </w:r>
    </w:p>
    <w:p>
      <w:pPr>
        <w:spacing w:after="0" w:line="58"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8"/>
          <w:szCs w:val="18"/>
          <w:b w:val="1"/>
          <w:bCs w:val="1"/>
          <w:color w:val="auto"/>
        </w:rPr>
        <w:t>AUTHENTICATING AGENT.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370"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7"/>
          <w:szCs w:val="17"/>
          <w:b w:val="1"/>
          <w:bCs w:val="1"/>
          <w:color w:val="auto"/>
        </w:rPr>
        <w:t>GLOBAL SECURITIES.</w:t>
      </w:r>
    </w:p>
    <w:p>
      <w:pPr>
        <w:spacing w:after="0" w:line="121" w:lineRule="exact"/>
        <w:rPr>
          <w:sz w:val="20"/>
          <w:szCs w:val="20"/>
          <w:color w:val="auto"/>
        </w:rPr>
      </w:pPr>
    </w:p>
    <w:p>
      <w:pPr>
        <w:jc w:val="both"/>
        <w:ind w:firstLine="823"/>
        <w:spacing w:after="0" w:line="293" w:lineRule="auto"/>
        <w:tabs>
          <w:tab w:leader="none" w:pos="10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56" w:lineRule="exact"/>
        <w:rPr>
          <w:rFonts w:ascii="Arial" w:cs="Arial" w:eastAsia="Arial" w:hAnsi="Arial"/>
          <w:sz w:val="16"/>
          <w:szCs w:val="16"/>
          <w:color w:val="auto"/>
        </w:rPr>
      </w:pPr>
    </w:p>
    <w:p>
      <w:pPr>
        <w:jc w:val="both"/>
        <w:ind w:firstLine="823"/>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78" w:lineRule="exact"/>
        <w:rPr>
          <w:rFonts w:ascii="Arial" w:cs="Arial" w:eastAsia="Arial" w:hAnsi="Arial"/>
          <w:sz w:val="18"/>
          <w:szCs w:val="18"/>
          <w:color w:val="auto"/>
        </w:rPr>
      </w:pPr>
    </w:p>
    <w:p>
      <w:pPr>
        <w:jc w:val="both"/>
        <w:ind w:firstLine="823"/>
        <w:spacing w:after="0" w:line="268" w:lineRule="auto"/>
        <w:tabs>
          <w:tab w:leader="none" w:pos="106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7"/>
          <w:szCs w:val="17"/>
          <w:b w:val="1"/>
          <w:bCs w:val="1"/>
          <w:color w:val="auto"/>
        </w:rPr>
        <w:t>CUSIP AND ISIN NUMBERS.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5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117"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8"/>
          <w:szCs w:val="18"/>
          <w:b w:val="1"/>
          <w:bCs w:val="1"/>
          <w:color w:val="auto"/>
        </w:rPr>
        <w:t>REDEMPTION.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75"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8"/>
          <w:szCs w:val="18"/>
          <w:b w:val="1"/>
          <w:bCs w:val="1"/>
          <w:color w:val="auto"/>
        </w:rPr>
        <w:t>NOTICE OF REDEMPTION.</w:t>
      </w:r>
    </w:p>
    <w:p>
      <w:pPr>
        <w:spacing w:after="0" w:line="121" w:lineRule="exact"/>
        <w:rPr>
          <w:sz w:val="20"/>
          <w:szCs w:val="20"/>
          <w:color w:val="auto"/>
        </w:rPr>
      </w:pPr>
    </w:p>
    <w:p>
      <w:pPr>
        <w:jc w:val="both"/>
        <w:ind w:firstLine="823"/>
        <w:spacing w:after="0" w:line="269" w:lineRule="auto"/>
        <w:tabs>
          <w:tab w:leader="none" w:pos="11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3" w:lineRule="exact"/>
        <w:rPr>
          <w:sz w:val="20"/>
          <w:szCs w:val="20"/>
          <w:color w:val="auto"/>
        </w:rPr>
      </w:pPr>
    </w:p>
    <w:p>
      <w:pPr>
        <w:jc w:val="both"/>
        <w:ind w:firstLine="823"/>
        <w:spacing w:after="0" w:line="288" w:lineRule="auto"/>
        <w:tabs>
          <w:tab w:leader="none" w:pos="10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p>
      <w:pPr>
        <w:ind w:right="20"/>
        <w:spacing w:after="0" w:line="277" w:lineRule="auto"/>
        <w:rPr>
          <w:sz w:val="20"/>
          <w:szCs w:val="20"/>
          <w:color w:val="auto"/>
        </w:rPr>
      </w:pPr>
      <w:r>
        <w:rPr>
          <w:rFonts w:ascii="Arial" w:cs="Arial" w:eastAsia="Arial" w:hAnsi="Arial"/>
          <w:sz w:val="18"/>
          <w:szCs w:val="18"/>
          <w:color w:val="auto"/>
        </w:rPr>
        <w:t>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58"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8"/>
          <w:szCs w:val="18"/>
          <w:b w:val="1"/>
          <w:bCs w:val="1"/>
          <w:color w:val="auto"/>
        </w:rPr>
        <w:t>PAYMENT UPON REDEMPTION.</w:t>
      </w:r>
    </w:p>
    <w:p>
      <w:pPr>
        <w:spacing w:after="0" w:line="121" w:lineRule="exact"/>
        <w:rPr>
          <w:sz w:val="20"/>
          <w:szCs w:val="20"/>
          <w:color w:val="auto"/>
        </w:rPr>
      </w:pPr>
    </w:p>
    <w:p>
      <w:pPr>
        <w:jc w:val="both"/>
        <w:ind w:firstLine="823"/>
        <w:spacing w:after="0" w:line="271" w:lineRule="auto"/>
        <w:tabs>
          <w:tab w:leader="none" w:pos="107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70" w:lineRule="exact"/>
        <w:rPr>
          <w:rFonts w:ascii="Arial" w:cs="Arial" w:eastAsia="Arial" w:hAnsi="Arial"/>
          <w:sz w:val="17"/>
          <w:szCs w:val="17"/>
          <w:color w:val="auto"/>
        </w:rPr>
      </w:pPr>
    </w:p>
    <w:p>
      <w:pPr>
        <w:jc w:val="both"/>
        <w:ind w:firstLine="823"/>
        <w:spacing w:after="0" w:line="264" w:lineRule="auto"/>
        <w:tabs>
          <w:tab w:leader="none" w:pos="11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69" w:lineRule="exact"/>
        <w:rPr>
          <w:sz w:val="20"/>
          <w:szCs w:val="20"/>
          <w:color w:val="auto"/>
        </w:rPr>
      </w:pPr>
    </w:p>
    <w:p>
      <w:pPr>
        <w:ind w:left="200"/>
        <w:spacing w:after="0"/>
        <w:tabs>
          <w:tab w:leader="none" w:pos="188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8"/>
          <w:szCs w:val="18"/>
          <w:b w:val="1"/>
          <w:bCs w:val="1"/>
          <w:color w:val="auto"/>
        </w:rPr>
        <w:t>SINKING FUND.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and any payment in excess of such minimum amount provided for by the terms of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3.5. Each sinking fund payment shall be applied to the redemption of Securities of any series as provided for by the terms of Securities of such series.</w:t>
      </w:r>
    </w:p>
    <w:p>
      <w:pPr>
        <w:spacing w:after="0" w:line="76"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8"/>
          <w:szCs w:val="18"/>
          <w:b w:val="1"/>
          <w:bCs w:val="1"/>
          <w:color w:val="auto"/>
        </w:rPr>
        <w:t>SATISFACTION OF SINKING FUND PAYMENTS WITH SECURITIES.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66"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8"/>
          <w:szCs w:val="18"/>
          <w:b w:val="1"/>
          <w:bCs w:val="1"/>
          <w:color w:val="auto"/>
        </w:rPr>
        <w:t>REDEMPTION OF SECURITIES FOR SINKING FUND.</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8"/>
          <w:szCs w:val="18"/>
          <w:b w:val="1"/>
          <w:bCs w:val="1"/>
          <w:color w:val="auto"/>
        </w:rPr>
        <w:t>PAYMENT OF PRINCIPAL, PREMIUM AND INTEREST.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color w:val="auto"/>
        </w:rPr>
        <w:t>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67"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8"/>
          <w:szCs w:val="18"/>
          <w:b w:val="1"/>
          <w:bCs w:val="1"/>
          <w:color w:val="auto"/>
        </w:rPr>
        <w:t>PAYING AGENT AND SECURITY REGISTRAR.</w:t>
      </w:r>
    </w:p>
    <w:p>
      <w:pPr>
        <w:spacing w:after="0" w:line="121" w:lineRule="exact"/>
        <w:rPr>
          <w:sz w:val="20"/>
          <w:szCs w:val="20"/>
          <w:color w:val="auto"/>
        </w:rPr>
      </w:pPr>
    </w:p>
    <w:p>
      <w:pPr>
        <w:jc w:val="both"/>
        <w:ind w:firstLine="823"/>
        <w:spacing w:after="0" w:line="272" w:lineRule="auto"/>
        <w:tabs>
          <w:tab w:leader="none" w:pos="1062" w:val="left"/>
        </w:tabs>
        <w:numPr>
          <w:ilvl w:val="0"/>
          <w:numId w:val="43"/>
        </w:numPr>
        <w:rPr>
          <w:rFonts w:ascii="Arial" w:cs="Arial" w:eastAsia="Arial" w:hAnsi="Arial"/>
          <w:sz w:val="17"/>
          <w:szCs w:val="17"/>
          <w:color w:val="auto"/>
        </w:rPr>
      </w:pPr>
      <w:r>
        <w:rPr>
          <w:rFonts w:ascii="Arial" w:cs="Arial" w:eastAsia="Arial" w:hAnsi="Arial"/>
          <w:sz w:val="17"/>
          <w:szCs w:val="17"/>
          <w:color w:val="auto"/>
        </w:rPr>
        <w:t>So long as any series of the Securities remain Outstanding, the Company shall maintain an office or agency where Securities may be presented for registration of transfer or for exchange (“</w:t>
      </w:r>
      <w:r>
        <w:rPr>
          <w:rFonts w:ascii="Arial" w:cs="Arial" w:eastAsia="Arial" w:hAnsi="Arial"/>
          <w:sz w:val="17"/>
          <w:szCs w:val="17"/>
          <w:b w:val="1"/>
          <w:bCs w:val="1"/>
          <w:color w:val="auto"/>
        </w:rPr>
        <w:t>Security Registrar</w:t>
      </w:r>
      <w:r>
        <w:rPr>
          <w:rFonts w:ascii="Arial" w:cs="Arial" w:eastAsia="Arial" w:hAnsi="Arial"/>
          <w:sz w:val="17"/>
          <w:szCs w:val="17"/>
          <w:color w:val="auto"/>
        </w:rPr>
        <w:t>”), an office or agency where Securities may be presented for payment (“</w:t>
      </w:r>
      <w:r>
        <w:rPr>
          <w:rFonts w:ascii="Arial" w:cs="Arial" w:eastAsia="Arial" w:hAnsi="Arial"/>
          <w:sz w:val="17"/>
          <w:szCs w:val="17"/>
          <w:b w:val="1"/>
          <w:bCs w:val="1"/>
          <w:color w:val="auto"/>
        </w:rPr>
        <w:t>Paying Agent</w:t>
      </w:r>
      <w:r>
        <w:rPr>
          <w:rFonts w:ascii="Arial" w:cs="Arial" w:eastAsia="Arial" w:hAnsi="Arial"/>
          <w:sz w:val="17"/>
          <w:szCs w:val="17"/>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Arial" w:cs="Arial" w:eastAsia="Arial" w:hAnsi="Arial"/>
          <w:sz w:val="17"/>
          <w:szCs w:val="17"/>
          <w:b w:val="1"/>
          <w:bCs w:val="1"/>
          <w:color w:val="auto"/>
        </w:rPr>
        <w:t>Security Register</w:t>
      </w:r>
      <w:r>
        <w:rPr>
          <w:rFonts w:ascii="Arial" w:cs="Arial" w:eastAsia="Arial" w:hAnsi="Arial"/>
          <w:sz w:val="17"/>
          <w:szCs w:val="17"/>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39" w:lineRule="exact"/>
        <w:rPr>
          <w:sz w:val="20"/>
          <w:szCs w:val="20"/>
          <w:color w:val="auto"/>
        </w:rPr>
      </w:pPr>
    </w:p>
    <w:p>
      <w:pPr>
        <w:jc w:val="both"/>
        <w:ind w:firstLine="823"/>
        <w:spacing w:after="0" w:line="257" w:lineRule="auto"/>
        <w:tabs>
          <w:tab w:leader="none" w:pos="10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80" w:lineRule="exact"/>
        <w:rPr>
          <w:rFonts w:ascii="Arial" w:cs="Arial" w:eastAsia="Arial" w:hAnsi="Arial"/>
          <w:sz w:val="18"/>
          <w:szCs w:val="18"/>
          <w:color w:val="auto"/>
        </w:rPr>
      </w:pPr>
    </w:p>
    <w:p>
      <w:pPr>
        <w:jc w:val="both"/>
        <w:ind w:firstLine="823"/>
        <w:spacing w:after="0" w:line="264" w:lineRule="auto"/>
        <w:tabs>
          <w:tab w:leader="none" w:pos="10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jc w:val="both"/>
        <w:ind w:left="820" w:firstLine="759"/>
        <w:spacing w:after="0" w:line="264" w:lineRule="auto"/>
        <w:tabs>
          <w:tab w:leader="none" w:pos="18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820" w:right="20" w:firstLine="759"/>
        <w:spacing w:after="0" w:line="277" w:lineRule="auto"/>
        <w:tabs>
          <w:tab w:leader="none" w:pos="18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color w:val="auto"/>
        </w:rPr>
      </w:pPr>
    </w:p>
    <w:p>
      <w:pPr>
        <w:ind w:left="820" w:firstLine="759"/>
        <w:spacing w:after="0" w:line="277" w:lineRule="auto"/>
        <w:tabs>
          <w:tab w:leader="none" w:pos="184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1840" w:hanging="261"/>
        <w:spacing w:after="0"/>
        <w:tabs>
          <w:tab w:leader="none" w:pos="1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jc w:val="both"/>
        <w:ind w:firstLine="823"/>
        <w:spacing w:after="0" w:line="271" w:lineRule="auto"/>
        <w:tabs>
          <w:tab w:leader="none" w:pos="1072"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both"/>
        <w:ind w:firstLine="823"/>
        <w:spacing w:after="0" w:line="257" w:lineRule="auto"/>
        <w:tabs>
          <w:tab w:leader="none" w:pos="10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76"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8"/>
          <w:szCs w:val="18"/>
          <w:b w:val="1"/>
          <w:bCs w:val="1"/>
          <w:color w:val="auto"/>
        </w:rPr>
        <w:t>APPOINTMENT TO FILL VACANCY IN OFFICE OF TRUSTEE.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58"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8"/>
          <w:szCs w:val="18"/>
          <w:b w:val="1"/>
          <w:bCs w:val="1"/>
          <w:color w:val="auto"/>
        </w:rPr>
        <w:t>COMPLIANCE WITH CONSOLIDATION PROVISIONS.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 AND THE TRUSTEE</w:t>
      </w:r>
    </w:p>
    <w:p>
      <w:pPr>
        <w:spacing w:after="0" w:line="117"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7"/>
          <w:szCs w:val="17"/>
          <w:b w:val="1"/>
          <w:bCs w:val="1"/>
          <w:color w:val="auto"/>
        </w:rPr>
        <w:t>COMPANY TO FURNISH TRUSTEE NAMES AND ADDRESSES OF SECURITYHOLDERS.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66"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8"/>
          <w:szCs w:val="18"/>
          <w:b w:val="1"/>
          <w:bCs w:val="1"/>
          <w:color w:val="auto"/>
        </w:rPr>
        <w:t>PRESERVATION OF INFORMATION; COMMUNICATIONS WITH SECURITYHOLDERS.</w:t>
      </w:r>
    </w:p>
    <w:p>
      <w:pPr>
        <w:spacing w:after="0" w:line="121" w:lineRule="exact"/>
        <w:rPr>
          <w:sz w:val="20"/>
          <w:szCs w:val="20"/>
          <w:color w:val="auto"/>
        </w:rPr>
      </w:pPr>
    </w:p>
    <w:p>
      <w:pPr>
        <w:jc w:val="both"/>
        <w:ind w:firstLine="823"/>
        <w:spacing w:after="0" w:line="276" w:lineRule="auto"/>
        <w:tabs>
          <w:tab w:leader="none" w:pos="106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 (10) 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64" w:lineRule="exact"/>
        <w:rPr>
          <w:rFonts w:ascii="Arial" w:cs="Arial" w:eastAsia="Arial" w:hAnsi="Arial"/>
          <w:sz w:val="17"/>
          <w:szCs w:val="17"/>
          <w:color w:val="auto"/>
        </w:rPr>
      </w:pPr>
    </w:p>
    <w:p>
      <w:pPr>
        <w:ind w:right="20" w:firstLine="823"/>
        <w:spacing w:after="0" w:line="277" w:lineRule="auto"/>
        <w:tabs>
          <w:tab w:leader="none" w:pos="10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62" w:lineRule="exact"/>
        <w:rPr>
          <w:rFonts w:ascii="Arial" w:cs="Arial" w:eastAsia="Arial" w:hAnsi="Arial"/>
          <w:sz w:val="18"/>
          <w:szCs w:val="18"/>
          <w:color w:val="auto"/>
        </w:rPr>
      </w:pPr>
    </w:p>
    <w:p>
      <w:pPr>
        <w:ind w:left="1060" w:hanging="237"/>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the Trustee, the Security Registrar and any other Person shall have the protection of Section 312(c) of the Trust Indenture Act.</w:t>
      </w:r>
    </w:p>
    <w:p>
      <w:pPr>
        <w:spacing w:after="0" w:line="136"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7"/>
          <w:szCs w:val="17"/>
          <w:b w:val="1"/>
          <w:bCs w:val="1"/>
          <w:color w:val="auto"/>
        </w:rPr>
        <w:t>REPORTS BY THE COMPANY.</w:t>
      </w:r>
    </w:p>
    <w:p>
      <w:pPr>
        <w:spacing w:after="0" w:line="121" w:lineRule="exact"/>
        <w:rPr>
          <w:sz w:val="20"/>
          <w:szCs w:val="20"/>
          <w:color w:val="auto"/>
        </w:rPr>
      </w:pPr>
    </w:p>
    <w:p>
      <w:pPr>
        <w:jc w:val="both"/>
        <w:ind w:firstLine="823"/>
        <w:spacing w:after="0" w:line="254" w:lineRule="auto"/>
        <w:tabs>
          <w:tab w:leader="none" w:pos="10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84" w:lineRule="exact"/>
        <w:rPr>
          <w:rFonts w:ascii="Arial" w:cs="Arial" w:eastAsia="Arial" w:hAnsi="Arial"/>
          <w:sz w:val="18"/>
          <w:szCs w:val="18"/>
          <w:color w:val="auto"/>
        </w:rPr>
      </w:pPr>
    </w:p>
    <w:p>
      <w:pPr>
        <w:jc w:val="both"/>
        <w:ind w:firstLine="823"/>
        <w:spacing w:after="0" w:line="312" w:lineRule="auto"/>
        <w:tabs>
          <w:tab w:leader="none" w:pos="10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ind w:left="220"/>
        <w:spacing w:after="0"/>
        <w:tabs>
          <w:tab w:leader="none" w:pos="186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7"/>
          <w:szCs w:val="17"/>
          <w:b w:val="1"/>
          <w:bCs w:val="1"/>
          <w:color w:val="auto"/>
        </w:rPr>
        <w:t>REPORTS BY THE TRUSTEE.</w:t>
      </w:r>
    </w:p>
    <w:p>
      <w:pPr>
        <w:spacing w:after="0" w:line="121" w:lineRule="exact"/>
        <w:rPr>
          <w:sz w:val="20"/>
          <w:szCs w:val="20"/>
          <w:color w:val="auto"/>
        </w:rPr>
      </w:pPr>
    </w:p>
    <w:p>
      <w:pPr>
        <w:jc w:val="both"/>
        <w:ind w:firstLine="823"/>
        <w:spacing w:after="0" w:line="259" w:lineRule="auto"/>
        <w:tabs>
          <w:tab w:leader="none" w:pos="10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78" w:lineRule="exact"/>
        <w:rPr>
          <w:rFonts w:ascii="Arial" w:cs="Arial" w:eastAsia="Arial" w:hAnsi="Arial"/>
          <w:sz w:val="18"/>
          <w:szCs w:val="18"/>
          <w:color w:val="auto"/>
        </w:rPr>
      </w:pPr>
    </w:p>
    <w:p>
      <w:pPr>
        <w:ind w:left="1080" w:hanging="257"/>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117" w:lineRule="exact"/>
        <w:rPr>
          <w:rFonts w:ascii="Arial" w:cs="Arial" w:eastAsia="Arial" w:hAnsi="Arial"/>
          <w:sz w:val="18"/>
          <w:szCs w:val="18"/>
          <w:color w:val="auto"/>
        </w:rPr>
      </w:pPr>
    </w:p>
    <w:p>
      <w:pPr>
        <w:jc w:val="both"/>
        <w:ind w:firstLine="823"/>
        <w:spacing w:after="0" w:line="264" w:lineRule="auto"/>
        <w:tabs>
          <w:tab w:leader="none" w:pos="10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EVENT OF DEFAULT</w:t>
      </w:r>
    </w:p>
    <w:p>
      <w:pPr>
        <w:spacing w:after="0" w:line="117"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firstLine="823"/>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unless otherwise specified in a Board Resolution or in an indenture supplemental hereto,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62" w:lineRule="exact"/>
        <w:rPr>
          <w:rFonts w:ascii="Arial" w:cs="Arial" w:eastAsia="Arial" w:hAnsi="Arial"/>
          <w:sz w:val="18"/>
          <w:szCs w:val="18"/>
          <w:color w:val="auto"/>
        </w:rPr>
      </w:pPr>
    </w:p>
    <w:p>
      <w:pPr>
        <w:jc w:val="both"/>
        <w:ind w:left="820" w:firstLine="759"/>
        <w:spacing w:after="0" w:line="259" w:lineRule="auto"/>
        <w:tabs>
          <w:tab w:leader="none" w:pos="1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78" w:lineRule="exact"/>
        <w:rPr>
          <w:rFonts w:ascii="Arial" w:cs="Arial" w:eastAsia="Arial" w:hAnsi="Arial"/>
          <w:sz w:val="18"/>
          <w:szCs w:val="18"/>
          <w:color w:val="auto"/>
        </w:rPr>
      </w:pPr>
    </w:p>
    <w:p>
      <w:pPr>
        <w:jc w:val="both"/>
        <w:ind w:left="820" w:firstLine="759"/>
        <w:spacing w:after="0" w:line="257" w:lineRule="auto"/>
        <w:tabs>
          <w:tab w:leader="none" w:pos="183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80" w:lineRule="exact"/>
        <w:rPr>
          <w:rFonts w:ascii="Arial" w:cs="Arial" w:eastAsia="Arial" w:hAnsi="Arial"/>
          <w:sz w:val="18"/>
          <w:szCs w:val="18"/>
          <w:color w:val="auto"/>
        </w:rPr>
      </w:pPr>
    </w:p>
    <w:p>
      <w:pPr>
        <w:jc w:val="both"/>
        <w:ind w:left="820" w:firstLine="759"/>
        <w:spacing w:after="0" w:line="273" w:lineRule="auto"/>
        <w:tabs>
          <w:tab w:leader="none" w:pos="1856"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Arial" w:cs="Arial" w:eastAsia="Arial" w:hAnsi="Arial"/>
          <w:sz w:val="17"/>
          <w:szCs w:val="17"/>
          <w:b w:val="1"/>
          <w:b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color w:val="auto"/>
        </w:rPr>
        <w:t>of Default</w:t>
      </w:r>
      <w:r>
        <w:rPr>
          <w:rFonts w:ascii="Arial" w:cs="Arial" w:eastAsia="Arial" w:hAnsi="Arial"/>
          <w:sz w:val="17"/>
          <w:szCs w:val="17"/>
          <w:color w:val="auto"/>
        </w:rPr>
        <w:t>” hereunder, shall have been given to the Company by the Trustee, by registered or certified mail, or to the Company and the Trustee by</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at least 25% in principal amount of the Securities of that series at the time Outstanding;</w:t>
      </w:r>
    </w:p>
    <w:p>
      <w:pPr>
        <w:spacing w:after="0" w:line="70" w:lineRule="exact"/>
        <w:rPr>
          <w:rFonts w:ascii="Arial" w:cs="Arial" w:eastAsia="Arial" w:hAnsi="Arial"/>
          <w:sz w:val="17"/>
          <w:szCs w:val="17"/>
          <w:color w:val="auto"/>
        </w:rPr>
      </w:pPr>
    </w:p>
    <w:p>
      <w:pPr>
        <w:jc w:val="both"/>
        <w:ind w:left="820" w:firstLine="759"/>
        <w:spacing w:after="0" w:line="264" w:lineRule="auto"/>
        <w:tabs>
          <w:tab w:leader="none" w:pos="183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73" w:lineRule="exact"/>
        <w:rPr>
          <w:rFonts w:ascii="Arial" w:cs="Arial" w:eastAsia="Arial" w:hAnsi="Arial"/>
          <w:sz w:val="18"/>
          <w:szCs w:val="18"/>
          <w:color w:val="auto"/>
        </w:rPr>
      </w:pPr>
    </w:p>
    <w:p>
      <w:pPr>
        <w:jc w:val="both"/>
        <w:ind w:left="820" w:firstLine="759"/>
        <w:spacing w:after="0" w:line="264" w:lineRule="auto"/>
        <w:tabs>
          <w:tab w:leader="none" w:pos="18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73" w:lineRule="exact"/>
        <w:rPr>
          <w:rFonts w:ascii="Arial" w:cs="Arial" w:eastAsia="Arial" w:hAnsi="Arial"/>
          <w:sz w:val="18"/>
          <w:szCs w:val="18"/>
          <w:color w:val="auto"/>
        </w:rPr>
      </w:pPr>
    </w:p>
    <w:p>
      <w:pPr>
        <w:ind w:left="1840" w:hanging="261"/>
        <w:spacing w:after="0"/>
        <w:tabs>
          <w:tab w:leader="none" w:pos="18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certain other specified events, as may be provided for in a Board Resolution or in a supplemental indenture.</w:t>
      </w:r>
    </w:p>
    <w:p>
      <w:pPr>
        <w:spacing w:after="0" w:line="117" w:lineRule="exact"/>
        <w:rPr>
          <w:rFonts w:ascii="Arial" w:cs="Arial" w:eastAsia="Arial" w:hAnsi="Arial"/>
          <w:sz w:val="18"/>
          <w:szCs w:val="18"/>
          <w:color w:val="auto"/>
        </w:rPr>
      </w:pPr>
    </w:p>
    <w:p>
      <w:pPr>
        <w:jc w:val="both"/>
        <w:ind w:firstLine="823"/>
        <w:spacing w:after="0" w:line="297" w:lineRule="auto"/>
        <w:tabs>
          <w:tab w:leader="none" w:pos="10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sz w:val="20"/>
          <w:szCs w:val="20"/>
          <w:color w:val="auto"/>
        </w:rPr>
      </w:pPr>
    </w:p>
    <w:p>
      <w:pPr>
        <w:jc w:val="both"/>
        <w:ind w:firstLine="823"/>
        <w:spacing w:after="0" w:line="270" w:lineRule="auto"/>
        <w:tabs>
          <w:tab w:leader="none" w:pos="10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jc w:val="both"/>
        <w:ind w:firstLine="823"/>
        <w:spacing w:after="0" w:line="257" w:lineRule="auto"/>
        <w:tabs>
          <w:tab w:leader="none" w:pos="10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400"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7"/>
          <w:szCs w:val="17"/>
          <w:b w:val="1"/>
          <w:bCs w:val="1"/>
          <w:color w:val="auto"/>
        </w:rPr>
        <w:t>COLLECTION OF INDEBTEDNESS AND SUITS FOR ENFORCEMENT BY TRUSTEE.</w:t>
      </w:r>
    </w:p>
    <w:p>
      <w:pPr>
        <w:spacing w:after="0" w:line="121" w:lineRule="exact"/>
        <w:rPr>
          <w:sz w:val="20"/>
          <w:szCs w:val="20"/>
          <w:color w:val="auto"/>
        </w:rPr>
      </w:pPr>
    </w:p>
    <w:p>
      <w:pPr>
        <w:jc w:val="both"/>
        <w:ind w:firstLine="823"/>
        <w:spacing w:after="0" w:line="289" w:lineRule="auto"/>
        <w:tabs>
          <w:tab w:leader="none" w:pos="107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58" w:lineRule="exact"/>
        <w:rPr>
          <w:rFonts w:ascii="Arial" w:cs="Arial" w:eastAsia="Arial" w:hAnsi="Arial"/>
          <w:sz w:val="16"/>
          <w:szCs w:val="16"/>
          <w:color w:val="auto"/>
        </w:rPr>
      </w:pPr>
    </w:p>
    <w:p>
      <w:pPr>
        <w:jc w:val="both"/>
        <w:ind w:firstLine="823"/>
        <w:spacing w:after="0" w:line="257" w:lineRule="auto"/>
        <w:tabs>
          <w:tab w:leader="none" w:pos="10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80" w:lineRule="exact"/>
        <w:rPr>
          <w:rFonts w:ascii="Arial" w:cs="Arial" w:eastAsia="Arial" w:hAnsi="Arial"/>
          <w:sz w:val="18"/>
          <w:szCs w:val="18"/>
          <w:color w:val="auto"/>
        </w:rPr>
      </w:pPr>
    </w:p>
    <w:p>
      <w:pPr>
        <w:jc w:val="both"/>
        <w:ind w:firstLine="823"/>
        <w:spacing w:after="0" w:line="289" w:lineRule="auto"/>
        <w:tabs>
          <w:tab w:leader="none" w:pos="11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58" w:lineRule="exact"/>
        <w:rPr>
          <w:rFonts w:ascii="Arial" w:cs="Arial" w:eastAsia="Arial" w:hAnsi="Arial"/>
          <w:sz w:val="16"/>
          <w:szCs w:val="16"/>
          <w:color w:val="auto"/>
        </w:rPr>
      </w:pPr>
    </w:p>
    <w:p>
      <w:pPr>
        <w:ind w:left="1080" w:hanging="257"/>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69"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8"/>
          <w:szCs w:val="18"/>
          <w:b w:val="1"/>
          <w:bCs w:val="1"/>
          <w:color w:val="auto"/>
        </w:rPr>
        <w:t>APPLICATION OF MONEYS COLLECTED.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FIRST: To the payment of reasonable costs and expenses of collection and of all amounts payable to the Trustee under Section 7.6;</w:t>
      </w:r>
    </w:p>
    <w:p>
      <w:pPr>
        <w:spacing w:after="0" w:line="117"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359" w:lineRule="exact"/>
        <w:rPr>
          <w:sz w:val="20"/>
          <w:szCs w:val="20"/>
          <w:color w:val="auto"/>
        </w:rPr>
      </w:pPr>
    </w:p>
    <w:p>
      <w:pPr>
        <w:ind w:left="200"/>
        <w:spacing w:after="0"/>
        <w:tabs>
          <w:tab w:leader="none" w:pos="190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8"/>
          <w:szCs w:val="18"/>
          <w:b w:val="1"/>
          <w:bCs w:val="1"/>
          <w:color w:val="auto"/>
        </w:rPr>
        <w:t>LIMITATION ON SUITS.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Securityholder and the Trustee shall be entitled to such relief as can be given either at law or in equity.</w:t>
      </w:r>
    </w:p>
    <w:p>
      <w:pPr>
        <w:spacing w:after="0" w:line="113"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8"/>
          <w:szCs w:val="18"/>
          <w:b w:val="1"/>
          <w:bCs w:val="1"/>
          <w:color w:val="auto"/>
        </w:rPr>
        <w:t>RIGHTS AND REMEDIES CUMULATIVE; DELAY OR OMISSION NOT WAIVER.</w:t>
      </w:r>
    </w:p>
    <w:p>
      <w:pPr>
        <w:spacing w:after="0" w:line="121" w:lineRule="exact"/>
        <w:rPr>
          <w:sz w:val="20"/>
          <w:szCs w:val="20"/>
          <w:color w:val="auto"/>
        </w:rPr>
      </w:pPr>
    </w:p>
    <w:p>
      <w:pPr>
        <w:jc w:val="both"/>
        <w:ind w:firstLine="823"/>
        <w:spacing w:after="0" w:line="259" w:lineRule="auto"/>
        <w:tabs>
          <w:tab w:leader="none" w:pos="10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jc w:val="both"/>
        <w:ind w:firstLine="823"/>
        <w:spacing w:after="0" w:line="279" w:lineRule="auto"/>
        <w:tabs>
          <w:tab w:leader="none" w:pos="10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59"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8"/>
          <w:szCs w:val="18"/>
          <w:b w:val="1"/>
          <w:bCs w:val="1"/>
          <w:color w:val="auto"/>
        </w:rPr>
        <w:t>CONTROL BY SECURITYHOLDERS.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60"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7"/>
          <w:szCs w:val="17"/>
          <w:b w:val="1"/>
          <w:bCs w:val="1"/>
          <w:color w:val="auto"/>
        </w:rPr>
        <w:t>UNDERTAKING TO PAY COSTS.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117"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8"/>
          <w:szCs w:val="18"/>
          <w:b w:val="1"/>
          <w:bCs w:val="1"/>
          <w:color w:val="auto"/>
        </w:rPr>
        <w:t>CERTAIN DUTIES AND RESPONSIBILITIES OF TRUSTEE.</w:t>
      </w:r>
    </w:p>
    <w:p>
      <w:pPr>
        <w:spacing w:after="0" w:line="121" w:lineRule="exact"/>
        <w:rPr>
          <w:sz w:val="20"/>
          <w:szCs w:val="20"/>
          <w:color w:val="auto"/>
        </w:rPr>
      </w:pPr>
    </w:p>
    <w:p>
      <w:pPr>
        <w:jc w:val="both"/>
        <w:ind w:firstLine="823"/>
        <w:spacing w:after="0" w:line="272" w:lineRule="auto"/>
        <w:tabs>
          <w:tab w:leader="none" w:pos="10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0" w:lineRule="exact"/>
        <w:rPr>
          <w:sz w:val="20"/>
          <w:szCs w:val="20"/>
          <w:color w:val="auto"/>
        </w:rPr>
      </w:pPr>
    </w:p>
    <w:p>
      <w:pPr>
        <w:ind w:right="20" w:firstLine="823"/>
        <w:spacing w:after="0" w:line="277" w:lineRule="auto"/>
        <w:tabs>
          <w:tab w:leader="none" w:pos="10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800" w:hanging="221"/>
        <w:spacing w:after="0"/>
        <w:tabs>
          <w:tab w:leader="none" w:pos="1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this subsection (b) shall not be construed to limit the effect of subsection (a) of this Section;</w:t>
      </w:r>
    </w:p>
    <w:p>
      <w:pPr>
        <w:spacing w:after="0" w:line="117" w:lineRule="exact"/>
        <w:rPr>
          <w:rFonts w:ascii="Arial" w:cs="Arial" w:eastAsia="Arial" w:hAnsi="Arial"/>
          <w:sz w:val="18"/>
          <w:szCs w:val="18"/>
          <w:color w:val="auto"/>
        </w:rPr>
      </w:pPr>
    </w:p>
    <w:p>
      <w:pPr>
        <w:ind w:left="820" w:firstLine="759"/>
        <w:spacing w:after="0" w:line="277" w:lineRule="auto"/>
        <w:tabs>
          <w:tab w:leader="none" w:pos="184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Trust Officer or Trust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jc w:val="both"/>
        <w:ind w:left="820" w:firstLine="759"/>
        <w:spacing w:after="0" w:line="259" w:lineRule="auto"/>
        <w:tabs>
          <w:tab w:leader="none" w:pos="19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jc w:val="both"/>
        <w:ind w:left="820" w:firstLine="759"/>
        <w:spacing w:after="0" w:line="259" w:lineRule="auto"/>
        <w:tabs>
          <w:tab w:leader="none" w:pos="19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78" w:lineRule="exact"/>
        <w:rPr>
          <w:rFonts w:ascii="Arial" w:cs="Arial" w:eastAsia="Arial" w:hAnsi="Arial"/>
          <w:sz w:val="18"/>
          <w:szCs w:val="18"/>
          <w:color w:val="auto"/>
        </w:rPr>
      </w:pPr>
    </w:p>
    <w:p>
      <w:pPr>
        <w:ind w:right="20" w:firstLine="823"/>
        <w:spacing w:after="0" w:line="277" w:lineRule="auto"/>
        <w:tabs>
          <w:tab w:leader="none" w:pos="10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58"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8"/>
          <w:szCs w:val="18"/>
          <w:b w:val="1"/>
          <w:bCs w:val="1"/>
          <w:color w:val="auto"/>
        </w:rPr>
        <w:t>CERTAIN RIGHTS OF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7.1:</w:t>
      </w:r>
    </w:p>
    <w:p>
      <w:pPr>
        <w:spacing w:after="0" w:line="117" w:lineRule="exact"/>
        <w:rPr>
          <w:sz w:val="20"/>
          <w:szCs w:val="20"/>
          <w:color w:val="auto"/>
        </w:rPr>
      </w:pPr>
    </w:p>
    <w:p>
      <w:pPr>
        <w:jc w:val="both"/>
        <w:ind w:firstLine="823"/>
        <w:spacing w:after="0" w:line="264" w:lineRule="auto"/>
        <w:tabs>
          <w:tab w:leader="none" w:pos="10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jc w:val="both"/>
        <w:ind w:firstLine="823"/>
        <w:spacing w:after="0" w:line="264" w:lineRule="auto"/>
        <w:tabs>
          <w:tab w:leader="none" w:pos="11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firstLine="823"/>
        <w:spacing w:after="0" w:line="277" w:lineRule="auto"/>
        <w:tabs>
          <w:tab w:leader="none" w:pos="10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62" w:lineRule="exact"/>
        <w:rPr>
          <w:rFonts w:ascii="Arial" w:cs="Arial" w:eastAsia="Arial" w:hAnsi="Arial"/>
          <w:sz w:val="18"/>
          <w:szCs w:val="18"/>
          <w:color w:val="auto"/>
        </w:rPr>
      </w:pPr>
    </w:p>
    <w:p>
      <w:pPr>
        <w:jc w:val="both"/>
        <w:ind w:firstLine="823"/>
        <w:spacing w:after="0" w:line="293" w:lineRule="auto"/>
        <w:tabs>
          <w:tab w:leader="none" w:pos="10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56" w:lineRule="exact"/>
        <w:rPr>
          <w:rFonts w:ascii="Arial" w:cs="Arial" w:eastAsia="Arial" w:hAnsi="Arial"/>
          <w:sz w:val="16"/>
          <w:szCs w:val="16"/>
          <w:color w:val="auto"/>
        </w:rPr>
      </w:pPr>
    </w:p>
    <w:p>
      <w:pPr>
        <w:ind w:firstLine="823"/>
        <w:spacing w:after="0" w:line="277" w:lineRule="auto"/>
        <w:tabs>
          <w:tab w:leader="none" w:pos="10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jc w:val="both"/>
        <w:ind w:firstLine="823"/>
        <w:spacing w:after="0" w:line="272" w:lineRule="auto"/>
        <w:tabs>
          <w:tab w:leader="none" w:pos="105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80" w:lineRule="exact"/>
        <w:rPr>
          <w:sz w:val="20"/>
          <w:szCs w:val="20"/>
          <w:color w:val="auto"/>
        </w:rPr>
      </w:pPr>
    </w:p>
    <w:p>
      <w:pPr>
        <w:jc w:val="both"/>
        <w:ind w:firstLine="823"/>
        <w:spacing w:after="0" w:line="264" w:lineRule="auto"/>
        <w:tabs>
          <w:tab w:leader="none" w:pos="10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jc w:val="both"/>
        <w:ind w:firstLine="823"/>
        <w:spacing w:after="0" w:line="264" w:lineRule="auto"/>
        <w:tabs>
          <w:tab w:leader="none" w:pos="10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jc w:val="both"/>
        <w:ind w:firstLine="823"/>
        <w:spacing w:after="0" w:line="264" w:lineRule="auto"/>
        <w:tabs>
          <w:tab w:leader="none" w:pos="10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73" w:lineRule="exact"/>
        <w:rPr>
          <w:rFonts w:ascii="Arial" w:cs="Arial" w:eastAsia="Arial" w:hAnsi="Arial"/>
          <w:sz w:val="18"/>
          <w:szCs w:val="18"/>
          <w:color w:val="auto"/>
        </w:rPr>
      </w:pPr>
    </w:p>
    <w:p>
      <w:pPr>
        <w:jc w:val="both"/>
        <w:ind w:firstLine="823"/>
        <w:spacing w:after="0" w:line="264" w:lineRule="auto"/>
        <w:tabs>
          <w:tab w:leader="none" w:pos="104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73" w:lineRule="exact"/>
        <w:rPr>
          <w:rFonts w:ascii="Arial" w:cs="Arial" w:eastAsia="Arial" w:hAnsi="Arial"/>
          <w:sz w:val="18"/>
          <w:szCs w:val="18"/>
          <w:color w:val="auto"/>
        </w:rPr>
      </w:pPr>
    </w:p>
    <w:p>
      <w:pPr>
        <w:ind w:left="1080" w:hanging="257"/>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17" w:lineRule="exact"/>
        <w:rPr>
          <w:rFonts w:ascii="Arial" w:cs="Arial" w:eastAsia="Arial" w:hAnsi="Arial"/>
          <w:sz w:val="18"/>
          <w:szCs w:val="18"/>
          <w:color w:val="auto"/>
        </w:rPr>
      </w:pPr>
    </w:p>
    <w:p>
      <w:pPr>
        <w:ind w:firstLine="823"/>
        <w:spacing w:after="0" w:line="277" w:lineRule="auto"/>
        <w:tabs>
          <w:tab w:leader="none" w:pos="10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not be liable for the acts or omissions of any other agent of the Company, and may assume performance by any such agent of its duties, absent written notice or actual knowledge to the contrary; and</w:t>
      </w:r>
    </w:p>
    <w:p>
      <w:pPr>
        <w:spacing w:after="0" w:line="62" w:lineRule="exact"/>
        <w:rPr>
          <w:rFonts w:ascii="Arial" w:cs="Arial" w:eastAsia="Arial" w:hAnsi="Arial"/>
          <w:sz w:val="18"/>
          <w:szCs w:val="18"/>
          <w:color w:val="auto"/>
        </w:rPr>
      </w:pPr>
    </w:p>
    <w:p>
      <w:pPr>
        <w:ind w:left="1120" w:hanging="297"/>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136"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7"/>
          <w:szCs w:val="17"/>
          <w:b w:val="1"/>
          <w:bCs w:val="1"/>
          <w:color w:val="auto"/>
        </w:rPr>
        <w:t>TRUSTEE NOT RESPONSIBLE FOR RECITALS OR ISSUANCE OR SECURITIES.</w:t>
      </w:r>
    </w:p>
    <w:p>
      <w:pPr>
        <w:spacing w:after="0" w:line="121" w:lineRule="exact"/>
        <w:rPr>
          <w:sz w:val="20"/>
          <w:szCs w:val="20"/>
          <w:color w:val="auto"/>
        </w:rPr>
      </w:pPr>
    </w:p>
    <w:p>
      <w:pPr>
        <w:ind w:firstLine="823"/>
        <w:spacing w:after="0" w:line="277" w:lineRule="auto"/>
        <w:tabs>
          <w:tab w:leader="none" w:pos="10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080" w:hanging="257"/>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17" w:lineRule="exact"/>
        <w:rPr>
          <w:rFonts w:ascii="Arial" w:cs="Arial" w:eastAsia="Arial" w:hAnsi="Arial"/>
          <w:sz w:val="18"/>
          <w:szCs w:val="18"/>
          <w:color w:val="auto"/>
        </w:rPr>
      </w:pPr>
    </w:p>
    <w:p>
      <w:pPr>
        <w:jc w:val="both"/>
        <w:ind w:firstLine="823"/>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69"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8"/>
          <w:szCs w:val="18"/>
          <w:b w:val="1"/>
          <w:bCs w:val="1"/>
          <w:color w:val="auto"/>
        </w:rPr>
        <w:t>MAY HOLD SECURITIES AND OTHERWISE DEAL WITH THE COMPANY.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67" w:lineRule="exact"/>
        <w:rPr>
          <w:sz w:val="20"/>
          <w:szCs w:val="20"/>
          <w:color w:val="auto"/>
        </w:rPr>
      </w:pPr>
    </w:p>
    <w:p>
      <w:pPr>
        <w:ind w:left="200"/>
        <w:spacing w:after="0"/>
        <w:tabs>
          <w:tab w:leader="none" w:pos="188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8"/>
          <w:szCs w:val="18"/>
          <w:b w:val="1"/>
          <w:bCs w:val="1"/>
          <w:color w:val="auto"/>
        </w:rPr>
        <w:t>MONEYS HELD IN TRUST.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53"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8"/>
          <w:szCs w:val="18"/>
          <w:b w:val="1"/>
          <w:bCs w:val="1"/>
          <w:color w:val="auto"/>
        </w:rPr>
        <w:t>COMPENSATION AND REIMBURSEMENT.</w:t>
      </w:r>
    </w:p>
    <w:p>
      <w:pPr>
        <w:spacing w:after="0" w:line="121" w:lineRule="exact"/>
        <w:rPr>
          <w:sz w:val="20"/>
          <w:szCs w:val="20"/>
          <w:color w:val="auto"/>
        </w:rPr>
      </w:pPr>
    </w:p>
    <w:p>
      <w:pPr>
        <w:ind w:left="5620" w:right="2200" w:hanging="4797"/>
        <w:spacing w:after="0" w:line="528" w:lineRule="auto"/>
        <w:tabs>
          <w:tab w:leader="none" w:pos="10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covenants and agrees to pay to the Trustee, and the Trustee shall be entitled to, such compensation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both"/>
        <w:spacing w:after="0" w:line="288" w:lineRule="auto"/>
        <w:rPr>
          <w:sz w:val="20"/>
          <w:szCs w:val="20"/>
          <w:color w:val="auto"/>
        </w:rPr>
      </w:pPr>
      <w:r>
        <w:rPr>
          <w:rFonts w:ascii="Arial" w:cs="Arial" w:eastAsia="Arial" w:hAnsi="Arial"/>
          <w:sz w:val="16"/>
          <w:szCs w:val="16"/>
          <w:color w:val="auto"/>
        </w:rPr>
        <w:t>(which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61" w:lineRule="exact"/>
        <w:rPr>
          <w:sz w:val="20"/>
          <w:szCs w:val="20"/>
          <w:color w:val="auto"/>
        </w:rPr>
      </w:pPr>
    </w:p>
    <w:p>
      <w:pPr>
        <w:ind w:firstLine="823"/>
        <w:spacing w:after="0" w:line="308" w:lineRule="auto"/>
        <w:tabs>
          <w:tab w:leader="none" w:pos="107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Section 7.6 shall survive the resignation or removal of the Trustee and the termination or satisfaction of this Indenture.</w:t>
      </w:r>
    </w:p>
    <w:p>
      <w:pPr>
        <w:spacing w:after="0" w:line="113"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8"/>
          <w:szCs w:val="18"/>
          <w:b w:val="1"/>
          <w:bCs w:val="1"/>
          <w:color w:val="auto"/>
        </w:rPr>
        <w:t>RELIANCE ON OFFICER’S CERTIFICATE.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81"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8"/>
          <w:szCs w:val="18"/>
          <w:b w:val="1"/>
          <w:bCs w:val="1"/>
          <w:color w:val="auto"/>
        </w:rPr>
        <w:t>DISQUALIFICATION; CONFLICTING INTERESTS.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58"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8"/>
          <w:szCs w:val="18"/>
          <w:b w:val="1"/>
          <w:bCs w:val="1"/>
          <w:color w:val="auto"/>
        </w:rPr>
        <w:t>CORPORATE TRUSTEE REQUIRED; ELIGIBILITY.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46"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7"/>
          <w:szCs w:val="17"/>
          <w:b w:val="1"/>
          <w:bCs w:val="1"/>
          <w:color w:val="auto"/>
        </w:rPr>
        <w:t>RESIGNATION AND REMOVAL; APPOINTMENT OF SUCCESSOR.</w:t>
      </w:r>
    </w:p>
    <w:p>
      <w:pPr>
        <w:spacing w:after="0" w:line="121" w:lineRule="exact"/>
        <w:rPr>
          <w:sz w:val="20"/>
          <w:szCs w:val="20"/>
          <w:color w:val="auto"/>
        </w:rPr>
      </w:pPr>
    </w:p>
    <w:p>
      <w:pPr>
        <w:jc w:val="both"/>
        <w:ind w:firstLine="823"/>
        <w:spacing w:after="0" w:line="297" w:lineRule="auto"/>
        <w:tabs>
          <w:tab w:leader="none" w:pos="106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80" w:lineRule="exact"/>
        <w:rPr>
          <w:sz w:val="20"/>
          <w:szCs w:val="20"/>
          <w:color w:val="auto"/>
        </w:rPr>
      </w:pPr>
    </w:p>
    <w:p>
      <w:pPr>
        <w:ind w:left="1080" w:hanging="257"/>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820" w:firstLine="759"/>
        <w:spacing w:after="0" w:line="277" w:lineRule="auto"/>
        <w:tabs>
          <w:tab w:leader="none" w:pos="182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7.8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left="820" w:firstLine="759"/>
        <w:spacing w:after="0" w:line="277" w:lineRule="auto"/>
        <w:tabs>
          <w:tab w:leader="none" w:pos="18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7.9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jc w:val="both"/>
        <w:ind w:left="820" w:firstLine="759"/>
        <w:spacing w:after="0" w:line="264" w:lineRule="auto"/>
        <w:tabs>
          <w:tab w:leader="none" w:pos="19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4" w:lineRule="exact"/>
        <w:rPr>
          <w:sz w:val="20"/>
          <w:szCs w:val="20"/>
          <w:color w:val="auto"/>
        </w:rPr>
      </w:pPr>
    </w:p>
    <w:p>
      <w:pPr>
        <w:jc w:val="both"/>
        <w:ind w:firstLine="823"/>
        <w:spacing w:after="0" w:line="264" w:lineRule="auto"/>
        <w:tabs>
          <w:tab w:leader="none" w:pos="10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73" w:lineRule="exact"/>
        <w:rPr>
          <w:rFonts w:ascii="Arial" w:cs="Arial" w:eastAsia="Arial" w:hAnsi="Arial"/>
          <w:sz w:val="18"/>
          <w:szCs w:val="18"/>
          <w:color w:val="auto"/>
        </w:rPr>
      </w:pPr>
    </w:p>
    <w:p>
      <w:pPr>
        <w:ind w:right="20" w:firstLine="823"/>
        <w:spacing w:after="0" w:line="308" w:lineRule="auto"/>
        <w:tabs>
          <w:tab w:leader="none" w:pos="1079"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38" w:lineRule="exact"/>
        <w:rPr>
          <w:rFonts w:ascii="Arial" w:cs="Arial" w:eastAsia="Arial" w:hAnsi="Arial"/>
          <w:sz w:val="17"/>
          <w:szCs w:val="17"/>
          <w:color w:val="auto"/>
        </w:rPr>
      </w:pPr>
    </w:p>
    <w:p>
      <w:pPr>
        <w:ind w:firstLine="823"/>
        <w:spacing w:after="0" w:line="277" w:lineRule="auto"/>
        <w:tabs>
          <w:tab w:leader="none" w:pos="10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58"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7"/>
          <w:szCs w:val="17"/>
          <w:b w:val="1"/>
          <w:bCs w:val="1"/>
          <w:color w:val="auto"/>
        </w:rPr>
        <w:t>ACCEPTANCE OF APPOINTMENT BY SUCCESSOR.</w:t>
      </w:r>
    </w:p>
    <w:p>
      <w:pPr>
        <w:spacing w:after="0" w:line="121" w:lineRule="exact"/>
        <w:rPr>
          <w:sz w:val="20"/>
          <w:szCs w:val="20"/>
          <w:color w:val="auto"/>
        </w:rPr>
      </w:pPr>
    </w:p>
    <w:p>
      <w:pPr>
        <w:jc w:val="both"/>
        <w:ind w:firstLine="823"/>
        <w:spacing w:after="0" w:line="293" w:lineRule="auto"/>
        <w:tabs>
          <w:tab w:leader="none" w:pos="1084"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jc w:val="both"/>
        <w:ind w:firstLine="823"/>
        <w:spacing w:after="0" w:line="269" w:lineRule="auto"/>
        <w:tabs>
          <w:tab w:leader="none" w:pos="10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spacing w:after="0" w:line="293" w:lineRule="auto"/>
        <w:rPr>
          <w:sz w:val="20"/>
          <w:szCs w:val="20"/>
          <w:color w:val="auto"/>
        </w:rPr>
      </w:pPr>
      <w:r>
        <w:rPr>
          <w:rFonts w:ascii="Arial" w:cs="Arial" w:eastAsia="Arial" w:hAnsi="Arial"/>
          <w:sz w:val="16"/>
          <w:szCs w:val="16"/>
          <w:color w:val="auto"/>
        </w:rPr>
        <w:t>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57" w:lineRule="exact"/>
        <w:rPr>
          <w:sz w:val="20"/>
          <w:szCs w:val="20"/>
          <w:color w:val="auto"/>
        </w:rPr>
      </w:pPr>
    </w:p>
    <w:p>
      <w:pPr>
        <w:ind w:firstLine="823"/>
        <w:spacing w:after="0" w:line="308" w:lineRule="auto"/>
        <w:tabs>
          <w:tab w:leader="none" w:pos="1077"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38" w:lineRule="exact"/>
        <w:rPr>
          <w:rFonts w:ascii="Arial" w:cs="Arial" w:eastAsia="Arial" w:hAnsi="Arial"/>
          <w:sz w:val="17"/>
          <w:szCs w:val="17"/>
          <w:color w:val="auto"/>
        </w:rPr>
      </w:pPr>
    </w:p>
    <w:p>
      <w:pPr>
        <w:ind w:firstLine="823"/>
        <w:spacing w:after="0" w:line="277" w:lineRule="auto"/>
        <w:tabs>
          <w:tab w:leader="none" w:pos="1083"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VII.</w:t>
      </w:r>
    </w:p>
    <w:p>
      <w:pPr>
        <w:spacing w:after="0" w:line="62" w:lineRule="exact"/>
        <w:rPr>
          <w:rFonts w:ascii="Arial" w:cs="Arial" w:eastAsia="Arial" w:hAnsi="Arial"/>
          <w:sz w:val="18"/>
          <w:szCs w:val="18"/>
          <w:color w:val="auto"/>
        </w:rPr>
      </w:pPr>
    </w:p>
    <w:p>
      <w:pPr>
        <w:jc w:val="both"/>
        <w:ind w:firstLine="823"/>
        <w:spacing w:after="0" w:line="259"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75"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7"/>
          <w:szCs w:val="17"/>
          <w:b w:val="1"/>
          <w:bCs w:val="1"/>
          <w:color w:val="auto"/>
        </w:rPr>
        <w:t>MERGER, CONVERSION, CONSOLIDATION OR SUCCESSION TO BUSINESS.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7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8"/>
          <w:szCs w:val="18"/>
          <w:b w:val="1"/>
          <w:bCs w:val="1"/>
          <w:color w:val="auto"/>
        </w:rPr>
        <w:t>PREFERENTIAL COLLECTION OF CLAIMS AGAINST THE COMPANY.</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34" w:lineRule="exact"/>
        <w:rPr>
          <w:sz w:val="20"/>
          <w:szCs w:val="20"/>
          <w:color w:val="auto"/>
        </w:rPr>
      </w:pPr>
    </w:p>
    <w:p>
      <w:pPr>
        <w:ind w:left="220"/>
        <w:spacing w:after="0"/>
        <w:tabs>
          <w:tab w:leader="none" w:pos="190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7"/>
          <w:szCs w:val="17"/>
          <w:b w:val="1"/>
          <w:bCs w:val="1"/>
          <w:color w:val="auto"/>
        </w:rPr>
        <w:t>NOTICE OF DEFAULT.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66"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7.15</w:t>
      </w:r>
      <w:r>
        <w:rPr>
          <w:sz w:val="20"/>
          <w:szCs w:val="20"/>
          <w:color w:val="auto"/>
        </w:rPr>
        <w:tab/>
      </w: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117"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8"/>
          <w:szCs w:val="18"/>
          <w:b w:val="1"/>
          <w:bCs w:val="1"/>
          <w:color w:val="auto"/>
        </w:rPr>
        <w:t>EVIDENCE OF ACTION BY SECURITYHOLDERS.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55"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8"/>
          <w:szCs w:val="18"/>
          <w:b w:val="1"/>
          <w:bCs w:val="1"/>
          <w:color w:val="auto"/>
        </w:rPr>
        <w:t>PROOF OF EXECUTION BY SECURITYHOLDERS.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62" w:lineRule="exact"/>
        <w:rPr>
          <w:sz w:val="20"/>
          <w:szCs w:val="20"/>
          <w:color w:val="auto"/>
        </w:rPr>
      </w:pPr>
    </w:p>
    <w:p>
      <w:pPr>
        <w:ind w:left="1060" w:hanging="237"/>
        <w:spacing w:after="0"/>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140" w:lineRule="exact"/>
        <w:rPr>
          <w:rFonts w:ascii="Arial" w:cs="Arial" w:eastAsia="Arial" w:hAnsi="Arial"/>
          <w:sz w:val="16"/>
          <w:szCs w:val="16"/>
          <w:color w:val="auto"/>
        </w:rPr>
      </w:pPr>
    </w:p>
    <w:p>
      <w:pPr>
        <w:ind w:right="360" w:firstLine="823"/>
        <w:spacing w:after="0" w:line="373" w:lineRule="auto"/>
        <w:tabs>
          <w:tab w:leader="none" w:pos="10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7"/>
          <w:szCs w:val="17"/>
          <w:b w:val="1"/>
          <w:bCs w:val="1"/>
          <w:color w:val="auto"/>
        </w:rPr>
        <w:t>WHO MAY BE DEEMED OWNERS.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370"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8"/>
          <w:szCs w:val="18"/>
          <w:b w:val="1"/>
          <w:bCs w:val="1"/>
          <w:color w:val="auto"/>
        </w:rPr>
        <w:t>CERTAIN SECURITIES OWNED BY COMPANY DISREGARDED.</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55"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8"/>
          <w:szCs w:val="18"/>
          <w:b w:val="1"/>
          <w:bCs w:val="1"/>
          <w:color w:val="auto"/>
        </w:rPr>
        <w:t>ACTIONS BINDING ON FUTURE SECURITYHOLDERS.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jc w:val="both"/>
        <w:spacing w:after="0" w:line="297" w:lineRule="auto"/>
        <w:rPr>
          <w:sz w:val="20"/>
          <w:szCs w:val="20"/>
          <w:color w:val="auto"/>
        </w:rPr>
      </w:pPr>
      <w:r>
        <w:rPr>
          <w:rFonts w:ascii="Arial" w:cs="Arial" w:eastAsia="Arial" w:hAnsi="Arial"/>
          <w:sz w:val="16"/>
          <w:szCs w:val="16"/>
          <w:color w:val="auto"/>
        </w:rPr>
        <w:t>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117"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8"/>
          <w:szCs w:val="18"/>
          <w:b w:val="1"/>
          <w:bCs w:val="1"/>
          <w:color w:val="auto"/>
        </w:rPr>
        <w:t>SUPPLEMENTAL INDENTURES WITHOUT THE CONSENT OF SECURITYHOLDERS.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73" w:lineRule="exact"/>
        <w:rPr>
          <w:sz w:val="20"/>
          <w:szCs w:val="20"/>
          <w:color w:val="auto"/>
        </w:rPr>
      </w:pPr>
    </w:p>
    <w:p>
      <w:pPr>
        <w:ind w:firstLine="823"/>
        <w:spacing w:after="0" w:line="277" w:lineRule="auto"/>
        <w:tabs>
          <w:tab w:leader="none" w:pos="10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cure any ambiguity, defect, omission or inconsistency herein or in the Securities of any series (with such ambiguity, defect, omission or inconsistency being evidenced by an Officer’s Certificate);</w:t>
      </w:r>
    </w:p>
    <w:p>
      <w:pPr>
        <w:spacing w:after="0" w:line="62" w:lineRule="exact"/>
        <w:rPr>
          <w:rFonts w:ascii="Arial" w:cs="Arial" w:eastAsia="Arial" w:hAnsi="Arial"/>
          <w:sz w:val="18"/>
          <w:szCs w:val="18"/>
          <w:color w:val="auto"/>
        </w:rPr>
      </w:pPr>
    </w:p>
    <w:p>
      <w:pPr>
        <w:jc w:val="both"/>
        <w:ind w:firstLine="823"/>
        <w:spacing w:after="0" w:line="264" w:lineRule="auto"/>
        <w:tabs>
          <w:tab w:leader="none" w:pos="10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73" w:lineRule="exact"/>
        <w:rPr>
          <w:rFonts w:ascii="Arial" w:cs="Arial" w:eastAsia="Arial" w:hAnsi="Arial"/>
          <w:sz w:val="18"/>
          <w:szCs w:val="18"/>
          <w:color w:val="auto"/>
        </w:rPr>
      </w:pPr>
    </w:p>
    <w:p>
      <w:pPr>
        <w:ind w:firstLine="823"/>
        <w:spacing w:after="0" w:line="277" w:lineRule="auto"/>
        <w:tabs>
          <w:tab w:leader="none" w:pos="10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uncertificated Securities are issued in registered form for purposes of Section 163(f) of the Code;</w:t>
      </w:r>
    </w:p>
    <w:p>
      <w:pPr>
        <w:spacing w:after="0" w:line="62" w:lineRule="exact"/>
        <w:rPr>
          <w:rFonts w:ascii="Arial" w:cs="Arial" w:eastAsia="Arial" w:hAnsi="Arial"/>
          <w:sz w:val="18"/>
          <w:szCs w:val="18"/>
          <w:color w:val="auto"/>
        </w:rPr>
      </w:pPr>
    </w:p>
    <w:p>
      <w:pPr>
        <w:ind w:firstLine="823"/>
        <w:spacing w:after="0" w:line="277" w:lineRule="auto"/>
        <w:tabs>
          <w:tab w:leader="none" w:pos="10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of the Securities of any series or to surrender any right or power conferred upon the Company or any guarantor;</w:t>
      </w:r>
    </w:p>
    <w:p>
      <w:pPr>
        <w:spacing w:after="0" w:line="62" w:lineRule="exact"/>
        <w:rPr>
          <w:rFonts w:ascii="Arial" w:cs="Arial" w:eastAsia="Arial" w:hAnsi="Arial"/>
          <w:sz w:val="18"/>
          <w:szCs w:val="18"/>
          <w:color w:val="auto"/>
        </w:rPr>
      </w:pPr>
    </w:p>
    <w:p>
      <w:pPr>
        <w:ind w:left="1060" w:hanging="237"/>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for the issuance of additional Securities of any series in accordance with the terms of this Indenture;</w:t>
      </w:r>
    </w:p>
    <w:p>
      <w:pPr>
        <w:spacing w:after="0" w:line="117" w:lineRule="exact"/>
        <w:rPr>
          <w:rFonts w:ascii="Arial" w:cs="Arial" w:eastAsia="Arial" w:hAnsi="Arial"/>
          <w:sz w:val="18"/>
          <w:szCs w:val="18"/>
          <w:color w:val="auto"/>
        </w:rPr>
      </w:pPr>
    </w:p>
    <w:p>
      <w:pPr>
        <w:ind w:left="1040" w:hanging="217"/>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17" w:lineRule="exact"/>
        <w:rPr>
          <w:rFonts w:ascii="Arial" w:cs="Arial" w:eastAsia="Arial" w:hAnsi="Arial"/>
          <w:sz w:val="18"/>
          <w:szCs w:val="18"/>
          <w:color w:val="auto"/>
        </w:rPr>
      </w:pPr>
    </w:p>
    <w:p>
      <w:pPr>
        <w:ind w:left="1100" w:hanging="277"/>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comply with any requirements of the Commission or any successor in connection with the qualification of this Indenture under the Trust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Act;</w:t>
      </w:r>
    </w:p>
    <w:p>
      <w:pPr>
        <w:spacing w:after="0" w:line="102" w:lineRule="exact"/>
        <w:rPr>
          <w:rFonts w:ascii="Arial" w:cs="Arial" w:eastAsia="Arial" w:hAnsi="Arial"/>
          <w:sz w:val="17"/>
          <w:szCs w:val="17"/>
          <w:color w:val="auto"/>
        </w:rPr>
      </w:pPr>
    </w:p>
    <w:p>
      <w:pPr>
        <w:jc w:val="both"/>
        <w:ind w:firstLine="823"/>
        <w:spacing w:after="0" w:line="264" w:lineRule="auto"/>
        <w:tabs>
          <w:tab w:leader="none" w:pos="10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73" w:lineRule="exact"/>
        <w:rPr>
          <w:rFonts w:ascii="Arial" w:cs="Arial" w:eastAsia="Arial" w:hAnsi="Arial"/>
          <w:sz w:val="18"/>
          <w:szCs w:val="18"/>
          <w:color w:val="auto"/>
        </w:rPr>
      </w:pPr>
    </w:p>
    <w:p>
      <w:pPr>
        <w:ind w:right="20" w:firstLine="823"/>
        <w:spacing w:after="0" w:line="277" w:lineRule="auto"/>
        <w:tabs>
          <w:tab w:leader="none" w:pos="10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of any series or that does not adversely affect the legal rights under this Indenture of any holder;</w:t>
      </w:r>
    </w:p>
    <w:p>
      <w:pPr>
        <w:spacing w:after="0" w:line="62" w:lineRule="exact"/>
        <w:rPr>
          <w:rFonts w:ascii="Arial" w:cs="Arial" w:eastAsia="Arial" w:hAnsi="Arial"/>
          <w:sz w:val="18"/>
          <w:szCs w:val="18"/>
          <w:color w:val="auto"/>
        </w:rPr>
      </w:pPr>
    </w:p>
    <w:p>
      <w:pPr>
        <w:jc w:val="both"/>
        <w:ind w:firstLine="823"/>
        <w:spacing w:after="0" w:line="259" w:lineRule="auto"/>
        <w:tabs>
          <w:tab w:leader="none" w:pos="10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78" w:lineRule="exact"/>
        <w:rPr>
          <w:rFonts w:ascii="Arial" w:cs="Arial" w:eastAsia="Arial" w:hAnsi="Arial"/>
          <w:sz w:val="18"/>
          <w:szCs w:val="18"/>
          <w:color w:val="auto"/>
        </w:rPr>
      </w:pPr>
    </w:p>
    <w:p>
      <w:pPr>
        <w:jc w:val="both"/>
        <w:ind w:firstLine="823"/>
        <w:spacing w:after="0" w:line="255" w:lineRule="auto"/>
        <w:tabs>
          <w:tab w:leader="none" w:pos="10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conform the text of this Indenture, any guarantee of the Securities of any series or the notes to any provision of the “Description of Debt Securities and Guarantees” included in the prospectus forming a part of the registration statement filed by the Company with the Commission on Form S-3 on August 4, 2016 or any subsequent description of Securities contained in any prospectus supplement, to the extent that such provision in that “Description of Debt Securities and Guarantees”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8"/>
          <w:szCs w:val="18"/>
          <w:b w:val="1"/>
          <w:bCs w:val="1"/>
          <w:color w:val="auto"/>
        </w:rPr>
        <w:t>SUPPLEMENTAL INDENTURES WITH THE CONSENT OF SECURITYHOLDERS.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84" w:lineRule="exact"/>
        <w:rPr>
          <w:sz w:val="20"/>
          <w:szCs w:val="20"/>
          <w:color w:val="auto"/>
        </w:rPr>
      </w:pPr>
    </w:p>
    <w:p>
      <w:pPr>
        <w:ind w:firstLine="823"/>
        <w:spacing w:after="0" w:line="277" w:lineRule="auto"/>
        <w:tabs>
          <w:tab w:leader="none" w:pos="11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or aggregate principal amount of Securities, the holders of which are required to consent to any modification, amendment, supplement or waiver;</w:t>
      </w:r>
    </w:p>
    <w:p>
      <w:pPr>
        <w:spacing w:after="0" w:line="62" w:lineRule="exact"/>
        <w:rPr>
          <w:rFonts w:ascii="Arial" w:cs="Arial" w:eastAsia="Arial" w:hAnsi="Arial"/>
          <w:sz w:val="18"/>
          <w:szCs w:val="18"/>
          <w:color w:val="auto"/>
        </w:rPr>
      </w:pPr>
    </w:p>
    <w:p>
      <w:pPr>
        <w:ind w:left="1080" w:hanging="257"/>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amount of, or premium, if any, or rate of interest on, such Securities;</w:t>
      </w:r>
    </w:p>
    <w:p>
      <w:pPr>
        <w:spacing w:after="0" w:line="117" w:lineRule="exact"/>
        <w:rPr>
          <w:rFonts w:ascii="Arial" w:cs="Arial" w:eastAsia="Arial" w:hAnsi="Arial"/>
          <w:sz w:val="18"/>
          <w:szCs w:val="18"/>
          <w:color w:val="auto"/>
        </w:rPr>
      </w:pPr>
    </w:p>
    <w:p>
      <w:pPr>
        <w:ind w:left="1060" w:hanging="237"/>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 the fixed maturity of such Securities;</w:t>
      </w:r>
    </w:p>
    <w:p>
      <w:pPr>
        <w:spacing w:after="0" w:line="117" w:lineRule="exact"/>
        <w:rPr>
          <w:rFonts w:ascii="Arial" w:cs="Arial" w:eastAsia="Arial" w:hAnsi="Arial"/>
          <w:sz w:val="18"/>
          <w:szCs w:val="18"/>
          <w:color w:val="auto"/>
        </w:rPr>
      </w:pPr>
    </w:p>
    <w:p>
      <w:pPr>
        <w:ind w:left="1080" w:hanging="257"/>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 the time for payment of interest on such Securities;</w:t>
      </w:r>
    </w:p>
    <w:p>
      <w:pPr>
        <w:spacing w:after="0" w:line="117" w:lineRule="exact"/>
        <w:rPr>
          <w:rFonts w:ascii="Arial" w:cs="Arial" w:eastAsia="Arial" w:hAnsi="Arial"/>
          <w:sz w:val="18"/>
          <w:szCs w:val="18"/>
          <w:color w:val="auto"/>
        </w:rPr>
      </w:pPr>
    </w:p>
    <w:p>
      <w:pPr>
        <w:ind w:left="1100" w:hanging="277"/>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reduce the redemption or repurchase price of such Securities or change the time at which the Securities may or must be redeemed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repurchased;</w:t>
      </w:r>
    </w:p>
    <w:p>
      <w:pPr>
        <w:spacing w:after="0" w:line="102" w:lineRule="exact"/>
        <w:rPr>
          <w:rFonts w:ascii="Arial" w:cs="Arial" w:eastAsia="Arial" w:hAnsi="Arial"/>
          <w:sz w:val="17"/>
          <w:szCs w:val="17"/>
          <w:color w:val="auto"/>
        </w:rPr>
      </w:pPr>
    </w:p>
    <w:p>
      <w:pPr>
        <w:ind w:left="1040" w:hanging="217"/>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the currency of payment of principal of, or premium, if any, or interest on, such Securities;</w:t>
      </w:r>
    </w:p>
    <w:p>
      <w:pPr>
        <w:spacing w:after="0" w:line="117" w:lineRule="exact"/>
        <w:rPr>
          <w:rFonts w:ascii="Arial" w:cs="Arial" w:eastAsia="Arial" w:hAnsi="Arial"/>
          <w:sz w:val="18"/>
          <w:szCs w:val="18"/>
          <w:color w:val="auto"/>
        </w:rPr>
      </w:pPr>
    </w:p>
    <w:p>
      <w:pPr>
        <w:ind w:left="1080" w:hanging="257"/>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waive a default in the payment of principal of, premium, if any, or interest on such Securities (except as provided in Section 6.1(c));</w:t>
      </w:r>
    </w:p>
    <w:p>
      <w:pPr>
        <w:spacing w:after="0" w:line="128" w:lineRule="exact"/>
        <w:rPr>
          <w:rFonts w:ascii="Arial" w:cs="Arial" w:eastAsia="Arial" w:hAnsi="Arial"/>
          <w:sz w:val="17"/>
          <w:szCs w:val="17"/>
          <w:color w:val="auto"/>
        </w:rPr>
      </w:pPr>
    </w:p>
    <w:p>
      <w:pPr>
        <w:ind w:left="1080" w:hanging="257"/>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voluntarily release a guarantor of such Securities other than in accordance with this Indenture;</w:t>
      </w:r>
    </w:p>
    <w:p>
      <w:pPr>
        <w:spacing w:after="0" w:line="117" w:lineRule="exact"/>
        <w:rPr>
          <w:rFonts w:ascii="Arial" w:cs="Arial" w:eastAsia="Arial" w:hAnsi="Arial"/>
          <w:sz w:val="18"/>
          <w:szCs w:val="18"/>
          <w:color w:val="auto"/>
        </w:rPr>
      </w:pPr>
    </w:p>
    <w:p>
      <w:pPr>
        <w:ind w:right="20" w:firstLine="823"/>
        <w:spacing w:after="0" w:line="277" w:lineRule="auto"/>
        <w:tabs>
          <w:tab w:leader="none" w:pos="10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or aggregate principal amount of Outstanding Securities the consent of whose holders is necessary for waiver of compliance with certain provisions of this Indenture or for waiver of certain defaults; or</w:t>
      </w:r>
    </w:p>
    <w:p>
      <w:pPr>
        <w:spacing w:after="0" w:line="62" w:lineRule="exact"/>
        <w:rPr>
          <w:rFonts w:ascii="Arial" w:cs="Arial" w:eastAsia="Arial" w:hAnsi="Arial"/>
          <w:sz w:val="18"/>
          <w:szCs w:val="18"/>
          <w:color w:val="auto"/>
        </w:rPr>
      </w:pPr>
    </w:p>
    <w:p>
      <w:pPr>
        <w:ind w:firstLine="823"/>
        <w:spacing w:after="0" w:line="277" w:lineRule="auto"/>
        <w:tabs>
          <w:tab w:leader="none" w:pos="10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after the stated maturity (or, in the case of a redemption, on or after the redemption date) of such Securities.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58"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8"/>
          <w:szCs w:val="18"/>
          <w:b w:val="1"/>
          <w:bCs w:val="1"/>
          <w:color w:val="auto"/>
        </w:rPr>
        <w:t>EFFECT OF SUPPLEMENTAL INDENTURES.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60"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7"/>
          <w:szCs w:val="17"/>
          <w:b w:val="1"/>
          <w:bCs w:val="1"/>
          <w:color w:val="auto"/>
        </w:rPr>
        <w:t>SECURITIES AFFECTED BY SUPPLEMENTAL INDENTURES.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81"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8"/>
          <w:szCs w:val="18"/>
          <w:b w:val="1"/>
          <w:bCs w:val="1"/>
          <w:color w:val="auto"/>
        </w:rPr>
        <w:t>EXECUTION OF SUPPLEMENTAL INDENTURES.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117"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7"/>
          <w:szCs w:val="17"/>
          <w:b w:val="1"/>
          <w:bCs w:val="1"/>
          <w:color w:val="auto"/>
        </w:rPr>
        <w:t>COMPANY MAY CONSOLIDATE, ETC.</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282"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7"/>
          <w:szCs w:val="17"/>
          <w:b w:val="1"/>
          <w:bCs w:val="1"/>
          <w:color w:val="auto"/>
        </w:rPr>
        <w:t>SUCCESSOR ENTITY SUBSTITUTED.</w:t>
      </w:r>
    </w:p>
    <w:p>
      <w:pPr>
        <w:spacing w:after="0" w:line="121" w:lineRule="exact"/>
        <w:rPr>
          <w:sz w:val="20"/>
          <w:szCs w:val="20"/>
          <w:color w:val="auto"/>
        </w:rPr>
      </w:pPr>
    </w:p>
    <w:p>
      <w:pPr>
        <w:jc w:val="both"/>
        <w:ind w:firstLine="823"/>
        <w:spacing w:after="0" w:line="302" w:lineRule="auto"/>
        <w:tabs>
          <w:tab w:leader="none" w:pos="107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firstLine="823"/>
        <w:spacing w:after="0" w:line="277" w:lineRule="auto"/>
        <w:tabs>
          <w:tab w:leader="none" w:pos="10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jc w:val="both"/>
        <w:ind w:firstLine="823"/>
        <w:spacing w:after="0" w:line="264" w:lineRule="auto"/>
        <w:tabs>
          <w:tab w:leader="none" w:pos="10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69"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8"/>
          <w:szCs w:val="18"/>
          <w:b w:val="1"/>
          <w:bCs w:val="1"/>
          <w:color w:val="auto"/>
        </w:rPr>
        <w:t>EVIDENCE OF CONSOLIDATION, ETC. TO TRUSTEE.</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either</w:t>
      </w:r>
    </w:p>
    <w:p>
      <w:pPr>
        <w:spacing w:after="0" w:line="117" w:lineRule="exact"/>
        <w:rPr>
          <w:sz w:val="20"/>
          <w:szCs w:val="20"/>
          <w:color w:val="auto"/>
        </w:rPr>
      </w:pPr>
    </w:p>
    <w:p>
      <w:pPr>
        <w:jc w:val="both"/>
        <w:ind w:left="820" w:firstLine="759"/>
        <w:spacing w:after="0" w:line="302" w:lineRule="auto"/>
        <w:tabs>
          <w:tab w:leader="none" w:pos="181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46" w:lineRule="exact"/>
        <w:rPr>
          <w:rFonts w:ascii="Arial" w:cs="Arial" w:eastAsia="Arial" w:hAnsi="Arial"/>
          <w:sz w:val="16"/>
          <w:szCs w:val="16"/>
          <w:color w:val="auto"/>
        </w:rPr>
      </w:pPr>
    </w:p>
    <w:p>
      <w:pPr>
        <w:ind w:left="1840" w:hanging="261"/>
        <w:spacing w:after="0"/>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 or</w:t>
      </w:r>
    </w:p>
    <w:p>
      <w:pPr>
        <w:spacing w:after="0" w:line="117" w:lineRule="exact"/>
        <w:rPr>
          <w:rFonts w:ascii="Arial" w:cs="Arial" w:eastAsia="Arial" w:hAnsi="Arial"/>
          <w:sz w:val="18"/>
          <w:szCs w:val="18"/>
          <w:color w:val="auto"/>
        </w:rPr>
      </w:pPr>
    </w:p>
    <w:p>
      <w:pPr>
        <w:ind w:left="1940" w:hanging="301"/>
        <w:spacing w:after="0"/>
        <w:tabs>
          <w:tab w:leader="none" w:pos="1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have become due and payable by reason of the mailing of a notice of redemption or otherwise, or</w:t>
      </w:r>
    </w:p>
    <w:p>
      <w:pPr>
        <w:spacing w:after="0" w:line="117" w:lineRule="exact"/>
        <w:rPr>
          <w:rFonts w:ascii="Arial" w:cs="Arial" w:eastAsia="Arial" w:hAnsi="Arial"/>
          <w:sz w:val="18"/>
          <w:szCs w:val="18"/>
          <w:color w:val="auto"/>
        </w:rPr>
      </w:pPr>
    </w:p>
    <w:p>
      <w:pPr>
        <w:ind w:left="1920" w:hanging="281"/>
        <w:spacing w:after="0"/>
        <w:tabs>
          <w:tab w:leader="none" w:pos="1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will become due and payable within one year,</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50" w:lineRule="exact"/>
        <w:rPr>
          <w:sz w:val="20"/>
          <w:szCs w:val="20"/>
          <w:color w:val="auto"/>
        </w:rPr>
      </w:pPr>
    </w:p>
    <w:p>
      <w:pPr>
        <w:jc w:val="both"/>
        <w:ind w:firstLine="823"/>
        <w:spacing w:after="0" w:line="264" w:lineRule="auto"/>
        <w:tabs>
          <w:tab w:leader="none" w:pos="10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73" w:lineRule="exact"/>
        <w:rPr>
          <w:rFonts w:ascii="Arial" w:cs="Arial" w:eastAsia="Arial" w:hAnsi="Arial"/>
          <w:sz w:val="18"/>
          <w:szCs w:val="18"/>
          <w:color w:val="auto"/>
        </w:rPr>
      </w:pPr>
    </w:p>
    <w:p>
      <w:pPr>
        <w:ind w:left="1060" w:hanging="237"/>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or any guarantor has paid or caused to be paid all other sums payable hereunder by the Company with respect to such series; and</w:t>
      </w:r>
    </w:p>
    <w:p>
      <w:pPr>
        <w:spacing w:after="0" w:line="140" w:lineRule="exact"/>
        <w:rPr>
          <w:rFonts w:ascii="Arial" w:cs="Arial" w:eastAsia="Arial" w:hAnsi="Arial"/>
          <w:sz w:val="16"/>
          <w:szCs w:val="16"/>
          <w:color w:val="auto"/>
        </w:rPr>
      </w:pPr>
    </w:p>
    <w:p>
      <w:pPr>
        <w:ind w:firstLine="823"/>
        <w:spacing w:after="0" w:line="277" w:lineRule="auto"/>
        <w:tabs>
          <w:tab w:leader="none" w:pos="107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towards the payment of the notes at maturity or on the redemption date, as the case may be.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75" w:lineRule="exact"/>
        <w:rPr>
          <w:sz w:val="20"/>
          <w:szCs w:val="20"/>
          <w:color w:val="auto"/>
        </w:rPr>
      </w:pPr>
    </w:p>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8"/>
          <w:szCs w:val="18"/>
          <w:b w:val="1"/>
          <w:bCs w:val="1"/>
          <w:color w:val="auto"/>
        </w:rPr>
        <w:t>APPLICATION OF TRUST MONEY.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4" w:name="page65"/>
    <w:bookmarkEnd w:id="64"/>
    <w:p>
      <w:pPr>
        <w:ind w:left="220"/>
        <w:spacing w:after="0"/>
        <w:tabs>
          <w:tab w:leader="none" w:pos="180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7"/>
          <w:szCs w:val="17"/>
          <w:b w:val="1"/>
          <w:bCs w:val="1"/>
          <w:color w:val="auto"/>
        </w:rPr>
        <w:t>OPTION TO EFFECT LEGAL DEFEASANCE OR COVENANT DEFEASANCE</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2"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7"/>
          <w:szCs w:val="17"/>
          <w:b w:val="1"/>
          <w:bCs w:val="1"/>
          <w:color w:val="auto"/>
        </w:rPr>
        <w:t>LEGAL DEFEASANCE AND DISCHARGE</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Arial" w:cs="Arial" w:eastAsia="Arial" w:hAnsi="Arial"/>
          <w:sz w:val="17"/>
          <w:szCs w:val="17"/>
          <w:b w:val="1"/>
          <w:bCs w:val="1"/>
          <w:color w:val="auto"/>
        </w:rPr>
        <w:t>Legal Defeasance</w:t>
      </w:r>
      <w:r>
        <w:rPr>
          <w:rFonts w:ascii="Arial" w:cs="Arial" w:eastAsia="Arial" w:hAnsi="Arial"/>
          <w:sz w:val="17"/>
          <w:szCs w:val="17"/>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1" w:lineRule="exact"/>
        <w:rPr>
          <w:sz w:val="20"/>
          <w:szCs w:val="20"/>
          <w:color w:val="auto"/>
        </w:rPr>
      </w:pPr>
    </w:p>
    <w:p>
      <w:pPr>
        <w:ind w:right="20" w:firstLine="823"/>
        <w:spacing w:after="0" w:line="277" w:lineRule="auto"/>
        <w:tabs>
          <w:tab w:leader="none" w:pos="10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of holders of Outstanding Securities of such series to receive payments in respect of the principal of, premium on, if any, or interest on such Securities when such payments are due from the trust referred to in Section 12.4 hereof;</w:t>
      </w:r>
    </w:p>
    <w:p>
      <w:pPr>
        <w:spacing w:after="0" w:line="62" w:lineRule="exact"/>
        <w:rPr>
          <w:rFonts w:ascii="Arial" w:cs="Arial" w:eastAsia="Arial" w:hAnsi="Arial"/>
          <w:sz w:val="18"/>
          <w:szCs w:val="18"/>
          <w:color w:val="auto"/>
        </w:rPr>
      </w:pPr>
    </w:p>
    <w:p>
      <w:pPr>
        <w:ind w:left="1080" w:hanging="257"/>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Issuers’ obligations with respect to such Securities under Article 2 and Section 4.2 hereof;</w:t>
      </w:r>
    </w:p>
    <w:p>
      <w:pPr>
        <w:spacing w:after="0" w:line="117" w:lineRule="exact"/>
        <w:rPr>
          <w:rFonts w:ascii="Arial" w:cs="Arial" w:eastAsia="Arial" w:hAnsi="Arial"/>
          <w:sz w:val="18"/>
          <w:szCs w:val="18"/>
          <w:color w:val="auto"/>
        </w:rPr>
      </w:pPr>
    </w:p>
    <w:p>
      <w:pPr>
        <w:ind w:left="1080" w:hanging="257"/>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hereunder and the Company’s obligations in connection therewith; and</w:t>
      </w:r>
    </w:p>
    <w:p>
      <w:pPr>
        <w:spacing w:after="0" w:line="128" w:lineRule="exact"/>
        <w:rPr>
          <w:rFonts w:ascii="Arial" w:cs="Arial" w:eastAsia="Arial" w:hAnsi="Arial"/>
          <w:sz w:val="17"/>
          <w:szCs w:val="17"/>
          <w:color w:val="auto"/>
        </w:rPr>
      </w:pPr>
    </w:p>
    <w:p>
      <w:pPr>
        <w:ind w:left="1080" w:hanging="257"/>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Article XII.</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383"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7"/>
          <w:szCs w:val="17"/>
          <w:b w:val="1"/>
          <w:bCs w:val="1"/>
          <w:color w:val="auto"/>
        </w:rPr>
        <w:t>COVENANT DEFEASANCE</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Arial" w:cs="Arial" w:eastAsia="Arial" w:hAnsi="Arial"/>
          <w:sz w:val="16"/>
          <w:szCs w:val="16"/>
          <w:b w:val="1"/>
          <w:bCs w:val="1"/>
          <w:color w:val="auto"/>
        </w:rPr>
        <w:t>Covenant Defeasance</w:t>
      </w:r>
      <w:r>
        <w:rPr>
          <w:rFonts w:ascii="Arial" w:cs="Arial" w:eastAsia="Arial" w:hAnsi="Arial"/>
          <w:sz w:val="16"/>
          <w:szCs w:val="16"/>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57"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12.4</w:t>
      </w:r>
      <w:r>
        <w:rPr>
          <w:sz w:val="20"/>
          <w:szCs w:val="20"/>
          <w:color w:val="auto"/>
        </w:rPr>
        <w:tab/>
      </w:r>
      <w:r>
        <w:rPr>
          <w:rFonts w:ascii="Arial" w:cs="Arial" w:eastAsia="Arial" w:hAnsi="Arial"/>
          <w:sz w:val="18"/>
          <w:szCs w:val="18"/>
          <w:b w:val="1"/>
          <w:bCs w:val="1"/>
          <w:color w:val="auto"/>
        </w:rPr>
        <w:t>CONDITIONS TO LEGAL OR COVENANT DEFEASANCE</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exercise either Legal Defeasance or Covenant Defeasance under either Section 12.2 or 12.3 hereof with respect to the Outstanding Securities of a particular series:</w:t>
      </w:r>
    </w:p>
    <w:p>
      <w:pPr>
        <w:spacing w:after="0" w:line="62" w:lineRule="exact"/>
        <w:rPr>
          <w:sz w:val="20"/>
          <w:szCs w:val="20"/>
          <w:color w:val="auto"/>
        </w:rPr>
      </w:pPr>
    </w:p>
    <w:p>
      <w:pPr>
        <w:jc w:val="both"/>
        <w:ind w:firstLine="823"/>
        <w:spacing w:after="0" w:line="276" w:lineRule="auto"/>
        <w:tabs>
          <w:tab w:leader="none" w:pos="107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64" w:lineRule="exact"/>
        <w:rPr>
          <w:rFonts w:ascii="Arial" w:cs="Arial" w:eastAsia="Arial" w:hAnsi="Arial"/>
          <w:sz w:val="17"/>
          <w:szCs w:val="17"/>
          <w:color w:val="auto"/>
        </w:rPr>
      </w:pPr>
    </w:p>
    <w:p>
      <w:pPr>
        <w:ind w:left="1080" w:hanging="257"/>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an election under Section 12.2 hereof, the Company must deliver to the Trustee an Opinion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Counsel reasonably acceptable to the Trustee confirming that:</w:t>
      </w:r>
    </w:p>
    <w:p>
      <w:pPr>
        <w:spacing w:after="0" w:line="117" w:lineRule="exact"/>
        <w:rPr>
          <w:sz w:val="20"/>
          <w:szCs w:val="20"/>
          <w:color w:val="auto"/>
        </w:rPr>
      </w:pPr>
    </w:p>
    <w:p>
      <w:pPr>
        <w:ind w:left="1940" w:hanging="301"/>
        <w:spacing w:after="0"/>
        <w:tabs>
          <w:tab w:leader="none" w:pos="1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920" w:hanging="281"/>
        <w:spacing w:after="0"/>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7" w:lineRule="exact"/>
        <w:rPr>
          <w:sz w:val="20"/>
          <w:szCs w:val="20"/>
          <w:color w:val="auto"/>
        </w:rPr>
      </w:pPr>
    </w:p>
    <w:p>
      <w:pPr>
        <w:jc w:val="both"/>
        <w:ind w:firstLine="823"/>
        <w:spacing w:after="0" w:line="259" w:lineRule="auto"/>
        <w:tabs>
          <w:tab w:leader="none" w:pos="10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jc w:val="both"/>
        <w:ind w:firstLine="823"/>
        <w:spacing w:after="0" w:line="264" w:lineRule="auto"/>
        <w:tabs>
          <w:tab w:leader="none" w:pos="10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73" w:lineRule="exact"/>
        <w:rPr>
          <w:rFonts w:ascii="Arial" w:cs="Arial" w:eastAsia="Arial" w:hAnsi="Arial"/>
          <w:sz w:val="18"/>
          <w:szCs w:val="18"/>
          <w:color w:val="auto"/>
        </w:rPr>
      </w:pPr>
    </w:p>
    <w:p>
      <w:pPr>
        <w:jc w:val="both"/>
        <w:ind w:firstLine="823"/>
        <w:spacing w:after="0" w:line="264" w:lineRule="auto"/>
        <w:tabs>
          <w:tab w:leader="none" w:pos="10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73" w:lineRule="exact"/>
        <w:rPr>
          <w:rFonts w:ascii="Arial" w:cs="Arial" w:eastAsia="Arial" w:hAnsi="Arial"/>
          <w:sz w:val="18"/>
          <w:szCs w:val="18"/>
          <w:color w:val="auto"/>
        </w:rPr>
      </w:pPr>
    </w:p>
    <w:p>
      <w:pPr>
        <w:ind w:firstLine="823"/>
        <w:spacing w:after="0" w:line="277" w:lineRule="auto"/>
        <w:tabs>
          <w:tab w:leader="none" w:pos="10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58" w:lineRule="exact"/>
        <w:rPr>
          <w:sz w:val="20"/>
          <w:szCs w:val="20"/>
          <w:color w:val="auto"/>
        </w:rPr>
      </w:pPr>
    </w:p>
    <w:p>
      <w:pPr>
        <w:ind w:left="1800" w:right="680" w:hanging="1606"/>
        <w:spacing w:after="0" w:line="282" w:lineRule="auto"/>
        <w:tabs>
          <w:tab w:leader="none" w:pos="1780" w:val="left"/>
        </w:tabs>
        <w:rPr>
          <w:sz w:val="20"/>
          <w:szCs w:val="20"/>
          <w:color w:val="auto"/>
        </w:rPr>
      </w:pPr>
      <w:r>
        <w:rPr>
          <w:rFonts w:ascii="Arial" w:cs="Arial" w:eastAsia="Arial" w:hAnsi="Arial"/>
          <w:sz w:val="18"/>
          <w:szCs w:val="18"/>
          <w:b w:val="1"/>
          <w:bCs w:val="1"/>
          <w:color w:val="auto"/>
        </w:rPr>
        <w:t>SECTION 12.5</w:t>
      </w:r>
      <w:r>
        <w:rPr>
          <w:sz w:val="20"/>
          <w:szCs w:val="20"/>
          <w:color w:val="auto"/>
        </w:rPr>
        <w:tab/>
      </w:r>
      <w:r>
        <w:rPr>
          <w:rFonts w:ascii="Arial" w:cs="Arial" w:eastAsia="Arial" w:hAnsi="Arial"/>
          <w:sz w:val="18"/>
          <w:szCs w:val="18"/>
          <w:b w:val="1"/>
          <w:bCs w:val="1"/>
          <w:color w:val="auto"/>
        </w:rPr>
        <w:t>DEPOSITED MONEY AND GOVERNMENT SECURITIES TO BE HELD IN TRUST; OTHER MISCELLANEOUS PROVISIONS</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366"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b w:val="1"/>
          <w:bCs w:val="1"/>
          <w:color w:val="auto"/>
        </w:rPr>
        <w:t>SECTION 12.6</w:t>
      </w:r>
      <w:r>
        <w:rPr>
          <w:sz w:val="20"/>
          <w:szCs w:val="20"/>
          <w:color w:val="auto"/>
        </w:rPr>
        <w:tab/>
      </w:r>
      <w:r>
        <w:rPr>
          <w:rFonts w:ascii="Arial" w:cs="Arial" w:eastAsia="Arial" w:hAnsi="Arial"/>
          <w:sz w:val="17"/>
          <w:szCs w:val="17"/>
          <w:b w:val="1"/>
          <w:bCs w:val="1"/>
          <w:color w:val="auto"/>
        </w:rPr>
        <w:t>REPAYMENT TO COMPANY</w:t>
      </w:r>
      <w:r>
        <w:rPr>
          <w:rFonts w:ascii="Arial" w:cs="Arial" w:eastAsia="Arial" w:hAnsi="Arial"/>
          <w:sz w:val="17"/>
          <w:szCs w:val="17"/>
          <w:b w:val="1"/>
          <w:bCs w:val="1"/>
          <w:i w:val="1"/>
          <w:iCs w:val="1"/>
          <w:color w:val="auto"/>
        </w:rPr>
        <w: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ind w:left="180"/>
        <w:spacing w:after="0"/>
        <w:tabs>
          <w:tab w:leader="none" w:pos="160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7"/>
          <w:szCs w:val="17"/>
          <w:b w:val="1"/>
          <w:bCs w:val="1"/>
          <w:color w:val="auto"/>
        </w:rPr>
        <w:t>REINSTATEMENT.</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DIRECTORS</w:t>
      </w:r>
    </w:p>
    <w:p>
      <w:pPr>
        <w:spacing w:after="0" w:line="117" w:lineRule="exact"/>
        <w:rPr>
          <w:sz w:val="20"/>
          <w:szCs w:val="20"/>
          <w:color w:val="auto"/>
        </w:rPr>
      </w:pPr>
    </w:p>
    <w:p>
      <w:pPr>
        <w:ind w:left="200"/>
        <w:spacing w:after="0"/>
        <w:tabs>
          <w:tab w:leader="none" w:pos="174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7"/>
          <w:szCs w:val="17"/>
          <w:b w:val="1"/>
          <w:bCs w:val="1"/>
          <w:color w:val="auto"/>
        </w:rPr>
        <w:t>NO RECOURSE.</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9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14.1</w:t>
      </w:r>
      <w:r>
        <w:rPr>
          <w:sz w:val="20"/>
          <w:szCs w:val="20"/>
          <w:color w:val="auto"/>
        </w:rPr>
        <w:tab/>
      </w:r>
      <w:r>
        <w:rPr>
          <w:rFonts w:ascii="Arial" w:cs="Arial" w:eastAsia="Arial" w:hAnsi="Arial"/>
          <w:sz w:val="17"/>
          <w:szCs w:val="17"/>
          <w:b w:val="1"/>
          <w:bCs w:val="1"/>
          <w:color w:val="auto"/>
        </w:rPr>
        <w:t>EFFECT ON SUCCESSORS AND ASSIGNS.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69"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8"/>
          <w:szCs w:val="18"/>
          <w:b w:val="1"/>
          <w:bCs w:val="1"/>
          <w:color w:val="auto"/>
        </w:rPr>
        <w:t>SECTION 14.2</w:t>
      </w:r>
      <w:r>
        <w:rPr>
          <w:sz w:val="20"/>
          <w:szCs w:val="20"/>
          <w:color w:val="auto"/>
        </w:rPr>
        <w:tab/>
      </w:r>
      <w:r>
        <w:rPr>
          <w:rFonts w:ascii="Arial" w:cs="Arial" w:eastAsia="Arial" w:hAnsi="Arial"/>
          <w:sz w:val="17"/>
          <w:szCs w:val="17"/>
          <w:b w:val="1"/>
          <w:bCs w:val="1"/>
          <w:color w:val="auto"/>
        </w:rPr>
        <w:t>ACTIONS BY SUCCESSOR.</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6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14.3</w:t>
      </w:r>
      <w:r>
        <w:rPr>
          <w:sz w:val="20"/>
          <w:szCs w:val="20"/>
          <w:color w:val="auto"/>
        </w:rPr>
        <w:tab/>
      </w:r>
      <w:r>
        <w:rPr>
          <w:rFonts w:ascii="Arial" w:cs="Arial" w:eastAsia="Arial" w:hAnsi="Arial"/>
          <w:sz w:val="17"/>
          <w:szCs w:val="17"/>
          <w:b w:val="1"/>
          <w:bCs w:val="1"/>
          <w:color w:val="auto"/>
        </w:rPr>
        <w:t>SURRENDER OF COMPANY POWERS.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34" w:lineRule="exact"/>
        <w:rPr>
          <w:sz w:val="20"/>
          <w:szCs w:val="20"/>
          <w:color w:val="auto"/>
        </w:rPr>
      </w:pPr>
    </w:p>
    <w:p>
      <w:pPr>
        <w:ind w:left="180"/>
        <w:spacing w:after="0"/>
        <w:tabs>
          <w:tab w:leader="none" w:pos="166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8"/>
          <w:szCs w:val="18"/>
          <w:b w:val="1"/>
          <w:bCs w:val="1"/>
          <w:color w:val="auto"/>
        </w:rPr>
        <w:t>NOTICES.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Arcturus Therapeutics Holdings Inc., 10628 Science Center Drive, Suite 250, San Diego, California 92121,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14.5</w:t>
      </w:r>
      <w:r>
        <w:rPr>
          <w:sz w:val="20"/>
          <w:szCs w:val="20"/>
          <w:color w:val="auto"/>
        </w:rPr>
        <w:tab/>
      </w: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59" w:lineRule="exact"/>
        <w:rPr>
          <w:sz w:val="20"/>
          <w:szCs w:val="20"/>
          <w:color w:val="auto"/>
        </w:rPr>
      </w:pPr>
    </w:p>
    <w:p>
      <w:pPr>
        <w:ind w:left="200"/>
        <w:spacing w:after="0"/>
        <w:tabs>
          <w:tab w:leader="none" w:pos="1780" w:val="left"/>
        </w:tabs>
        <w:rPr>
          <w:sz w:val="20"/>
          <w:szCs w:val="20"/>
          <w:color w:val="auto"/>
        </w:rPr>
      </w:pPr>
      <w:r>
        <w:rPr>
          <w:rFonts w:ascii="Arial" w:cs="Arial" w:eastAsia="Arial" w:hAnsi="Arial"/>
          <w:sz w:val="18"/>
          <w:szCs w:val="18"/>
          <w:b w:val="1"/>
          <w:bCs w:val="1"/>
          <w:color w:val="auto"/>
        </w:rPr>
        <w:t>SECTION 14.6</w:t>
      </w:r>
      <w:r>
        <w:rPr>
          <w:sz w:val="20"/>
          <w:szCs w:val="20"/>
          <w:color w:val="auto"/>
        </w:rPr>
        <w:tab/>
      </w:r>
      <w:r>
        <w:rPr>
          <w:rFonts w:ascii="Arial" w:cs="Arial" w:eastAsia="Arial" w:hAnsi="Arial"/>
          <w:sz w:val="17"/>
          <w:szCs w:val="17"/>
          <w:b w:val="1"/>
          <w:bCs w:val="1"/>
          <w:color w:val="auto"/>
        </w:rPr>
        <w:t>TREATMENT OF SECURITIES AS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58"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14.7</w:t>
      </w:r>
      <w:r>
        <w:rPr>
          <w:sz w:val="20"/>
          <w:szCs w:val="20"/>
          <w:color w:val="auto"/>
        </w:rPr>
        <w:tab/>
      </w:r>
      <w:r>
        <w:rPr>
          <w:rFonts w:ascii="Arial" w:cs="Arial" w:eastAsia="Arial" w:hAnsi="Arial"/>
          <w:sz w:val="18"/>
          <w:szCs w:val="18"/>
          <w:b w:val="1"/>
          <w:bCs w:val="1"/>
          <w:color w:val="auto"/>
        </w:rPr>
        <w:t>COMPLIANCE CERTIFICATES AND OPINIONS.</w:t>
      </w:r>
    </w:p>
    <w:p>
      <w:pPr>
        <w:spacing w:after="0" w:line="121" w:lineRule="exact"/>
        <w:rPr>
          <w:sz w:val="20"/>
          <w:szCs w:val="20"/>
          <w:color w:val="auto"/>
        </w:rPr>
      </w:pPr>
    </w:p>
    <w:p>
      <w:pPr>
        <w:jc w:val="both"/>
        <w:ind w:firstLine="823"/>
        <w:spacing w:after="0" w:line="276" w:lineRule="auto"/>
        <w:tabs>
          <w:tab w:leader="none" w:pos="10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64" w:lineRule="exact"/>
        <w:rPr>
          <w:rFonts w:ascii="Arial" w:cs="Arial" w:eastAsia="Arial" w:hAnsi="Arial"/>
          <w:sz w:val="17"/>
          <w:szCs w:val="17"/>
          <w:color w:val="auto"/>
        </w:rPr>
      </w:pPr>
    </w:p>
    <w:p>
      <w:pPr>
        <w:jc w:val="both"/>
        <w:ind w:firstLine="823"/>
        <w:spacing w:after="0" w:line="255" w:lineRule="auto"/>
        <w:tabs>
          <w:tab w:leader="none" w:pos="10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81" w:lineRule="exact"/>
        <w:rPr>
          <w:sz w:val="20"/>
          <w:szCs w:val="20"/>
          <w:color w:val="auto"/>
        </w:rPr>
      </w:pPr>
    </w:p>
    <w:p>
      <w:pPr>
        <w:ind w:left="220"/>
        <w:spacing w:after="0"/>
        <w:tabs>
          <w:tab w:leader="none" w:pos="1820" w:val="left"/>
        </w:tabs>
        <w:rPr>
          <w:sz w:val="20"/>
          <w:szCs w:val="20"/>
          <w:color w:val="auto"/>
        </w:rPr>
      </w:pPr>
      <w:r>
        <w:rPr>
          <w:rFonts w:ascii="Arial" w:cs="Arial" w:eastAsia="Arial" w:hAnsi="Arial"/>
          <w:sz w:val="18"/>
          <w:szCs w:val="18"/>
          <w:b w:val="1"/>
          <w:bCs w:val="1"/>
          <w:color w:val="auto"/>
        </w:rPr>
        <w:t>SECTION 14.8</w:t>
      </w:r>
      <w:r>
        <w:rPr>
          <w:sz w:val="20"/>
          <w:szCs w:val="20"/>
          <w:color w:val="auto"/>
        </w:rPr>
        <w:tab/>
      </w:r>
      <w:r>
        <w:rPr>
          <w:rFonts w:ascii="Arial" w:cs="Arial" w:eastAsia="Arial" w:hAnsi="Arial"/>
          <w:sz w:val="17"/>
          <w:szCs w:val="17"/>
          <w:b w:val="1"/>
          <w:bCs w:val="1"/>
          <w:color w:val="auto"/>
        </w:rPr>
        <w:t>PAYMENTS ON BUSINESS DAYS.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66"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14.9</w:t>
      </w:r>
      <w:r>
        <w:rPr>
          <w:sz w:val="20"/>
          <w:szCs w:val="20"/>
          <w:color w:val="auto"/>
        </w:rPr>
        <w:tab/>
      </w:r>
      <w:r>
        <w:rPr>
          <w:rFonts w:ascii="Arial" w:cs="Arial" w:eastAsia="Arial" w:hAnsi="Arial"/>
          <w:sz w:val="18"/>
          <w:szCs w:val="18"/>
          <w:b w:val="1"/>
          <w:bCs w:val="1"/>
          <w:color w:val="auto"/>
        </w:rPr>
        <w:t>CONFLICT WITH TRUST INDENTURE ACT.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any provision of the Trust Indenture Act, such Trust Indenture Act provision shall control.</w:t>
      </w:r>
    </w:p>
    <w:p>
      <w:pPr>
        <w:spacing w:after="0" w:line="58"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8"/>
          <w:szCs w:val="18"/>
          <w:b w:val="1"/>
          <w:bCs w:val="1"/>
          <w:color w:val="auto"/>
        </w:rPr>
        <w:t>SECTION 14.10</w:t>
      </w:r>
      <w:r>
        <w:rPr>
          <w:sz w:val="20"/>
          <w:szCs w:val="20"/>
          <w:color w:val="auto"/>
        </w:rPr>
        <w:tab/>
      </w:r>
      <w:r>
        <w:rPr>
          <w:rFonts w:ascii="Arial" w:cs="Arial" w:eastAsia="Arial" w:hAnsi="Arial"/>
          <w:sz w:val="17"/>
          <w:szCs w:val="17"/>
          <w:b w:val="1"/>
          <w:bCs w:val="1"/>
          <w:color w:val="auto"/>
        </w:rPr>
        <w:t>COUNTERPARTS.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deemed an original, but such counterparts shall together constitute but one and the same instrument.</w:t>
      </w:r>
    </w:p>
    <w:p>
      <w:pPr>
        <w:spacing w:after="0" w:line="58"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8"/>
          <w:szCs w:val="18"/>
          <w:b w:val="1"/>
          <w:bCs w:val="1"/>
          <w:color w:val="auto"/>
        </w:rPr>
        <w:t>SECTION 14.11</w:t>
        <w:tab/>
        <w:t>SEVERABILITY.</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5" w:lineRule="exact"/>
        <w:rPr>
          <w:sz w:val="20"/>
          <w:szCs w:val="20"/>
          <w:color w:val="auto"/>
        </w:rPr>
      </w:pPr>
    </w:p>
    <w:p>
      <w:pPr>
        <w:ind w:left="200"/>
        <w:spacing w:after="0"/>
        <w:tabs>
          <w:tab w:leader="none" w:pos="1820" w:val="left"/>
        </w:tabs>
        <w:rPr>
          <w:sz w:val="20"/>
          <w:szCs w:val="20"/>
          <w:color w:val="auto"/>
        </w:rPr>
      </w:pPr>
      <w:r>
        <w:rPr>
          <w:rFonts w:ascii="Arial" w:cs="Arial" w:eastAsia="Arial" w:hAnsi="Arial"/>
          <w:sz w:val="18"/>
          <w:szCs w:val="18"/>
          <w:b w:val="1"/>
          <w:bCs w:val="1"/>
          <w:color w:val="auto"/>
        </w:rPr>
        <w:t>SECTION 14.12</w:t>
      </w:r>
      <w:r>
        <w:rPr>
          <w:sz w:val="20"/>
          <w:szCs w:val="20"/>
          <w:color w:val="auto"/>
        </w:rPr>
        <w:tab/>
      </w:r>
      <w:r>
        <w:rPr>
          <w:rFonts w:ascii="Arial" w:cs="Arial" w:eastAsia="Arial" w:hAnsi="Arial"/>
          <w:sz w:val="18"/>
          <w:szCs w:val="18"/>
          <w:b w:val="1"/>
          <w:bCs w:val="1"/>
          <w:color w:val="auto"/>
        </w:rPr>
        <w:t>COMPLIANCE CERTIFICATES.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69" w:lineRule="exact"/>
        <w:rPr>
          <w:sz w:val="20"/>
          <w:szCs w:val="20"/>
          <w:color w:val="auto"/>
        </w:rPr>
      </w:pPr>
    </w:p>
    <w:p>
      <w:pPr>
        <w:ind w:left="220"/>
        <w:spacing w:after="0"/>
        <w:tabs>
          <w:tab w:leader="none" w:pos="1940" w:val="left"/>
        </w:tabs>
        <w:rPr>
          <w:sz w:val="20"/>
          <w:szCs w:val="20"/>
          <w:color w:val="auto"/>
        </w:rPr>
      </w:pPr>
      <w:r>
        <w:rPr>
          <w:rFonts w:ascii="Arial" w:cs="Arial" w:eastAsia="Arial" w:hAnsi="Arial"/>
          <w:sz w:val="18"/>
          <w:szCs w:val="18"/>
          <w:b w:val="1"/>
          <w:bCs w:val="1"/>
          <w:color w:val="auto"/>
        </w:rPr>
        <w:t>SECTION 14.13</w:t>
      </w:r>
      <w:r>
        <w:rPr>
          <w:sz w:val="20"/>
          <w:szCs w:val="20"/>
          <w:color w:val="auto"/>
        </w:rPr>
        <w:tab/>
      </w:r>
      <w:r>
        <w:rPr>
          <w:rFonts w:ascii="Arial" w:cs="Arial" w:eastAsia="Arial" w:hAnsi="Arial"/>
          <w:sz w:val="17"/>
          <w:szCs w:val="17"/>
          <w:b w:val="1"/>
          <w:bCs w:val="1"/>
          <w:color w:val="auto"/>
        </w:rPr>
        <w:t>USA PATRIOT ACT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(Title III of Pub. L. 107-56 (signed into law October 26, 2001)) (as amended, modified or supplemented from time to time, the “</w:t>
      </w:r>
      <w:r>
        <w:rPr>
          <w:rFonts w:ascii="Arial" w:cs="Arial" w:eastAsia="Arial" w:hAnsi="Arial"/>
          <w:sz w:val="17"/>
          <w:szCs w:val="17"/>
          <w:b w:val="1"/>
          <w:bCs w:val="1"/>
          <w:color w:val="auto"/>
        </w:rPr>
        <w:t>USA Patriot Act</w:t>
      </w:r>
      <w:r>
        <w:rPr>
          <w:rFonts w:ascii="Arial" w:cs="Arial" w:eastAsia="Arial" w:hAnsi="Arial"/>
          <w:sz w:val="17"/>
          <w:szCs w:val="17"/>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384" w:lineRule="exact"/>
        <w:rPr>
          <w:sz w:val="20"/>
          <w:szCs w:val="20"/>
          <w:color w:val="auto"/>
        </w:rPr>
      </w:pPr>
    </w:p>
    <w:p>
      <w:pPr>
        <w:ind w:left="220"/>
        <w:spacing w:after="0"/>
        <w:tabs>
          <w:tab w:leader="none" w:pos="1780" w:val="left"/>
        </w:tabs>
        <w:rPr>
          <w:sz w:val="20"/>
          <w:szCs w:val="20"/>
          <w:color w:val="auto"/>
        </w:rPr>
      </w:pPr>
      <w:r>
        <w:rPr>
          <w:rFonts w:ascii="Arial" w:cs="Arial" w:eastAsia="Arial" w:hAnsi="Arial"/>
          <w:sz w:val="18"/>
          <w:szCs w:val="18"/>
          <w:b w:val="1"/>
          <w:bCs w:val="1"/>
          <w:color w:val="auto"/>
        </w:rPr>
        <w:t>SECTION 14.14</w:t>
      </w:r>
      <w:r>
        <w:rPr>
          <w:sz w:val="20"/>
          <w:szCs w:val="20"/>
          <w:color w:val="auto"/>
        </w:rPr>
        <w:tab/>
      </w:r>
      <w:r>
        <w:rPr>
          <w:rFonts w:ascii="Arial" w:cs="Arial" w:eastAsia="Arial" w:hAnsi="Arial"/>
          <w:sz w:val="18"/>
          <w:szCs w:val="18"/>
          <w:b w:val="1"/>
          <w:bCs w:val="1"/>
          <w:color w:val="auto"/>
        </w:rPr>
        <w:t>CONSENT TO JURISDICTION AND SERVICE</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66" w:lineRule="exact"/>
        <w:rPr>
          <w:sz w:val="20"/>
          <w:szCs w:val="20"/>
          <w:color w:val="auto"/>
        </w:rPr>
      </w:pPr>
    </w:p>
    <w:p>
      <w:pPr>
        <w:ind w:left="200"/>
        <w:spacing w:after="0"/>
        <w:tabs>
          <w:tab w:leader="none" w:pos="1880" w:val="left"/>
        </w:tabs>
        <w:rPr>
          <w:sz w:val="20"/>
          <w:szCs w:val="20"/>
          <w:color w:val="auto"/>
        </w:rPr>
      </w:pPr>
      <w:r>
        <w:rPr>
          <w:rFonts w:ascii="Arial" w:cs="Arial" w:eastAsia="Arial" w:hAnsi="Arial"/>
          <w:sz w:val="18"/>
          <w:szCs w:val="18"/>
          <w:b w:val="1"/>
          <w:bCs w:val="1"/>
          <w:color w:val="auto"/>
        </w:rPr>
        <w:t>SECTION 14.15</w:t>
      </w:r>
      <w:r>
        <w:rPr>
          <w:sz w:val="20"/>
          <w:szCs w:val="20"/>
          <w:color w:val="auto"/>
        </w:rPr>
        <w:tab/>
      </w:r>
      <w:r>
        <w:rPr>
          <w:rFonts w:ascii="Arial" w:cs="Arial" w:eastAsia="Arial" w:hAnsi="Arial"/>
          <w:sz w:val="17"/>
          <w:szCs w:val="17"/>
          <w:b w:val="1"/>
          <w:bCs w:val="1"/>
          <w:color w:val="auto"/>
        </w:rPr>
        <w:t>FORCE MAJEURE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8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WITNESS WHEREOF, the parties hereto have caused this Indenture to be duly executed all as of the day and year first above written.</w:t>
      </w:r>
    </w:p>
    <w:p>
      <w:pPr>
        <w:spacing w:after="0" w:line="1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ARCTURUS THERAPEUTICS HOLDINGS INC.</w:t>
      </w: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-130175</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 as Trustee</w:t>
      </w:r>
    </w:p>
    <w:p>
      <w:pPr>
        <w:spacing w:after="0" w:line="200" w:lineRule="exact"/>
        <w:rPr>
          <w:sz w:val="20"/>
          <w:szCs w:val="20"/>
          <w:color w:val="auto"/>
        </w:rPr>
      </w:pPr>
    </w:p>
    <w:p>
      <w:pPr>
        <w:spacing w:after="0" w:line="24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-130175</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5.1</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11910"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1221 Avenue of the Americas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New York, NY 10020-1089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United States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E2D91"/>
        </w:rPr>
        <w:t>Salans FMC SNR Denton McKenna Long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dentons.com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acted as counsel to Arcturus Therapeutics Holdings Inc., a Delaware corporation (the “Company”), in connection with the preparation and filing of a Registration Statement on Form S-3 (the “Registration Statement”) with the Securities and Exchange Commission (the “Commission”) under the Securities Act of 1933, as amended (the “Securities Act”), relating to the registration under the Securities Act and the proposed issuance and sale from time to time by the Company of up to an aggregate initial offering amount of $100,000,000 of the following securities (each a “Company Security” and collectively, or in any combination, the “Company Securities”):</w:t>
      </w:r>
    </w:p>
    <w:p>
      <w:pPr>
        <w:spacing w:after="0" w:line="80"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the Company’s common stock, no par value per share (the “Common Stock”);</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 or more classes or series of shares of the Company’s preferred stock, no par value per share (the “Preferred Stock”);</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one or more series of debt securities, which may be senior or subordinated debt or senior or subordinated convertible debt (the “Debt Securities”);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warrants representing the rights to purchase shares of Common Stock, Preferred Stock, or Debt Securities (the “Warrants”);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units comprised of one or more of the Company Securities in one or more series and in any combination (the “Units”).</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This opinion letter is being furnished to the Company in accordance with the requirements of Item 601(b)(5)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“Base Prospectus”) and any supplements to the Prospectus (each, together with the Base Prospectus, a “Prospectus”). This opinion letter is limited to the laws, including the rules and regulations, as in effect on the date hereof. We are basing this opinion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rendering this opinion, we have examined originals, certified copies or copies otherwise identified as being true copies of the following:</w:t>
      </w:r>
    </w:p>
    <w:p>
      <w:pPr>
        <w:spacing w:after="0" w:line="140"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Certificate of Incorporation of the Company (the “Certificate of Incorporation”);</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Bylaws of the Company, as amended to date (the “Bylaws”);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corporate proceedings of the Company relating to its proposed issuance of the Company Securities;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other instruments and documents as we have deemed relevant or necessary in connection with our opinions set forth herein.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otherwise provided in any Prospectus relating to a particular series of Debt Securities, the Debt Securities will be issued pursuant to an indenture (the “Indenture”) between the Company and a trustee to be named in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1191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1221 Avenue of the Americas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New York, NY 10020-1089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United States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E2D91"/>
        </w:rPr>
        <w:t>Salans FMC SNR Denton McKenna Long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supplement to the Prospectus (the “Trustee”).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“Warrant Agreement”). The Units will be issued under one or more unit purchase agreements (each a “Unit Purchase Agreement”).</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Based on and subject to the assumptions, qualifications and limitations set forth herein, we are of the opinion that:</w:t>
      </w:r>
    </w:p>
    <w:p>
      <w:pPr>
        <w:spacing w:after="0" w:line="117" w:lineRule="exact"/>
        <w:rPr>
          <w:sz w:val="20"/>
          <w:szCs w:val="20"/>
          <w:color w:val="auto"/>
        </w:rPr>
      </w:pPr>
    </w:p>
    <w:p>
      <w:pPr>
        <w:ind w:right="40" w:firstLine="8"/>
        <w:spacing w:after="0" w:line="289"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“Board of Directors”),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58" w:lineRule="exact"/>
        <w:rPr>
          <w:rFonts w:ascii="Arial" w:cs="Arial" w:eastAsia="Arial" w:hAnsi="Arial"/>
          <w:sz w:val="16"/>
          <w:szCs w:val="16"/>
          <w:color w:val="auto"/>
        </w:rPr>
      </w:pPr>
    </w:p>
    <w:p>
      <w:pPr>
        <w:ind w:right="20" w:firstLine="8"/>
        <w:spacing w:after="0" w:line="269"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Certificate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71" w:lineRule="exact"/>
        <w:rPr>
          <w:rFonts w:ascii="Arial" w:cs="Arial" w:eastAsia="Arial" w:hAnsi="Arial"/>
          <w:sz w:val="17"/>
          <w:szCs w:val="17"/>
          <w:color w:val="auto"/>
        </w:rPr>
      </w:pPr>
    </w:p>
    <w:p>
      <w:pPr>
        <w:ind w:right="40" w:firstLine="8"/>
        <w:spacing w:after="0" w:line="25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“TIA”),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84" w:lineRule="exact"/>
        <w:rPr>
          <w:rFonts w:ascii="Arial" w:cs="Arial" w:eastAsia="Arial" w:hAnsi="Arial"/>
          <w:sz w:val="18"/>
          <w:szCs w:val="18"/>
          <w:color w:val="auto"/>
        </w:rPr>
      </w:pPr>
    </w:p>
    <w:p>
      <w:pPr>
        <w:ind w:right="240" w:firstLine="8"/>
        <w:spacing w:after="0" w:line="302" w:lineRule="auto"/>
        <w:tabs>
          <w:tab w:leader="none" w:pos="255"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7"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11910"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1221 Avenue of the Americas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New York, NY 10020-1089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United States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E2D91"/>
        </w:rPr>
        <w:t>Salans FMC SNR Denton McKenna Long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therefor provided for therein, such Warrants, including the Warrants that form a part of any Units, will constitute valid and binding obligations of the Company, enforceable against the Company in accordance with their terms.</w:t>
      </w:r>
    </w:p>
    <w:p>
      <w:pPr>
        <w:spacing w:after="0" w:line="62" w:lineRule="exact"/>
        <w:rPr>
          <w:sz w:val="20"/>
          <w:szCs w:val="20"/>
          <w:color w:val="auto"/>
        </w:rPr>
      </w:pPr>
    </w:p>
    <w:p>
      <w:pPr>
        <w:ind w:right="40" w:firstLine="8"/>
        <w:spacing w:after="0" w:line="254"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of the Company,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8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informed us that it intends to issue Company Securities from time to time on a delayed or continuous basis. The opinions set forth above are limited to applicable laws as in effect on the date hereof. Prior to issuing any Company Securities pursuant to the Registration Statement (i) the Company will advise us in writing of the terms thereof, and (ii) the Company will afford us an opportunity to review the documents pursuant to which such Company Securities are to be issued or sold (including the applicable offering documents), and the Company will file such supplement or amendment to this opinion (if any) as we may reasonably consider necessary or appropriate.</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use of our opinion as herein set forth as an exhibit to the Registration Statement and to the use of our name under the caption “Legal Matters” in the prospectus forming a part of the Registration Statement. We do not, by giving such consent, admit that we are within the category of persons whose consent is required under Section 7 of the Act.</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Dentons US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420"/>
          </w:cols>
          <w:pgMar w:left="240" w:top="14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23.1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33333"/>
        </w:rPr>
        <w:t>Consent of Independent Registered Public Accounting Firm</w:t>
      </w:r>
    </w:p>
    <w:p>
      <w:pPr>
        <w:spacing w:after="0" w:line="14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333333"/>
        </w:rPr>
        <w:t>We consent to the reference to our firm under the caption "Experts" in the Registration Statement (Form S-3/A No. 333-232281) and related Prospectus of Arcturus Therapeutics Holdings Inc. for the registration of common stock, preferred stock, debt securities, warrants and/or units and to the incorporation by reference therein of our report dated March 15, 2019, with respect to the consolidated financial statements of Arcturus Therapeutics Ltd. included in its Annual Report (Form 10-K) for the year ended December 31, 2018, filed with the Securities and Exchange Commission.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333333"/>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333333"/>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333333"/>
        </w:rPr>
        <w:t>June 25, 2019</w:t>
      </w:r>
    </w:p>
    <w:p>
      <w:pPr>
        <w:sectPr>
          <w:pgSz w:w="11900" w:h="16838" w:orient="portrait"/>
          <w:cols w:equalWidth="0" w:num="1">
            <w:col w:w="11420"/>
          </w:cols>
          <w:pgMar w:left="240" w:top="11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Amendment No.1 to the Registration Statement (Form S-3 No. 333-232281) of Arcturus Therapeutics Holdings Inc. and to the incorporation by reference therein of our report dated May 14, 2018, with respect to the consolidated financial statements of Arcturus Therapeutics Ltd. included in its Annual Report (Form 10-K) for the year ended December 31, 2018, filed with the Securities and Exchange Commission.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25, 2019</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360" w:space="720"/>
        <w:col w:w="434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lvl w:ilvl="1">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lvl w:ilvl="1">
      <w:lvlJc w:val="left"/>
      <w:lvlText w:val="**"/>
      <w:numFmt w:val="bullet"/>
      <w:start w:val="1"/>
    </w:lvl>
  </w:abstractNum>
  <w:abstractNum w:abstractNumId="26">
    <w:nsid w:val="520EEDD1"/>
    <w:multiLevelType w:val="hybridMultilevel"/>
    <w:lvl w:ilvl="0">
      <w:lvlJc w:val="left"/>
      <w:lvlText w:val="(%1)"/>
      <w:numFmt w:val="decimal"/>
      <w:start w:val="2"/>
    </w:lvl>
  </w:abstractNum>
  <w:abstractNum w:abstractNumId="27">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4F4EF005"/>
    <w:multiLevelType w:val="hybridMultilevel"/>
    <w:lvl w:ilvl="0">
      <w:lvlJc w:val="left"/>
      <w:lvlText w:val="(%1)"/>
      <w:numFmt w:val="lowerRoman"/>
      <w:start w:val="3"/>
    </w:lvl>
  </w:abstractNum>
  <w:abstractNum w:abstractNumId="29">
    <w:nsid w:val="23F9C13C"/>
    <w:multiLevelType w:val="hybridMultilevel"/>
    <w:lvl w:ilvl="0">
      <w:lvlJc w:val="left"/>
      <w:lvlText w:val="(%1)"/>
      <w:numFmt w:val="decimal"/>
      <w:start w:val="2"/>
    </w:lvl>
    <w:lvl w:ilvl="1">
      <w:lvlJc w:val="left"/>
      <w:lvlText w:val="(%2)"/>
      <w:numFmt w:val="lowerRoman"/>
      <w:start w:val="1"/>
    </w:lvl>
  </w:abstractNum>
  <w:abstractNum w:abstractNumId="30">
    <w:nsid w:val="649BB77C"/>
    <w:multiLevelType w:val="hybridMultilevel"/>
    <w:lvl w:ilvl="0">
      <w:lvlJc w:val="left"/>
      <w:lvlText w:val="(%1)"/>
      <w:numFmt w:val="lowerLetter"/>
      <w:start w:val="2"/>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7"/>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3"/>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2"/>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2"/>
    </w:lvl>
    <w:lvl w:ilvl="1">
      <w:lvlJc w:val="left"/>
      <w:lvlText w:val="(%2)"/>
      <w:numFmt w:val="decimal"/>
      <w:start w:val="1"/>
    </w:lvl>
  </w:abstractNum>
  <w:abstractNum w:abstractNumId="44">
    <w:nsid w:val="7E0C57B1"/>
    <w:multiLevelType w:val="hybridMultilevel"/>
    <w:lvl w:ilvl="0">
      <w:lvlJc w:val="left"/>
      <w:lvlText w:val="(%1)"/>
      <w:numFmt w:val="lowerLetter"/>
      <w:start w:val="5"/>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lowerLetter"/>
      <w:start w:val="1"/>
    </w:lvl>
    <w:lvl w:ilvl="1">
      <w:lvlJc w:val="left"/>
      <w:lvlText w:val="(%2)"/>
      <w:numFmt w:val="decimal"/>
      <w:start w:val="1"/>
    </w:lvl>
  </w:abstractNum>
  <w:abstractNum w:abstractNumId="49">
    <w:nsid w:val="2F305DEF"/>
    <w:multiLevelType w:val="hybridMultilevel"/>
    <w:lvl w:ilvl="0">
      <w:lvlJc w:val="left"/>
      <w:lvlText w:val="(%1)"/>
      <w:numFmt w:val="lowerLetter"/>
      <w:start w:val="3"/>
    </w:lvl>
  </w:abstractNum>
  <w:abstractNum w:abstractNumId="50">
    <w:nsid w:val="25A70BF7"/>
    <w:multiLevelType w:val="hybridMultilevel"/>
    <w:lvl w:ilvl="0">
      <w:lvlJc w:val="left"/>
      <w:lvlText w:val="(%1)"/>
      <w:numFmt w:val="lowerLetter"/>
      <w:start w:val="4"/>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2"/>
    </w:lvl>
    <w:lvl w:ilvl="1">
      <w:lvlJc w:val="left"/>
      <w:lvlText w:val="(%2)"/>
      <w:numFmt w:val="lowerRoman"/>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7"/>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Letter"/>
      <w:start w:val="2"/>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lowerLetter"/>
      <w:start w:val="2"/>
    </w:lvl>
    <w:lvl w:ilvl="1">
      <w:lvlJc w:val="left"/>
      <w:lvlText w:val="(%2)"/>
      <w:numFmt w:val="lowerRoman"/>
      <w:start w:val="1"/>
    </w:lvl>
  </w:abstractNum>
  <w:abstractNum w:abstractNumId="62">
    <w:nsid w:val="6B94764"/>
    <w:multiLevelType w:val="hybridMultilevel"/>
    <w:lvl w:ilvl="0">
      <w:lvlJc w:val="left"/>
      <w:lvlText w:val="(%1)"/>
      <w:numFmt w:val="lowerLetter"/>
      <w:start w:val="3"/>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3"/>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Roman"/>
      <w:start w:val="1"/>
    </w:lvl>
    <w:lvl w:ilvl="1">
      <w:lvlJc w:val="left"/>
      <w:lvlText w:val="(%2)"/>
      <w:numFmt w:val="upperLetter"/>
      <w:start w:val="1"/>
    </w:lvl>
  </w:abstractNum>
  <w:abstractNum w:abstractNumId="70">
    <w:nsid w:val="51D9C564"/>
    <w:multiLevelType w:val="hybridMultilevel"/>
    <w:lvl w:ilvl="0">
      <w:lvlJc w:val="left"/>
      <w:lvlText w:val="(%1)"/>
      <w:numFmt w:val="lowerLetter"/>
      <w:start w:val="2"/>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upperLetter"/>
      <w:start w:val="1"/>
    </w:lvl>
  </w:abstractNum>
  <w:abstractNum w:abstractNumId="74">
    <w:nsid w:val="42963E5A"/>
    <w:multiLevelType w:val="hybridMultilevel"/>
    <w:lvl w:ilvl="0">
      <w:lvlJc w:val="left"/>
      <w:lvlText w:val="(%1)"/>
      <w:numFmt w:val="decimal"/>
      <w:start w:val="3"/>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lowerRoman"/>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jpe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jpeg"/><Relationship Id="rId108" Type="http://schemas.openxmlformats.org/officeDocument/2006/relationships/image" Target="media/image89.png"/><Relationship Id="rId109" Type="http://schemas.openxmlformats.org/officeDocument/2006/relationships/image" Target="media/image90.jpeg"/><Relationship Id="rId110" Type="http://schemas.openxmlformats.org/officeDocument/2006/relationships/image" Target="media/image91.png"/><Relationship Id="rId111" Type="http://schemas.openxmlformats.org/officeDocument/2006/relationships/image" Target="media/image92.jpeg"/><Relationship Id="rId43" Type="http://schemas.openxmlformats.org/officeDocument/2006/relationships/hyperlink" Target="http://www.sec.gov/Archives/edgar/data/0001566049/000156459019008092/arct-10k_20181231.htm" TargetMode="External"/><Relationship Id="rId44" Type="http://schemas.openxmlformats.org/officeDocument/2006/relationships/hyperlink" Target="http://www.sec.gov/Archives/edgar/data/0001566049/000156459019011220/arct-10ka_20181231.htm" TargetMode="External"/><Relationship Id="rId45" Type="http://schemas.openxmlformats.org/officeDocument/2006/relationships/hyperlink" Target="http://www.sec.gov/Archives/edgar/data/0001566049/000156459019018656/arct-10q_20190331.htm" TargetMode="External"/><Relationship Id="rId46" Type="http://schemas.openxmlformats.org/officeDocument/2006/relationships/hyperlink" Target="http://www.sec.gov/Archives/edgar/data/0001566049/000156459019008354/arct-8k_20190318.htm" TargetMode="External"/><Relationship Id="rId47" Type="http://schemas.openxmlformats.org/officeDocument/2006/relationships/hyperlink" Target="http://www.sec.gov/Archives/edgar/data/0001566049/000156459019018889/arct-8k_20190513.htm" TargetMode="External"/><Relationship Id="rId48" Type="http://schemas.openxmlformats.org/officeDocument/2006/relationships/hyperlink" Target="http://www.sec.gov/Archives/edgar/data/0001566049/000156459019019850/arct-8k_20190520.htm" TargetMode="External"/><Relationship Id="rId49" Type="http://schemas.openxmlformats.org/officeDocument/2006/relationships/hyperlink" Target="http://www.sec.gov/Archives/edgar/data/1768224/000119312519173808/0001193125-19-173808-index.htm" TargetMode="External"/><Relationship Id="rId50" Type="http://schemas.openxmlformats.org/officeDocument/2006/relationships/hyperlink" Target="http://www.sec.gov/Archives/edgar/data/0001768224/000119312519176112/d754519d8k.htm" TargetMode="External"/><Relationship Id="rId51" Type="http://schemas.openxmlformats.org/officeDocument/2006/relationships/hyperlink" Target="http://www.sec.gov/Archives/edgar/data/0001768224/000119312519176908/d721252d8k.htm" TargetMode="External"/><Relationship Id="rId52" Type="http://schemas.openxmlformats.org/officeDocument/2006/relationships/hyperlink" Target="http://www.sec.gov/Archives/edgar/data/0001566049/000114420413030169/v345563_8a12b.htm" TargetMode="External"/><Relationship Id="rId53" Type="http://schemas.openxmlformats.org/officeDocument/2006/relationships/hyperlink" Target="http://www.sec.gov/Archives/edgar/data/0001768224/000119312519173808/d826633d8k12b.htm" TargetMode="External"/><Relationship Id="rId64" Type="http://schemas.openxmlformats.org/officeDocument/2006/relationships/hyperlink" Target="http://www.sec.gov/Archives/edgar/data/1768224/000119312519173808/d826633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2019-12-01T11:36:59Z</dcterms:created>
  <dcterms:modified xsi:type="dcterms:W3CDTF">2019-12-01T11:36:59Z</dcterms:modified>
</cp:coreProperties>
</file>