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ASHINGTON</w:t>
      </w:r>
      <w:r>
        <w:rPr>
          <w:rFonts w:ascii="Arial" w:cs="Arial" w:eastAsia="Arial" w:hAnsi="Arial"/>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ARCTURUS THERAPEUTICS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03969T109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Karah Parschauer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Ultragenyx Pharmaceutical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 Leveroni Court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Novato, CA 94949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475-6583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52" w:lineRule="exact"/>
        <w:rPr>
          <w:sz w:val="20"/>
          <w:szCs w:val="20"/>
          <w:color w:val="auto"/>
        </w:rPr>
      </w:pPr>
    </w:p>
    <w:p>
      <w:pPr>
        <w:ind w:left="4"/>
        <w:spacing w:after="0"/>
        <w:tabs>
          <w:tab w:leader="none" w:pos="1944" w:val="left"/>
        </w:tabs>
        <w:rPr>
          <w:sz w:val="20"/>
          <w:szCs w:val="20"/>
          <w:color w:val="auto"/>
        </w:rPr>
      </w:pPr>
      <w:r>
        <w:rPr>
          <w:rFonts w:ascii="Arial" w:cs="Arial" w:eastAsia="Arial" w:hAnsi="Arial"/>
          <w:sz w:val="18"/>
          <w:szCs w:val="18"/>
          <w:b w:val="1"/>
          <w:bCs w:val="1"/>
          <w:color w:val="auto"/>
        </w:rPr>
        <w:t>CUSIP No. 03969T109</w:t>
      </w:r>
      <w:r>
        <w:rPr>
          <w:sz w:val="20"/>
          <w:szCs w:val="20"/>
          <w:color w:val="auto"/>
        </w:rPr>
        <w:tab/>
      </w:r>
      <w:r>
        <w:rPr>
          <w:rFonts w:ascii="Arial" w:cs="Arial" w:eastAsia="Arial" w:hAnsi="Arial"/>
          <w:sz w:val="15"/>
          <w:szCs w:val="15"/>
          <w:b w:val="1"/>
          <w:bCs w:val="1"/>
          <w:color w:val="auto"/>
        </w:rPr>
        <w:t>13D Page 2 of 5</w:t>
      </w:r>
    </w:p>
    <w:p>
      <w:pPr>
        <w:spacing w:after="0" w:line="270" w:lineRule="exact"/>
        <w:rPr>
          <w:sz w:val="20"/>
          <w:szCs w:val="20"/>
          <w:color w:val="auto"/>
        </w:rPr>
      </w:pPr>
    </w:p>
    <w:p>
      <w:pPr>
        <w:ind w:left="704" w:hanging="457"/>
        <w:spacing w:after="0"/>
        <w:tabs>
          <w:tab w:leader="none" w:pos="70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04"/>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6763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763385"/>
                    </a:xfrm>
                    <a:prstGeom prst="rect">
                      <a:avLst/>
                    </a:prstGeom>
                    <a:noFill/>
                  </pic:spPr>
                </pic:pic>
              </a:graphicData>
            </a:graphic>
          </wp:anchor>
        </w:drawing>
      </w:r>
    </w:p>
    <w:p>
      <w:pPr>
        <w:spacing w:after="0" w:line="211" w:lineRule="exact"/>
        <w:rPr>
          <w:sz w:val="20"/>
          <w:szCs w:val="20"/>
          <w:color w:val="auto"/>
        </w:rPr>
      </w:pPr>
    </w:p>
    <w:p>
      <w:pPr>
        <w:ind w:left="704"/>
        <w:spacing w:after="0"/>
        <w:rPr>
          <w:sz w:val="20"/>
          <w:szCs w:val="20"/>
          <w:color w:val="auto"/>
        </w:rPr>
      </w:pPr>
      <w:r>
        <w:rPr>
          <w:rFonts w:ascii="Arial" w:cs="Arial" w:eastAsia="Arial" w:hAnsi="Arial"/>
          <w:sz w:val="22"/>
          <w:szCs w:val="22"/>
          <w:color w:val="auto"/>
        </w:rPr>
        <w:t>Ultragenyx Pharmaceutical Inc.</w:t>
      </w:r>
    </w:p>
    <w:p>
      <w:pPr>
        <w:spacing w:after="0" w:line="8" w:lineRule="exact"/>
        <w:rPr>
          <w:sz w:val="20"/>
          <w:szCs w:val="20"/>
          <w:color w:val="auto"/>
        </w:rPr>
      </w:pPr>
    </w:p>
    <w:p>
      <w:pPr>
        <w:ind w:left="704"/>
        <w:spacing w:after="0"/>
        <w:rPr>
          <w:sz w:val="20"/>
          <w:szCs w:val="20"/>
          <w:color w:val="auto"/>
        </w:rPr>
      </w:pPr>
      <w:r>
        <w:rPr>
          <w:rFonts w:ascii="Arial" w:cs="Arial" w:eastAsia="Arial" w:hAnsi="Arial"/>
          <w:sz w:val="22"/>
          <w:szCs w:val="22"/>
          <w:color w:val="auto"/>
        </w:rPr>
        <w:t>27-2546083</w:t>
      </w:r>
    </w:p>
    <w:p>
      <w:pPr>
        <w:spacing w:after="0" w:line="6" w:lineRule="exact"/>
        <w:rPr>
          <w:sz w:val="20"/>
          <w:szCs w:val="20"/>
          <w:color w:val="auto"/>
        </w:rPr>
      </w:pPr>
    </w:p>
    <w:p>
      <w:pPr>
        <w:ind w:left="704" w:hanging="457"/>
        <w:spacing w:after="0"/>
        <w:tabs>
          <w:tab w:leader="none" w:pos="70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704" w:hanging="457"/>
        <w:spacing w:after="0"/>
        <w:tabs>
          <w:tab w:leader="none" w:pos="7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704" w:hanging="457"/>
        <w:spacing w:after="0" w:line="207" w:lineRule="exact"/>
        <w:tabs>
          <w:tab w:leader="none" w:pos="70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704" w:hanging="457"/>
        <w:spacing w:after="0"/>
        <w:tabs>
          <w:tab w:leader="none" w:pos="70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Delaware</w:t>
      </w:r>
    </w:p>
    <w:p>
      <w:pPr>
        <w:spacing w:after="0" w:line="21"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1,400,000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b w:val="1"/>
                <w:bCs w:val="1"/>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1,400,000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704" w:hanging="547"/>
        <w:spacing w:after="0"/>
        <w:tabs>
          <w:tab w:leader="none" w:pos="70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1,400,000</w:t>
      </w:r>
    </w:p>
    <w:p>
      <w:pPr>
        <w:spacing w:after="0" w:line="21" w:lineRule="exact"/>
        <w:rPr>
          <w:sz w:val="20"/>
          <w:szCs w:val="20"/>
          <w:color w:val="auto"/>
        </w:rPr>
      </w:pPr>
    </w:p>
    <w:p>
      <w:pPr>
        <w:ind w:left="704" w:hanging="547"/>
        <w:spacing w:after="0" w:line="207" w:lineRule="exact"/>
        <w:tabs>
          <w:tab w:leader="none" w:pos="70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24" w:lineRule="exact"/>
        <w:rPr>
          <w:rFonts w:ascii="Arial" w:cs="Arial" w:eastAsia="Arial" w:hAnsi="Arial"/>
          <w:sz w:val="18"/>
          <w:szCs w:val="18"/>
          <w:b w:val="1"/>
          <w:bCs w:val="1"/>
          <w:color w:val="auto"/>
        </w:rPr>
      </w:pPr>
    </w:p>
    <w:p>
      <w:pPr>
        <w:ind w:left="704" w:hanging="547"/>
        <w:spacing w:after="0"/>
        <w:tabs>
          <w:tab w:leader="none" w:pos="70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5.3%*</w:t>
      </w:r>
    </w:p>
    <w:p>
      <w:pPr>
        <w:spacing w:after="0" w:line="24" w:lineRule="exact"/>
        <w:rPr>
          <w:sz w:val="20"/>
          <w:szCs w:val="20"/>
          <w:color w:val="auto"/>
        </w:rPr>
      </w:pPr>
    </w:p>
    <w:p>
      <w:pPr>
        <w:ind w:left="704" w:hanging="547"/>
        <w:spacing w:after="0"/>
        <w:tabs>
          <w:tab w:leader="none" w:pos="70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jc w:val="both"/>
        <w:ind w:left="224" w:right="240" w:hanging="224"/>
        <w:spacing w:after="0" w:line="263" w:lineRule="auto"/>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26,327,077 outstanding shares of common stock, par value $0.001 per share, of the Issuer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as of August 5, 2021 disclosed by the Issuer in its Quarterly Report on Form 10-Q for the quarter ended June 30, 2021 (the “</w:t>
      </w:r>
      <w:r>
        <w:rPr>
          <w:rFonts w:ascii="Arial" w:cs="Arial" w:eastAsia="Arial" w:hAnsi="Arial"/>
          <w:sz w:val="18"/>
          <w:szCs w:val="18"/>
          <w:b w:val="1"/>
          <w:bCs w:val="1"/>
          <w:i w:val="1"/>
          <w:iCs w:val="1"/>
          <w:color w:val="auto"/>
        </w:rPr>
        <w:t>Form 10-Q</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August 10, 2021.</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17"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This Amendment No. 3 (“</w:t>
      </w:r>
      <w:r>
        <w:rPr>
          <w:rFonts w:ascii="Arial" w:cs="Arial" w:eastAsia="Arial" w:hAnsi="Arial"/>
          <w:sz w:val="16"/>
          <w:szCs w:val="16"/>
          <w:b w:val="1"/>
          <w:bCs w:val="1"/>
          <w:i w:val="1"/>
          <w:iCs w:val="1"/>
          <w:color w:val="auto"/>
        </w:rPr>
        <w:t>Amendment No. 3</w:t>
      </w:r>
      <w:r>
        <w:rPr>
          <w:rFonts w:ascii="Arial" w:cs="Arial" w:eastAsia="Arial" w:hAnsi="Arial"/>
          <w:sz w:val="16"/>
          <w:szCs w:val="16"/>
          <w:color w:val="auto"/>
        </w:rPr>
        <w:t>”) to Schedule 13D supplements and amends the statement on Schedule 13D of Ultragenyx Pharmaceutical Inc., a Delaware corporation (the “</w:t>
      </w:r>
      <w:r>
        <w:rPr>
          <w:rFonts w:ascii="Arial" w:cs="Arial" w:eastAsia="Arial" w:hAnsi="Arial"/>
          <w:sz w:val="16"/>
          <w:szCs w:val="16"/>
          <w:b w:val="1"/>
          <w:bCs w:val="1"/>
          <w:i w:val="1"/>
          <w:iCs w:val="1"/>
          <w:color w:val="auto"/>
        </w:rPr>
        <w:t>Reporting Person</w:t>
      </w:r>
      <w:r>
        <w:rPr>
          <w:rFonts w:ascii="Arial" w:cs="Arial" w:eastAsia="Arial" w:hAnsi="Arial"/>
          <w:sz w:val="16"/>
          <w:szCs w:val="16"/>
          <w:color w:val="auto"/>
        </w:rPr>
        <w:t>”), originally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June 26, 2019, as amended by Amendment No. 1 to Schedule 13D filed with the SEC on May 22, 2020 and Amendment No. 2 to Schedule 13D filed with the SEC on December 10, 2020 (as amended, the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Except as otherwise specified in this Amendment No. 3, all items in the Schedule 13D remain unchanged. All capitalized terms used herein and not otherwise defined have the meanings ascribed to such terms in the Schedule 13D.</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Reporting Person is filing this Amendment No. 3 to report the sale by the Reporting Person of 800,000 shares of Common Stock.</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On August 10, 2021 and August 11, 2021, the Reporting Person sold an aggregate of 800,000 shares of Common Stock of the Issuer at a weighted average sale price of $54.54 per share.</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to read:</w:t>
      </w:r>
    </w:p>
    <w:p>
      <w:pPr>
        <w:spacing w:after="0" w:line="22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With respect to the ownership described herein, the beneficial ownership and percentages are calculated based upon 26,327,077 outstanding shares of Common Stock as of August 5, 2021 disclosed by the Issuer in the Form 10-Q filed with the SEC on August 10, 2021.</w:t>
      </w:r>
    </w:p>
    <w:p>
      <w:pPr>
        <w:spacing w:after="0" w:line="52" w:lineRule="exact"/>
        <w:rPr>
          <w:sz w:val="20"/>
          <w:szCs w:val="20"/>
          <w:color w:val="auto"/>
        </w:rPr>
      </w:pPr>
    </w:p>
    <w:p>
      <w:pPr>
        <w:ind w:left="424" w:right="100" w:hanging="424"/>
        <w:spacing w:after="0" w:line="285"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the date hereof, the Reporting Person beneficially owns an aggregate of 1,400,000 shares of Common Stock, which represents 5.3% of the outstanding Common Stock as of August 5, 2021 based on the information disclosed by the Issuer in the Form 10-Q filed with the SEC on August 10, 2021. As of the date hereof, in accordance with the Issuer’s director compensation policy, the Issuer has granted to Karah Parschauer, the Executive Vice President and General Counsel of the Reporting Person and a director of the Issuer, options to purchase 65,000 shares of Common Stock, of which 49,166 are exercisable within 60 days of the date hereof, for her service as a director of the Issuer. As long as</w:t>
      </w:r>
    </w:p>
    <w:p>
      <w:pPr>
        <w:spacing w:after="0" w:line="1" w:lineRule="exact"/>
        <w:rPr>
          <w:rFonts w:ascii="Arial" w:cs="Arial" w:eastAsia="Arial" w:hAnsi="Arial"/>
          <w:sz w:val="16"/>
          <w:szCs w:val="16"/>
          <w:color w:val="auto"/>
        </w:rPr>
      </w:pPr>
    </w:p>
    <w:p>
      <w:pPr>
        <w:ind w:left="424"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Ms. Parschauer remains a director of the Issuer, it is anticipated that she will continue to receive equity grants in accordance with the Issuer’s director compensation policy. Except as described in this Item 5, neither the Reporting Person nor, to the knowledge of the Reporting Person, any of the other persons listed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 beneficially owns any other securities of the Issuer.</w:t>
      </w:r>
    </w:p>
    <w:p>
      <w:pPr>
        <w:spacing w:after="0" w:line="95" w:lineRule="exact"/>
        <w:rPr>
          <w:rFonts w:ascii="Arial" w:cs="Arial" w:eastAsia="Arial" w:hAnsi="Arial"/>
          <w:sz w:val="16"/>
          <w:szCs w:val="16"/>
          <w:color w:val="auto"/>
        </w:rPr>
      </w:pPr>
    </w:p>
    <w:p>
      <w:pPr>
        <w:ind w:left="424" w:right="2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date hereof, the Reporting Person has the sole power to vote or direct the vote and sole power to dispose or to direct the disposition of the 1,400,000 shares of Common Stock.</w:t>
      </w:r>
    </w:p>
    <w:p>
      <w:pPr>
        <w:spacing w:after="0" w:line="75"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Reference is Item 4 above. Except as set forth herein, neither the Reporting Person nor, to the knowledge of the Reporting Person, any of the other persons listed on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hereto has effected any transactions in shares of the Issuer’s Common Stock during the last 60 days.</w:t>
      </w:r>
    </w:p>
    <w:p>
      <w:pPr>
        <w:spacing w:after="0" w:line="29"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other person is known to the Reporting Person to have the right to receive or the power to direct the receipt of dividends from, or the proceeds from the sale of, the Common Stock covered by this Schedule 13D.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64"/>
          </w:cols>
          <w:pgMar w:left="436" w:top="274"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Mardi C. Dier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Mardi C. Dier</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THE REPORTING PERSON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name, present principal occupation, principal business address and citizenship of each executive officer and director of the Reporting Person is set forth below. The business address of each executive officer and director of the Reporting Person is c/o Ultragenyx Pharmaceutical Inc., 60 Leveroni Court, Novato, CA 94949.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auto"/>
              </w:rPr>
              <w:t>Principal Occupation</w:t>
            </w:r>
          </w:p>
        </w:tc>
        <w:tc>
          <w:tcPr>
            <w:tcW w:w="2320" w:type="dxa"/>
            <w:vAlign w:val="bottom"/>
            <w:gridSpan w:val="2"/>
          </w:tcPr>
          <w:p>
            <w:pPr>
              <w:ind w:left="120"/>
              <w:spacing w:after="0"/>
              <w:rPr>
                <w:sz w:val="20"/>
                <w:szCs w:val="20"/>
                <w:color w:val="auto"/>
              </w:rPr>
            </w:pPr>
            <w:r>
              <w:rPr>
                <w:rFonts w:ascii="Arial" w:cs="Arial" w:eastAsia="Arial" w:hAnsi="Arial"/>
                <w:sz w:val="14"/>
                <w:szCs w:val="14"/>
                <w:b w:val="1"/>
                <w:bCs w:val="1"/>
                <w:color w:val="auto"/>
              </w:rPr>
              <w:t>Citizenship</w:t>
            </w:r>
          </w:p>
        </w:tc>
      </w:tr>
      <w:tr>
        <w:trPr>
          <w:trHeight w:val="304"/>
        </w:trPr>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Pr>
          <w:p>
            <w:pPr>
              <w:spacing w:after="0"/>
              <w:rPr>
                <w:sz w:val="24"/>
                <w:szCs w:val="24"/>
                <w:color w:val="auto"/>
              </w:rPr>
            </w:pPr>
          </w:p>
        </w:tc>
        <w:tc>
          <w:tcPr>
            <w:tcW w:w="5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Emil D. Kakkis, M.D., Ph.D.</w:t>
            </w:r>
          </w:p>
        </w:tc>
        <w:tc>
          <w:tcPr>
            <w:tcW w:w="5280" w:type="dxa"/>
            <w:vAlign w:val="bottom"/>
          </w:tcPr>
          <w:p>
            <w:pPr>
              <w:spacing w:after="0"/>
              <w:rPr>
                <w:sz w:val="20"/>
                <w:szCs w:val="20"/>
                <w:color w:val="auto"/>
              </w:rPr>
            </w:pPr>
            <w:r>
              <w:rPr>
                <w:rFonts w:ascii="Arial" w:cs="Arial" w:eastAsia="Arial" w:hAnsi="Arial"/>
                <w:sz w:val="18"/>
                <w:szCs w:val="18"/>
                <w:color w:val="auto"/>
                <w:w w:val="98"/>
              </w:rPr>
              <w:t>President and Chief Executive Officer and Director of the Reporting</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Camille L. Bedrosian, M.D.</w:t>
            </w:r>
          </w:p>
        </w:tc>
        <w:tc>
          <w:tcPr>
            <w:tcW w:w="5280" w:type="dxa"/>
            <w:vAlign w:val="bottom"/>
          </w:tcPr>
          <w:p>
            <w:pPr>
              <w:spacing w:after="0"/>
              <w:rPr>
                <w:sz w:val="20"/>
                <w:szCs w:val="20"/>
                <w:color w:val="auto"/>
              </w:rPr>
            </w:pPr>
            <w:r>
              <w:rPr>
                <w:rFonts w:ascii="Arial" w:cs="Arial" w:eastAsia="Arial" w:hAnsi="Arial"/>
                <w:sz w:val="18"/>
                <w:szCs w:val="18"/>
                <w:color w:val="auto"/>
                <w:w w:val="97"/>
              </w:rPr>
              <w:t>Chief Medical Officer and Executive Vice President of the Reporting</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Erik Harris</w:t>
            </w:r>
          </w:p>
        </w:tc>
        <w:tc>
          <w:tcPr>
            <w:tcW w:w="5280" w:type="dxa"/>
            <w:vAlign w:val="bottom"/>
          </w:tcPr>
          <w:p>
            <w:pPr>
              <w:spacing w:after="0"/>
              <w:rPr>
                <w:sz w:val="20"/>
                <w:szCs w:val="20"/>
                <w:color w:val="auto"/>
              </w:rPr>
            </w:pPr>
            <w:r>
              <w:rPr>
                <w:rFonts w:ascii="Arial" w:cs="Arial" w:eastAsia="Arial" w:hAnsi="Arial"/>
                <w:sz w:val="18"/>
                <w:szCs w:val="18"/>
                <w:color w:val="auto"/>
                <w:w w:val="91"/>
              </w:rPr>
              <w:t>Chief Commercial Officer and Executive Vice President of the Reporting</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Dennis Huang</w:t>
            </w:r>
          </w:p>
        </w:tc>
        <w:tc>
          <w:tcPr>
            <w:tcW w:w="5280" w:type="dxa"/>
            <w:vAlign w:val="bottom"/>
          </w:tcPr>
          <w:p>
            <w:pPr>
              <w:spacing w:after="0"/>
              <w:rPr>
                <w:sz w:val="20"/>
                <w:szCs w:val="20"/>
                <w:color w:val="auto"/>
              </w:rPr>
            </w:pPr>
            <w:r>
              <w:rPr>
                <w:rFonts w:ascii="Arial" w:cs="Arial" w:eastAsia="Arial" w:hAnsi="Arial"/>
                <w:sz w:val="18"/>
                <w:szCs w:val="18"/>
                <w:color w:val="auto"/>
                <w:w w:val="93"/>
              </w:rPr>
              <w:t>Chief Technical Operations Officer and Executive Vice President of the</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Reporting 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Thomas Kassberg</w:t>
            </w:r>
          </w:p>
        </w:tc>
        <w:tc>
          <w:tcPr>
            <w:tcW w:w="5280" w:type="dxa"/>
            <w:vAlign w:val="bottom"/>
          </w:tcPr>
          <w:p>
            <w:pPr>
              <w:spacing w:after="0"/>
              <w:rPr>
                <w:sz w:val="20"/>
                <w:szCs w:val="20"/>
                <w:color w:val="auto"/>
              </w:rPr>
            </w:pPr>
            <w:r>
              <w:rPr>
                <w:rFonts w:ascii="Arial" w:cs="Arial" w:eastAsia="Arial" w:hAnsi="Arial"/>
                <w:sz w:val="18"/>
                <w:szCs w:val="18"/>
                <w:color w:val="auto"/>
                <w:w w:val="95"/>
              </w:rPr>
              <w:t>Chief Business Officer and Executive Vice President of the Reporting</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Karah Parschauer</w:t>
            </w:r>
          </w:p>
        </w:tc>
        <w:tc>
          <w:tcPr>
            <w:tcW w:w="5280" w:type="dxa"/>
            <w:vAlign w:val="bottom"/>
          </w:tcPr>
          <w:p>
            <w:pPr>
              <w:spacing w:after="0"/>
              <w:rPr>
                <w:sz w:val="20"/>
                <w:szCs w:val="20"/>
                <w:color w:val="auto"/>
              </w:rPr>
            </w:pPr>
            <w:r>
              <w:rPr>
                <w:rFonts w:ascii="Arial" w:cs="Arial" w:eastAsia="Arial" w:hAnsi="Arial"/>
                <w:sz w:val="18"/>
                <w:szCs w:val="18"/>
                <w:color w:val="auto"/>
                <w:w w:val="92"/>
              </w:rPr>
              <w:t>General Counsel and Executive Vice President of the Reporting Person</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John R. Pinion II</w:t>
            </w:r>
          </w:p>
        </w:tc>
        <w:tc>
          <w:tcPr>
            <w:tcW w:w="5280" w:type="dxa"/>
            <w:vAlign w:val="bottom"/>
          </w:tcPr>
          <w:p>
            <w:pPr>
              <w:spacing w:after="0"/>
              <w:rPr>
                <w:sz w:val="20"/>
                <w:szCs w:val="20"/>
                <w:color w:val="auto"/>
              </w:rPr>
            </w:pPr>
            <w:r>
              <w:rPr>
                <w:rFonts w:ascii="Arial" w:cs="Arial" w:eastAsia="Arial" w:hAnsi="Arial"/>
                <w:sz w:val="18"/>
                <w:szCs w:val="18"/>
                <w:color w:val="auto"/>
                <w:w w:val="99"/>
              </w:rPr>
              <w:t>Chief Quality Officer and Executive Vice President of Translational</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Sciences of the Reporting 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Mardi C. Dier</w:t>
            </w:r>
          </w:p>
        </w:tc>
        <w:tc>
          <w:tcPr>
            <w:tcW w:w="5280" w:type="dxa"/>
            <w:vAlign w:val="bottom"/>
          </w:tcPr>
          <w:p>
            <w:pPr>
              <w:spacing w:after="0"/>
              <w:rPr>
                <w:sz w:val="20"/>
                <w:szCs w:val="20"/>
                <w:color w:val="auto"/>
              </w:rPr>
            </w:pPr>
            <w:r>
              <w:rPr>
                <w:rFonts w:ascii="Arial" w:cs="Arial" w:eastAsia="Arial" w:hAnsi="Arial"/>
                <w:sz w:val="18"/>
                <w:szCs w:val="18"/>
                <w:color w:val="auto"/>
                <w:w w:val="95"/>
              </w:rPr>
              <w:t>Chief Financial Officer and Executive Vice President of the Reporting</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William Aliski</w:t>
            </w:r>
          </w:p>
        </w:tc>
        <w:tc>
          <w:tcPr>
            <w:tcW w:w="5280" w:type="dxa"/>
            <w:vAlign w:val="bottom"/>
          </w:tcPr>
          <w:p>
            <w:pPr>
              <w:spacing w:after="0"/>
              <w:rPr>
                <w:sz w:val="20"/>
                <w:szCs w:val="20"/>
                <w:color w:val="auto"/>
              </w:rPr>
            </w:pPr>
            <w:r>
              <w:rPr>
                <w:rFonts w:ascii="Arial" w:cs="Arial" w:eastAsia="Arial" w:hAnsi="Arial"/>
                <w:sz w:val="18"/>
                <w:szCs w:val="18"/>
                <w:color w:val="auto"/>
              </w:rPr>
              <w:t>Biotechnology Executive</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Deborah Dunsire, M.D.</w:t>
            </w:r>
          </w:p>
        </w:tc>
        <w:tc>
          <w:tcPr>
            <w:tcW w:w="5280" w:type="dxa"/>
            <w:vAlign w:val="bottom"/>
          </w:tcPr>
          <w:p>
            <w:pPr>
              <w:spacing w:after="0"/>
              <w:rPr>
                <w:sz w:val="20"/>
                <w:szCs w:val="20"/>
                <w:color w:val="auto"/>
              </w:rPr>
            </w:pPr>
            <w:r>
              <w:rPr>
                <w:rFonts w:ascii="Arial" w:cs="Arial" w:eastAsia="Arial" w:hAnsi="Arial"/>
                <w:sz w:val="18"/>
                <w:szCs w:val="18"/>
                <w:color w:val="auto"/>
              </w:rPr>
              <w:t>President and Chief Executive Officer of H. Lundbeck A/S</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Lars Ekman, M.D., Ph.D.</w:t>
            </w:r>
          </w:p>
        </w:tc>
        <w:tc>
          <w:tcPr>
            <w:tcW w:w="5280" w:type="dxa"/>
            <w:vAlign w:val="bottom"/>
          </w:tcPr>
          <w:p>
            <w:pPr>
              <w:spacing w:after="0"/>
              <w:rPr>
                <w:sz w:val="20"/>
                <w:szCs w:val="20"/>
                <w:color w:val="auto"/>
              </w:rPr>
            </w:pPr>
            <w:r>
              <w:rPr>
                <w:rFonts w:ascii="Arial" w:cs="Arial" w:eastAsia="Arial" w:hAnsi="Arial"/>
                <w:sz w:val="18"/>
                <w:szCs w:val="18"/>
                <w:color w:val="auto"/>
              </w:rPr>
              <w:t>Executive Partner, Sofinnova Investments</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Matthew K. Fust</w:t>
            </w:r>
          </w:p>
        </w:tc>
        <w:tc>
          <w:tcPr>
            <w:tcW w:w="5280" w:type="dxa"/>
            <w:vAlign w:val="bottom"/>
          </w:tcPr>
          <w:p>
            <w:pPr>
              <w:spacing w:after="0"/>
              <w:rPr>
                <w:sz w:val="20"/>
                <w:szCs w:val="20"/>
                <w:color w:val="auto"/>
              </w:rPr>
            </w:pPr>
            <w:r>
              <w:rPr>
                <w:rFonts w:ascii="Arial" w:cs="Arial" w:eastAsia="Arial" w:hAnsi="Arial"/>
                <w:sz w:val="18"/>
                <w:szCs w:val="18"/>
                <w:color w:val="auto"/>
              </w:rPr>
              <w:t>Former Executive Vice President &amp; Chief Financial Officer, Onyx</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Pharmaceutical, Inc.</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Michael Narachi</w:t>
            </w:r>
          </w:p>
        </w:tc>
        <w:tc>
          <w:tcPr>
            <w:tcW w:w="5280" w:type="dxa"/>
            <w:vAlign w:val="bottom"/>
          </w:tcPr>
          <w:p>
            <w:pPr>
              <w:spacing w:after="0"/>
              <w:rPr>
                <w:sz w:val="20"/>
                <w:szCs w:val="20"/>
                <w:color w:val="auto"/>
              </w:rPr>
            </w:pPr>
            <w:r>
              <w:rPr>
                <w:rFonts w:ascii="Arial" w:cs="Arial" w:eastAsia="Arial" w:hAnsi="Arial"/>
                <w:sz w:val="18"/>
                <w:szCs w:val="18"/>
                <w:color w:val="auto"/>
                <w:w w:val="99"/>
              </w:rPr>
              <w:t>President and Chief Executive Officer, CODA Biotherapeutics, Inc.</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Corsee D. Sanders, Ph.D.</w:t>
            </w:r>
          </w:p>
        </w:tc>
        <w:tc>
          <w:tcPr>
            <w:tcW w:w="5280" w:type="dxa"/>
            <w:vAlign w:val="bottom"/>
          </w:tcPr>
          <w:p>
            <w:pPr>
              <w:spacing w:after="0"/>
              <w:rPr>
                <w:sz w:val="20"/>
                <w:szCs w:val="20"/>
                <w:color w:val="auto"/>
              </w:rPr>
            </w:pPr>
            <w:r>
              <w:rPr>
                <w:rFonts w:ascii="Arial" w:cs="Arial" w:eastAsia="Arial" w:hAnsi="Arial"/>
                <w:sz w:val="18"/>
                <w:szCs w:val="18"/>
                <w:color w:val="auto"/>
              </w:rPr>
              <w:t>Biotechnology Executive</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Shehnaaz Suliman, M.D., M.Phil., M.B.A.</w:t>
            </w:r>
          </w:p>
        </w:tc>
        <w:tc>
          <w:tcPr>
            <w:tcW w:w="5280" w:type="dxa"/>
            <w:vAlign w:val="bottom"/>
          </w:tcPr>
          <w:p>
            <w:pPr>
              <w:spacing w:after="0"/>
              <w:rPr>
                <w:sz w:val="20"/>
                <w:szCs w:val="20"/>
                <w:color w:val="auto"/>
              </w:rPr>
            </w:pPr>
            <w:r>
              <w:rPr>
                <w:rFonts w:ascii="Arial" w:cs="Arial" w:eastAsia="Arial" w:hAnsi="Arial"/>
                <w:sz w:val="18"/>
                <w:szCs w:val="18"/>
                <w:color w:val="auto"/>
              </w:rPr>
              <w:t>President and Chief Operating Officer of Alector, Inc.</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Daniel G. Welch</w:t>
            </w:r>
          </w:p>
        </w:tc>
        <w:tc>
          <w:tcPr>
            <w:tcW w:w="5280" w:type="dxa"/>
            <w:vAlign w:val="bottom"/>
          </w:tcPr>
          <w:p>
            <w:pPr>
              <w:spacing w:after="0"/>
              <w:rPr>
                <w:sz w:val="20"/>
                <w:szCs w:val="20"/>
                <w:color w:val="auto"/>
              </w:rPr>
            </w:pPr>
            <w:r>
              <w:rPr>
                <w:rFonts w:ascii="Arial" w:cs="Arial" w:eastAsia="Arial" w:hAnsi="Arial"/>
                <w:sz w:val="18"/>
                <w:szCs w:val="18"/>
                <w:color w:val="auto"/>
              </w:rPr>
              <w:t>Chairman of the Board of Directors of the Reporting Person</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decimal"/>
      <w:start w:val="14"/>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2021-08-12T16:35:23Z</dcterms:created>
  <dcterms:modified xsi:type="dcterms:W3CDTF">2021-08-12T16:35:23Z</dcterms:modified>
</cp:coreProperties>
</file>