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On August 15, 2019, Arcturus Therapeutics Holdings Inc. (the “Company” or “Arcturus”) issued a press release, a copy of which is furnished herewith as Exhibit 99.1, announcing the Company’s financial results for the quarter ended June 30, 2019 (the “Press Release”).</w:t>
      </w:r>
    </w:p>
    <w:p>
      <w:pPr>
        <w:spacing w:after="0" w:line="3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information contained in Item 7.01 of this Current Report on Form 8-K, including the Press Release attached hereto as Exhibit 99.1,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except as shall be expressly set forth by specific reference in any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Certain statements in this communication and the Press Release are forward-looking statements that involve substantial risks and uncertainties for purposes of the safe harbor provided by the Private Securities Litigation Reform Act of 1995.</w:t>
      </w:r>
    </w:p>
    <w:p>
      <w:pPr>
        <w:spacing w:after="0" w:line="170"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The Press Release contains “forward-looking statements” that involve substantial risks and uncertainties for purposes of the safe harbor provided by the Private Securities Litigation Reform Act of 1995. Any statements, other than statements of historical fact, included in the Press Release regarding strategy, future operations, the status of preclinical and clinical development programs, the potential success of clinical development programs, and the Company’s future cash and financial position are forward-looking statements. Actual results and performance could differ materially from those projected in any forward-looking statements as a result of many factors, including without limitation an inability to develop and market product candidates, unexpected clinical results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in Arcturus’ Quarterly Report on Form 10-Q filed with the SEC on August 14, 2019 and in subsequent filings with, or submissions to, the SEC. Except as otherwise required by law, Arcturus disclaims any intention or obligation to update or revise any forward- looking statements, which speak only as of the date they were made, whether as a result of new information, future events or circumstances or otherwise.</w:t>
      </w:r>
    </w:p>
    <w:p>
      <w:pPr>
        <w:spacing w:after="0" w:line="18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statements made in this Current Report on Form 8-K and the exhibit(s) attached hereto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Arcturus Therapeutics Holdings Inc., dated August 15, 2019</w:t>
        </w:r>
      </w:hyperlink>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Joseph E. Payne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2019</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440" w:top="27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Announces Second Quarter Financial Results and Provides a Corporate Update</w:t>
      </w:r>
    </w:p>
    <w:p>
      <w:pPr>
        <w:spacing w:after="0" w:line="135" w:lineRule="exact"/>
        <w:rPr>
          <w:sz w:val="20"/>
          <w:szCs w:val="20"/>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Ultragenyx Pharmaceutical, Inc. expands collaboration, becoming Arcturus’ largest shareholder</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Cystic Fibrosis Foundation increases commitment to $15 million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Arcturus receives Orphan Drug Designation from the U.S. FDA for ARCT-810</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Conference call and audio webcast at 4:30 PM ET today</w:t>
      </w:r>
    </w:p>
    <w:p>
      <w:pPr>
        <w:spacing w:after="0" w:line="221"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San Diego, Calif, August 15, 2019 </w:t>
      </w:r>
      <w:r>
        <w:rPr>
          <w:rFonts w:ascii="Arial" w:cs="Arial" w:eastAsia="Arial" w:hAnsi="Arial"/>
          <w:sz w:val="18"/>
          <w:szCs w:val="18"/>
          <w:color w:val="auto"/>
        </w:rPr>
        <w:t>– Arcturus Therapeutics Holdings Inc. (“Arcturus Therapeutics”) (NASDAQ: ARCT), a leading messenger RNA</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medicines company focused on the discovery, development and commercialization of therapeutics for rare diseases, today reported its financial results for the three and six month periods ended June 30, 2019 and provided a corporate update.</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pleased with the progress we have made with our LUNAR</w:t>
      </w:r>
      <w:r>
        <w:rPr>
          <w:rFonts w:ascii="Arial" w:cs="Arial" w:eastAsia="Arial" w:hAnsi="Arial"/>
          <w:sz w:val="14"/>
          <w:szCs w:val="14"/>
          <w:color w:val="auto"/>
        </w:rPr>
        <w:t>®</w:t>
      </w:r>
      <w:r>
        <w:rPr>
          <w:rFonts w:ascii="Arial" w:cs="Arial" w:eastAsia="Arial" w:hAnsi="Arial"/>
          <w:sz w:val="17"/>
          <w:szCs w:val="17"/>
          <w:color w:val="auto"/>
        </w:rPr>
        <w:t xml:space="preserve"> delivery and mRNA technology platform, and for the continued support of our partners and shareholders,” said Joseph Payne, President &amp; CEO of Arcturus Therapeutics. “Our long-term collaboration partner, Ultragenyx, became our largest shareholder with a substantial investment, while the Cystic Fibrosis Foundation increased its financial support for our LUNAR-CF program, and we’ve added several key institutional investors. We intend to use these resources to advance our proprietary preclinical mRNA therapeutics pipeline, as well as any potential value-added assets we may acquire through our business development efforts.”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35" w:lineRule="exact"/>
        <w:rPr>
          <w:sz w:val="20"/>
          <w:szCs w:val="20"/>
          <w:color w:val="auto"/>
        </w:rPr>
      </w:pPr>
    </w:p>
    <w:p>
      <w:pPr>
        <w:ind w:left="440" w:right="280" w:hanging="328"/>
        <w:spacing w:after="0" w:line="342"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Received $30 million from Ultragenyx comprised of a $24 million equity investment at $10 per share and a $6 million upfront payment, which expanded the collaboration with Ultragenyx to discover and develop mRNA, DNA and siRNA therapeutics for selected rare disease targets</w:t>
      </w:r>
    </w:p>
    <w:p>
      <w:pPr>
        <w:spacing w:after="0" w:line="29" w:lineRule="exact"/>
        <w:rPr>
          <w:rFonts w:ascii="Arial" w:cs="Arial" w:eastAsia="Arial" w:hAnsi="Arial"/>
          <w:sz w:val="16"/>
          <w:szCs w:val="16"/>
          <w:color w:val="auto"/>
        </w:rPr>
      </w:pPr>
    </w:p>
    <w:p>
      <w:pPr>
        <w:ind w:left="440" w:right="20" w:hanging="328"/>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Cystic Fibrosis Foundation increased its commitment up to $15 million to fund LUNAR-CF program through IND filing, with the first payment of $4 million expected by the end of August 2019</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Orphan Drug Designation from the U.S. FDA for ARCT-810, for treatment of ornithine transcarbamylase (OTC) deficiency</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Recognized $3.3 million from Synthetic Genomics agreement related to sub-license revenues from multiple parties</w:t>
      </w:r>
    </w:p>
    <w:p>
      <w:pPr>
        <w:spacing w:after="0" w:line="130" w:lineRule="exact"/>
        <w:rPr>
          <w:rFonts w:ascii="Arial" w:cs="Arial" w:eastAsia="Arial" w:hAnsi="Arial"/>
          <w:sz w:val="18"/>
          <w:szCs w:val="18"/>
          <w:color w:val="auto"/>
        </w:rPr>
      </w:pPr>
    </w:p>
    <w:p>
      <w:pPr>
        <w:ind w:left="440" w:right="80" w:hanging="328"/>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Raised more than $13 million in gross proceeds from two registered direct offerings of common stock, by institutional investors subsequent to the end of quarter</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Redomiciled in the United States as a Delaware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Second Quarter Ended June 30, 2019</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u w:val="single" w:color="auto"/>
          <w:color w:val="auto"/>
        </w:rPr>
        <w:t>Revenues in conjunction with strategic alliances and collaborations</w:t>
      </w:r>
      <w:r>
        <w:rPr>
          <w:rFonts w:ascii="Arial" w:cs="Arial" w:eastAsia="Arial" w:hAnsi="Arial"/>
          <w:sz w:val="16"/>
          <w:szCs w:val="16"/>
          <w:color w:val="auto"/>
        </w:rPr>
        <w:t>: Collaboration revenue was $10.2 million during the quarter ended June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$2.4 million in the quarter ended June 30, 2018. Approximately $7 million in revenues were non-recurring in the 2019 second quarter.</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color w:val="auto"/>
        </w:rPr>
        <w:t>: Operating expenses were $10.7 million in the quarter ended June 30, 2019, compared to $12.5 million in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The June 30, 2018 quarter included approximately $5 million in proxy-related expenses.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Net Loss</w:t>
      </w:r>
      <w:r>
        <w:rPr>
          <w:rFonts w:ascii="Arial" w:cs="Arial" w:eastAsia="Arial" w:hAnsi="Arial"/>
          <w:sz w:val="18"/>
          <w:szCs w:val="18"/>
          <w:color w:val="auto"/>
        </w:rPr>
        <w:t>: Net loss for the quarter ended June 30, 2019 was approximately $0.7 million, or ($0.07) per basic and diluted share, compared with a net loss</w:t>
      </w:r>
      <w:r>
        <w:rPr>
          <w:rFonts w:ascii="Arial" w:cs="Arial" w:eastAsia="Arial" w:hAnsi="Arial"/>
          <w:sz w:val="18"/>
          <w:szCs w:val="18"/>
          <w:i w:val="1"/>
          <w:iCs w:val="1"/>
          <w:color w:val="auto"/>
        </w:rPr>
        <w:t xml:space="preserve"> </w:t>
      </w:r>
      <w:r>
        <w:rPr>
          <w:rFonts w:ascii="Arial" w:cs="Arial" w:eastAsia="Arial" w:hAnsi="Arial"/>
          <w:sz w:val="18"/>
          <w:szCs w:val="18"/>
          <w:color w:val="auto"/>
        </w:rPr>
        <w:t>of $10.0 million, or ($0.99) per basic and diluted share, in the quarter ended June 30, 2018.</w:t>
      </w:r>
    </w:p>
    <w:p>
      <w:pPr>
        <w:sectPr>
          <w:pgSz w:w="11900" w:h="16838" w:orient="portrait"/>
          <w:cols w:equalWidth="0" w:num="1">
            <w:col w:w="11020"/>
          </w:cols>
          <w:pgMar w:left="440" w:top="121" w:right="439" w:bottom="1440" w:gutter="0" w:footer="0" w:header="0"/>
        </w:sectPr>
      </w:pPr>
    </w:p>
    <w:bookmarkStart w:id="4" w:name="page5"/>
    <w:bookmarkEnd w:id="4"/>
    <w:p>
      <w:pPr>
        <w:ind w:right="740"/>
        <w:spacing w:after="0" w:line="277"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w:t>
      </w:r>
      <w:r>
        <w:rPr>
          <w:rFonts w:ascii="Arial" w:cs="Arial" w:eastAsia="Arial" w:hAnsi="Arial"/>
          <w:sz w:val="18"/>
          <w:szCs w:val="18"/>
          <w:color w:val="auto"/>
        </w:rPr>
        <w:t>: At June 30, 2019, Arcturus had cash and cash equivalents totaling $55.8 million, compared to cash, cash equivalents of $36.7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end of the fiscal quarter, we announced three significant transactions which further improved our liquidity.</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First, we received a $4 million payment from CureVac at the end of July in connection with the Termination Agreement for the co-development of ARCT-810 as a therapy for OTC deficiency.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Second, we announced two registered direct offerings of our common stock at $11.50 per share to certain investors that in aggregate raised net proceeds of approximately $12.2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Finally, the Cystic Fibrosis Foundation is expected to make an upfront payment to Arcturus of $4 million by August 30, 2019.</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Including the upfront payment by the Cystic Fibrosis Foundation, we will have added an additional $20 million in cash since the end of the quarter, and we believe our cash resources should be sufficient to support our operations through the end of Fiscal Year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June 30, 2019</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u w:val="single" w:color="auto"/>
          <w:color w:val="auto"/>
        </w:rPr>
        <w:t>Revenues in conjunction with strategic alliances and collaborations</w:t>
      </w:r>
      <w:r>
        <w:rPr>
          <w:rFonts w:ascii="Arial" w:cs="Arial" w:eastAsia="Arial" w:hAnsi="Arial"/>
          <w:sz w:val="18"/>
          <w:szCs w:val="18"/>
          <w:color w:val="auto"/>
        </w:rPr>
        <w:t>: Collaboration revenue was $14.5 million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$4.7 million in the six months ended June 30, 2018.</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color w:val="auto"/>
        </w:rPr>
        <w:t>: Operating expenses were $21.6 million in the six months ended June 30, 2019, compared to $21.5 million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u w:val="single" w:color="auto"/>
          <w:color w:val="auto"/>
        </w:rPr>
        <w:t>Net Loss</w:t>
      </w:r>
      <w:r>
        <w:rPr>
          <w:rFonts w:ascii="Arial" w:cs="Arial" w:eastAsia="Arial" w:hAnsi="Arial"/>
          <w:sz w:val="18"/>
          <w:szCs w:val="18"/>
          <w:color w:val="auto"/>
        </w:rPr>
        <w:t>: Net loss for the six-month period ended June 30, 2019 was approximately $7.6 million, or ($0.74) per basic and diluted share,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net loss of $16.5 million, or ($1.65) per basic and diluted share, in the six-month period ended June 30, 2018.</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7"/>
              </w:rPr>
              <w:t>Conference Call</w:t>
            </w:r>
          </w:p>
        </w:tc>
        <w:tc>
          <w:tcPr>
            <w:tcW w:w="5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344"/>
        </w:trPr>
        <w:tc>
          <w:tcPr>
            <w:tcW w:w="1780" w:type="dxa"/>
            <w:vAlign w:val="bottom"/>
            <w:gridSpan w:val="2"/>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spacing w:after="0"/>
              <w:rPr>
                <w:sz w:val="20"/>
                <w:szCs w:val="20"/>
                <w:color w:val="auto"/>
              </w:rPr>
            </w:pPr>
            <w:r>
              <w:rPr>
                <w:rFonts w:ascii="Arial" w:cs="Arial" w:eastAsia="Arial" w:hAnsi="Arial"/>
                <w:sz w:val="18"/>
                <w:szCs w:val="18"/>
                <w:color w:val="auto"/>
              </w:rPr>
              <w:t>Thursday, August 15</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Time:</w:t>
            </w:r>
          </w:p>
        </w:tc>
        <w:tc>
          <w:tcPr>
            <w:tcW w:w="3360" w:type="dxa"/>
            <w:vAlign w:val="bottom"/>
          </w:tcPr>
          <w:p>
            <w:pPr>
              <w:spacing w:after="0"/>
              <w:rPr>
                <w:sz w:val="20"/>
                <w:szCs w:val="20"/>
                <w:color w:val="auto"/>
              </w:rPr>
            </w:pPr>
            <w:r>
              <w:rPr>
                <w:rFonts w:ascii="Arial" w:cs="Arial" w:eastAsia="Arial" w:hAnsi="Arial"/>
                <w:sz w:val="18"/>
                <w:szCs w:val="18"/>
                <w:color w:val="auto"/>
              </w:rPr>
              <w:t>4:30 PM Eastern Time</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3360" w:type="dxa"/>
            <w:vAlign w:val="bottom"/>
          </w:tcPr>
          <w:p>
            <w:pPr>
              <w:spacing w:after="0"/>
              <w:rPr>
                <w:sz w:val="20"/>
                <w:szCs w:val="20"/>
                <w:color w:val="auto"/>
              </w:rPr>
            </w:pPr>
            <w:r>
              <w:rPr>
                <w:rFonts w:ascii="Arial" w:cs="Arial" w:eastAsia="Arial" w:hAnsi="Arial"/>
                <w:sz w:val="18"/>
                <w:szCs w:val="18"/>
                <w:color w:val="auto"/>
              </w:rPr>
              <w:t>877-407-0784</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3360" w:type="dxa"/>
            <w:vAlign w:val="bottom"/>
          </w:tcPr>
          <w:p>
            <w:pPr>
              <w:spacing w:after="0"/>
              <w:rPr>
                <w:sz w:val="20"/>
                <w:szCs w:val="20"/>
                <w:color w:val="auto"/>
              </w:rPr>
            </w:pPr>
            <w:r>
              <w:rPr>
                <w:rFonts w:ascii="Arial" w:cs="Arial" w:eastAsia="Arial" w:hAnsi="Arial"/>
                <w:sz w:val="18"/>
                <w:szCs w:val="18"/>
                <w:color w:val="auto"/>
              </w:rPr>
              <w:t>201-689-8560</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Conference ID:</w:t>
            </w:r>
          </w:p>
        </w:tc>
        <w:tc>
          <w:tcPr>
            <w:tcW w:w="3360" w:type="dxa"/>
            <w:vAlign w:val="bottom"/>
          </w:tcPr>
          <w:p>
            <w:pPr>
              <w:spacing w:after="0"/>
              <w:rPr>
                <w:sz w:val="20"/>
                <w:szCs w:val="20"/>
                <w:color w:val="auto"/>
              </w:rPr>
            </w:pPr>
            <w:r>
              <w:rPr>
                <w:rFonts w:ascii="Arial" w:cs="Arial" w:eastAsia="Arial" w:hAnsi="Arial"/>
                <w:sz w:val="18"/>
                <w:szCs w:val="18"/>
                <w:color w:val="auto"/>
              </w:rPr>
              <w:t>13693103</w:t>
            </w:r>
          </w:p>
        </w:tc>
      </w:tr>
      <w:tr>
        <w:trPr>
          <w:trHeight w:val="190"/>
        </w:trPr>
        <w:tc>
          <w:tcPr>
            <w:tcW w:w="1780" w:type="dxa"/>
            <w:vAlign w:val="bottom"/>
            <w:gridSpan w:val="2"/>
          </w:tcPr>
          <w:p>
            <w:pPr>
              <w:spacing w:after="0" w:line="190" w:lineRule="exact"/>
              <w:rPr>
                <w:sz w:val="20"/>
                <w:szCs w:val="20"/>
                <w:color w:val="auto"/>
              </w:rPr>
            </w:pPr>
            <w:r>
              <w:rPr>
                <w:rFonts w:ascii="Arial" w:cs="Arial" w:eastAsia="Arial" w:hAnsi="Arial"/>
                <w:sz w:val="18"/>
                <w:szCs w:val="18"/>
                <w:color w:val="auto"/>
              </w:rPr>
              <w:t>Webcast:</w:t>
            </w:r>
          </w:p>
        </w:tc>
        <w:tc>
          <w:tcPr>
            <w:tcW w:w="33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http://public.viavid.com/index.php?id=135619</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Founded in 2013 and based in San Diego, California, Arcturus Therapeutics Holdings Inc. (Nasdaq: ARCT) is an RNA medicines company with enabling technologies – LUNAR</w:t>
      </w:r>
      <w:r>
        <w:rPr>
          <w:rFonts w:ascii="Arial" w:cs="Arial" w:eastAsia="Arial" w:hAnsi="Arial"/>
          <w:sz w:val="14"/>
          <w:szCs w:val="14"/>
          <w:color w:val="auto"/>
        </w:rPr>
        <w:t>®</w:t>
      </w:r>
      <w:r>
        <w:rPr>
          <w:rFonts w:ascii="Arial" w:cs="Arial" w:eastAsia="Arial" w:hAnsi="Arial"/>
          <w:sz w:val="17"/>
          <w:szCs w:val="17"/>
          <w:color w:val="auto"/>
        </w:rPr>
        <w:t xml:space="preserve"> lipid-mediated delivery and Unlocked Nucleomonomer Analog (UNA) chemistry – and mRNA drug substance along with drug product manufacturing. Arcturus’ diverse pipeline of RNA therapeutics includes programs to potentially treat Ornithine Transcarbamylase (OTC) Deficiency, Cystic Fibrosis, Glycogen Storage Disease Type 3, Hepatitis B, and non-alcoholic steatohepatitis (NASH). Arcturus’ versatile RNA therapeutics platforms can be applied toward multiple types of nucleic acid medicines including messenger RNA, small</w:t>
      </w:r>
    </w:p>
    <w:p>
      <w:pPr>
        <w:sectPr>
          <w:pgSz w:w="11900" w:h="16838" w:orient="portrait"/>
          <w:cols w:equalWidth="0" w:num="1">
            <w:col w:w="10980"/>
          </w:cols>
          <w:pgMar w:left="440" w:top="274" w:right="479" w:bottom="1440" w:gutter="0" w:footer="0" w:header="0"/>
        </w:sectPr>
      </w:pPr>
    </w:p>
    <w:bookmarkStart w:id="5" w:name="page6"/>
    <w:bookmarkEnd w:id="5"/>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interfering RNA, replicon RNA, antisense RNA, microRNA, DNA, and gene editing therapeutics. Arcturus’ technologies are covered by its extensive patent portfolio (167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and the Cystic Fibrosis Foundation. For more information visit </w:t>
      </w:r>
      <w:r>
        <w:rPr>
          <w:rFonts w:ascii="Arial" w:cs="Arial" w:eastAsia="Arial" w:hAnsi="Arial"/>
          <w:sz w:val="18"/>
          <w:szCs w:val="18"/>
          <w:u w:val="single" w:color="auto"/>
          <w:color w:val="auto"/>
        </w:rPr>
        <w:t>www.Arcturusrx.com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the likelihood of success of the Company’s technology or potential development of any products, the status of preclinical and clinical development programs, the sufficiency of any drug substances or drug products to meet current goals or expectations, and the potential market or success of clinical development programs,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8920" w:firstLine="4"/>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597-6983 </w:t>
      </w:r>
      <w:r>
        <w:rPr>
          <w:rFonts w:ascii="Arial" w:cs="Arial" w:eastAsia="Arial" w:hAnsi="Arial"/>
          <w:sz w:val="16"/>
          <w:szCs w:val="16"/>
          <w:u w:val="single" w:color="auto"/>
          <w:color w:val="auto"/>
        </w:rPr>
        <w:t>mwood@lifesciadvisors.com</w:t>
      </w:r>
    </w:p>
    <w:p>
      <w:pPr>
        <w:sectPr>
          <w:pgSz w:w="11900" w:h="16838" w:orient="portrait"/>
          <w:cols w:equalWidth="0" w:num="1">
            <w:col w:w="11020"/>
          </w:cols>
          <w:pgMar w:left="440" w:top="274"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ARCTURUS THERAPEUTICS LTD. AND ITS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dollars in thousands, except par value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63,338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Operating lease right-of-use asset,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Equity-method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Non-current restricted cash</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3,187</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340"/>
              <w:spacing w:after="0" w:line="201" w:lineRule="exact"/>
              <w:rPr>
                <w:sz w:val="20"/>
                <w:szCs w:val="20"/>
                <w:color w:val="auto"/>
              </w:rPr>
            </w:pPr>
            <w:r>
              <w:rPr>
                <w:rFonts w:ascii="Arial" w:cs="Arial" w:eastAsia="Arial" w:hAnsi="Arial"/>
                <w:sz w:val="18"/>
                <w:szCs w:val="18"/>
                <w:color w:val="auto"/>
                <w:w w:val="93"/>
              </w:rPr>
              <w:t>Common stock: $0.001 par value; 30,000 shares authorized; 13,120 issued and outstanding at June 30, 2019; NIS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0.07 par value; 30,000 shares authorized, 10,762 issued, 10,719 outstanding and 43 held in treasury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December 31,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(53,246)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ARCTURUS THERAPEUTICS LTD. AND ITS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(10,072)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(7,080)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(16,744)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Finance (expense) income,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(7,569)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(16,521)</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Comprehensive loss: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(7,569)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Unrealized gain on short-term investments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(7,569)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58"/>
    </w:lvl>
  </w:abstractNum>
  <w:abstractNum w:abstractNumId="4">
    <w:nsid w:val="46E87CC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2019-12-28T07:07:37Z</dcterms:created>
  <dcterms:modified xsi:type="dcterms:W3CDTF">2019-12-28T07:07:37Z</dcterms:modified>
</cp:coreProperties>
</file>